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DF13BC" w14:textId="5E4610AD" w:rsidR="00B07151" w:rsidRDefault="00B07151" w:rsidP="00B07151">
      <w:pPr>
        <w:adjustRightInd w:val="0"/>
        <w:spacing w:line="480" w:lineRule="auto"/>
        <w:contextualSpacing/>
        <w:jc w:val="center"/>
        <w:rPr>
          <w:b/>
          <w:bCs/>
          <w:color w:val="000000" w:themeColor="text1"/>
        </w:rPr>
      </w:pPr>
      <w:r>
        <w:rPr>
          <w:b/>
          <w:bCs/>
          <w:color w:val="000000" w:themeColor="text1"/>
        </w:rPr>
        <w:t>Supplementary Information</w:t>
      </w:r>
    </w:p>
    <w:p w14:paraId="0C9A4E49" w14:textId="706BE939" w:rsidR="00B07151" w:rsidRPr="00757EE5" w:rsidRDefault="00B07151" w:rsidP="00B07151">
      <w:pPr>
        <w:adjustRightInd w:val="0"/>
        <w:spacing w:line="480" w:lineRule="auto"/>
        <w:contextualSpacing/>
        <w:jc w:val="center"/>
        <w:rPr>
          <w:b/>
          <w:bCs/>
          <w:color w:val="000000" w:themeColor="text1"/>
        </w:rPr>
      </w:pPr>
      <w:r>
        <w:rPr>
          <w:b/>
          <w:bCs/>
          <w:color w:val="000000" w:themeColor="text1"/>
        </w:rPr>
        <w:t>The m</w:t>
      </w:r>
      <w:r w:rsidRPr="73C6F0EF">
        <w:rPr>
          <w:b/>
          <w:bCs/>
          <w:color w:val="000000" w:themeColor="text1"/>
        </w:rPr>
        <w:t>olecular tweezer</w:t>
      </w:r>
      <w:r>
        <w:rPr>
          <w:b/>
          <w:bCs/>
          <w:color w:val="000000" w:themeColor="text1"/>
        </w:rPr>
        <w:t xml:space="preserve"> CLR01</w:t>
      </w:r>
      <w:r w:rsidRPr="73C6F0EF">
        <w:rPr>
          <w:b/>
          <w:bCs/>
          <w:color w:val="000000" w:themeColor="text1"/>
        </w:rPr>
        <w:t xml:space="preserve"> improve</w:t>
      </w:r>
      <w:r>
        <w:rPr>
          <w:b/>
          <w:bCs/>
          <w:color w:val="000000" w:themeColor="text1"/>
        </w:rPr>
        <w:t>s</w:t>
      </w:r>
      <w:r w:rsidRPr="73C6F0EF">
        <w:rPr>
          <w:b/>
          <w:bCs/>
          <w:color w:val="000000" w:themeColor="text1"/>
        </w:rPr>
        <w:t xml:space="preserve"> behavioral deficits </w:t>
      </w:r>
      <w:r>
        <w:rPr>
          <w:b/>
          <w:bCs/>
          <w:color w:val="000000" w:themeColor="text1"/>
        </w:rPr>
        <w:t xml:space="preserve">and </w:t>
      </w:r>
      <w:r w:rsidRPr="73C6F0EF">
        <w:rPr>
          <w:b/>
          <w:bCs/>
          <w:color w:val="000000" w:themeColor="text1"/>
        </w:rPr>
        <w:t>reduce</w:t>
      </w:r>
      <w:r>
        <w:rPr>
          <w:b/>
          <w:bCs/>
          <w:color w:val="000000" w:themeColor="text1"/>
        </w:rPr>
        <w:t>s</w:t>
      </w:r>
      <w:r w:rsidRPr="73C6F0EF">
        <w:rPr>
          <w:b/>
          <w:bCs/>
          <w:color w:val="000000" w:themeColor="text1"/>
        </w:rPr>
        <w:t xml:space="preserve"> tau pathology in P301S-tau transgenic mice</w:t>
      </w:r>
    </w:p>
    <w:p w14:paraId="16BA0098" w14:textId="77777777" w:rsidR="00B07151" w:rsidRPr="00757EE5" w:rsidRDefault="00B07151" w:rsidP="00B07151">
      <w:pPr>
        <w:adjustRightInd w:val="0"/>
        <w:spacing w:line="480" w:lineRule="auto"/>
        <w:contextualSpacing/>
        <w:jc w:val="center"/>
        <w:rPr>
          <w:b/>
          <w:bCs/>
          <w:color w:val="000000" w:themeColor="text1"/>
        </w:rPr>
      </w:pPr>
    </w:p>
    <w:p w14:paraId="6B8CD0BC" w14:textId="77777777" w:rsidR="00433653" w:rsidRPr="003F3726" w:rsidRDefault="00433653" w:rsidP="00433653">
      <w:pPr>
        <w:adjustRightInd w:val="0"/>
        <w:spacing w:line="480" w:lineRule="auto"/>
        <w:contextualSpacing/>
        <w:jc w:val="center"/>
        <w:rPr>
          <w:color w:val="000000" w:themeColor="text1"/>
        </w:rPr>
      </w:pPr>
      <w:r w:rsidRPr="003F3726">
        <w:rPr>
          <w:color w:val="000000" w:themeColor="text1"/>
        </w:rPr>
        <w:t>Jing Di</w:t>
      </w:r>
      <w:proofErr w:type="gramStart"/>
      <w:r w:rsidRPr="003F3726">
        <w:rPr>
          <w:color w:val="000000" w:themeColor="text1"/>
          <w:vertAlign w:val="superscript"/>
        </w:rPr>
        <w:t>1,</w:t>
      </w:r>
      <w:r>
        <w:rPr>
          <w:color w:val="000000" w:themeColor="text1"/>
          <w:vertAlign w:val="superscript"/>
        </w:rPr>
        <w:t>§</w:t>
      </w:r>
      <w:proofErr w:type="gramEnd"/>
      <w:r w:rsidRPr="003F3726">
        <w:rPr>
          <w:color w:val="000000" w:themeColor="text1"/>
        </w:rPr>
        <w:t xml:space="preserve">, </w:t>
      </w:r>
      <w:proofErr w:type="spellStart"/>
      <w:r w:rsidRPr="003F3726">
        <w:rPr>
          <w:color w:val="000000" w:themeColor="text1"/>
        </w:rPr>
        <w:t>Ibrar</w:t>
      </w:r>
      <w:proofErr w:type="spellEnd"/>
      <w:r w:rsidRPr="003F3726">
        <w:rPr>
          <w:color w:val="000000" w:themeColor="text1"/>
        </w:rPr>
        <w:t xml:space="preserve"> Siddique</w:t>
      </w:r>
      <w:r w:rsidRPr="003F3726">
        <w:rPr>
          <w:color w:val="000000" w:themeColor="text1"/>
          <w:vertAlign w:val="superscript"/>
        </w:rPr>
        <w:t>1,</w:t>
      </w:r>
      <w:r>
        <w:rPr>
          <w:color w:val="000000" w:themeColor="text1"/>
          <w:vertAlign w:val="superscript"/>
        </w:rPr>
        <w:t>§</w:t>
      </w:r>
      <w:r w:rsidRPr="003F3726">
        <w:rPr>
          <w:color w:val="000000" w:themeColor="text1"/>
        </w:rPr>
        <w:t xml:space="preserve">, </w:t>
      </w:r>
      <w:proofErr w:type="spellStart"/>
      <w:r w:rsidRPr="003F3726">
        <w:rPr>
          <w:color w:val="000000" w:themeColor="text1"/>
        </w:rPr>
        <w:t>Zizheng</w:t>
      </w:r>
      <w:proofErr w:type="spellEnd"/>
      <w:r w:rsidRPr="003F3726">
        <w:rPr>
          <w:color w:val="000000" w:themeColor="text1"/>
        </w:rPr>
        <w:t xml:space="preserve"> Li</w:t>
      </w:r>
      <w:r w:rsidRPr="003F3726">
        <w:rPr>
          <w:color w:val="000000" w:themeColor="text1"/>
          <w:vertAlign w:val="superscript"/>
        </w:rPr>
        <w:t>1</w:t>
      </w:r>
      <w:r w:rsidRPr="003F3726">
        <w:rPr>
          <w:color w:val="000000" w:themeColor="text1"/>
        </w:rPr>
        <w:t xml:space="preserve">, </w:t>
      </w:r>
      <w:proofErr w:type="spellStart"/>
      <w:r w:rsidRPr="003F3726">
        <w:rPr>
          <w:color w:val="000000" w:themeColor="text1"/>
        </w:rPr>
        <w:t>Ghattas</w:t>
      </w:r>
      <w:proofErr w:type="spellEnd"/>
      <w:r w:rsidRPr="003F3726">
        <w:rPr>
          <w:color w:val="000000" w:themeColor="text1"/>
        </w:rPr>
        <w:t xml:space="preserve"> Malki</w:t>
      </w:r>
      <w:r w:rsidRPr="003F3726">
        <w:rPr>
          <w:color w:val="000000" w:themeColor="text1"/>
          <w:vertAlign w:val="superscript"/>
        </w:rPr>
        <w:t>1</w:t>
      </w:r>
      <w:r w:rsidRPr="003F3726">
        <w:rPr>
          <w:color w:val="000000" w:themeColor="text1"/>
        </w:rPr>
        <w:t>, Simon Hornung</w:t>
      </w:r>
      <w:r w:rsidRPr="003F3726">
        <w:rPr>
          <w:color w:val="000000" w:themeColor="text1"/>
          <w:vertAlign w:val="superscript"/>
        </w:rPr>
        <w:t>1†</w:t>
      </w:r>
      <w:r w:rsidRPr="003F3726">
        <w:rPr>
          <w:color w:val="000000" w:themeColor="text1"/>
        </w:rPr>
        <w:t xml:space="preserve">, </w:t>
      </w:r>
      <w:r>
        <w:rPr>
          <w:color w:val="000000" w:themeColor="text1"/>
        </w:rPr>
        <w:t>Suman Dutta</w:t>
      </w:r>
      <w:r>
        <w:rPr>
          <w:color w:val="000000" w:themeColor="text1"/>
          <w:vertAlign w:val="superscript"/>
        </w:rPr>
        <w:t>1</w:t>
      </w:r>
      <w:r>
        <w:rPr>
          <w:color w:val="000000" w:themeColor="text1"/>
        </w:rPr>
        <w:t xml:space="preserve">, </w:t>
      </w:r>
      <w:r w:rsidRPr="003F3726">
        <w:rPr>
          <w:color w:val="000000" w:themeColor="text1"/>
        </w:rPr>
        <w:t>Ian Hurst</w:t>
      </w:r>
      <w:r w:rsidRPr="003F3726">
        <w:rPr>
          <w:color w:val="000000" w:themeColor="text1"/>
          <w:vertAlign w:val="superscript"/>
        </w:rPr>
        <w:t>1</w:t>
      </w:r>
      <w:r w:rsidRPr="003F3726">
        <w:rPr>
          <w:color w:val="000000" w:themeColor="text1"/>
        </w:rPr>
        <w:t>, Ella Ishaaya</w:t>
      </w:r>
      <w:r w:rsidRPr="003F3726">
        <w:rPr>
          <w:color w:val="000000" w:themeColor="text1"/>
          <w:vertAlign w:val="superscript"/>
        </w:rPr>
        <w:t>1</w:t>
      </w:r>
      <w:r w:rsidRPr="003F3726">
        <w:rPr>
          <w:color w:val="000000" w:themeColor="text1"/>
        </w:rPr>
        <w:t>, Austin Wang</w:t>
      </w:r>
      <w:r w:rsidRPr="003F3726">
        <w:rPr>
          <w:color w:val="000000" w:themeColor="text1"/>
          <w:vertAlign w:val="superscript"/>
        </w:rPr>
        <w:t>1</w:t>
      </w:r>
      <w:r w:rsidRPr="003F3726">
        <w:rPr>
          <w:color w:val="000000" w:themeColor="text1"/>
        </w:rPr>
        <w:t>, Sally Tu</w:t>
      </w:r>
      <w:r w:rsidRPr="003F3726">
        <w:rPr>
          <w:color w:val="000000" w:themeColor="text1"/>
          <w:vertAlign w:val="superscript"/>
        </w:rPr>
        <w:t>1</w:t>
      </w:r>
      <w:r w:rsidRPr="003F3726">
        <w:rPr>
          <w:color w:val="000000" w:themeColor="text1"/>
        </w:rPr>
        <w:t>, Ani Boghos</w:t>
      </w:r>
      <w:r w:rsidRPr="003F3726">
        <w:rPr>
          <w:color w:val="000000" w:themeColor="text1"/>
          <w:vertAlign w:val="superscript"/>
        </w:rPr>
        <w:t>1</w:t>
      </w:r>
      <w:r w:rsidRPr="003F3726">
        <w:rPr>
          <w:color w:val="000000" w:themeColor="text1"/>
        </w:rPr>
        <w:t>, Ida Ericsson</w:t>
      </w:r>
      <w:r w:rsidRPr="003F3726">
        <w:rPr>
          <w:color w:val="000000" w:themeColor="text1"/>
          <w:vertAlign w:val="superscript"/>
        </w:rPr>
        <w:t>1</w:t>
      </w:r>
      <w:r w:rsidRPr="003F3726">
        <w:rPr>
          <w:color w:val="000000" w:themeColor="text1"/>
        </w:rPr>
        <w:t>,</w:t>
      </w:r>
      <w:r>
        <w:rPr>
          <w:color w:val="000000" w:themeColor="text1"/>
        </w:rPr>
        <w:t>Frank-Gerrit Klärner</w:t>
      </w:r>
      <w:r>
        <w:rPr>
          <w:color w:val="000000" w:themeColor="text1"/>
          <w:vertAlign w:val="superscript"/>
        </w:rPr>
        <w:t>4</w:t>
      </w:r>
      <w:r>
        <w:rPr>
          <w:color w:val="000000" w:themeColor="text1"/>
        </w:rPr>
        <w:t>, Thomas Schrader</w:t>
      </w:r>
      <w:r>
        <w:rPr>
          <w:color w:val="000000" w:themeColor="text1"/>
          <w:vertAlign w:val="superscript"/>
        </w:rPr>
        <w:t>4</w:t>
      </w:r>
      <w:r>
        <w:rPr>
          <w:color w:val="000000" w:themeColor="text1"/>
        </w:rPr>
        <w:t xml:space="preserve">, </w:t>
      </w:r>
      <w:r w:rsidRPr="003F3726">
        <w:rPr>
          <w:color w:val="000000" w:themeColor="text1"/>
        </w:rPr>
        <w:t>and Gal Bitan</w:t>
      </w:r>
      <w:r w:rsidRPr="003F3726">
        <w:rPr>
          <w:color w:val="000000" w:themeColor="text1"/>
          <w:vertAlign w:val="superscript"/>
        </w:rPr>
        <w:t>1,2,3,</w:t>
      </w:r>
      <w:r w:rsidRPr="003F3726">
        <w:rPr>
          <w:color w:val="000000" w:themeColor="text1"/>
        </w:rPr>
        <w:t>*</w:t>
      </w:r>
    </w:p>
    <w:p w14:paraId="63E07F77" w14:textId="77777777" w:rsidR="00B07151" w:rsidRPr="00757EE5" w:rsidRDefault="00B07151" w:rsidP="00B07151">
      <w:pPr>
        <w:adjustRightInd w:val="0"/>
        <w:spacing w:line="480" w:lineRule="auto"/>
        <w:contextualSpacing/>
        <w:jc w:val="center"/>
        <w:rPr>
          <w:b/>
          <w:bCs/>
          <w:color w:val="000000" w:themeColor="text1"/>
        </w:rPr>
      </w:pPr>
    </w:p>
    <w:p w14:paraId="3686E780" w14:textId="10C84FD7" w:rsidR="00FE403D" w:rsidRDefault="00B07151" w:rsidP="00B07151">
      <w:pPr>
        <w:adjustRightInd w:val="0"/>
        <w:spacing w:line="480" w:lineRule="auto"/>
        <w:contextualSpacing/>
        <w:jc w:val="center"/>
        <w:rPr>
          <w:color w:val="000000" w:themeColor="text1"/>
        </w:rPr>
      </w:pPr>
      <w:r w:rsidRPr="73C6F0EF">
        <w:rPr>
          <w:color w:val="000000" w:themeColor="text1"/>
          <w:vertAlign w:val="superscript"/>
        </w:rPr>
        <w:t>1</w:t>
      </w:r>
      <w:r w:rsidRPr="73C6F0EF">
        <w:rPr>
          <w:color w:val="000000" w:themeColor="text1"/>
        </w:rPr>
        <w:t xml:space="preserve">Department of Neurology, David Geffen School of Medicine at UCLA, </w:t>
      </w:r>
      <w:r w:rsidRPr="73C6F0EF">
        <w:rPr>
          <w:color w:val="000000" w:themeColor="text1"/>
          <w:vertAlign w:val="superscript"/>
        </w:rPr>
        <w:t>2</w:t>
      </w:r>
      <w:r w:rsidRPr="73C6F0EF">
        <w:rPr>
          <w:color w:val="000000" w:themeColor="text1"/>
        </w:rPr>
        <w:t xml:space="preserve">Brain Research Institute, and </w:t>
      </w:r>
      <w:r w:rsidRPr="73C6F0EF">
        <w:rPr>
          <w:color w:val="000000" w:themeColor="text1"/>
          <w:vertAlign w:val="superscript"/>
        </w:rPr>
        <w:t>3</w:t>
      </w:r>
      <w:r w:rsidRPr="73C6F0EF">
        <w:rPr>
          <w:color w:val="000000" w:themeColor="text1"/>
        </w:rPr>
        <w:t>Molecular Biology Institute, University of California, Los Angeles</w:t>
      </w:r>
      <w:r>
        <w:rPr>
          <w:color w:val="000000" w:themeColor="text1"/>
        </w:rPr>
        <w:t xml:space="preserve">, CA USA. </w:t>
      </w:r>
      <w:r>
        <w:rPr>
          <w:color w:val="000000" w:themeColor="text1"/>
          <w:vertAlign w:val="superscript"/>
        </w:rPr>
        <w:t>4</w:t>
      </w:r>
      <w:r w:rsidR="00C775BC">
        <w:rPr>
          <w:color w:val="000000" w:themeColor="text1"/>
        </w:rPr>
        <w:t>Faculty</w:t>
      </w:r>
      <w:r>
        <w:rPr>
          <w:color w:val="000000" w:themeColor="text1"/>
        </w:rPr>
        <w:t xml:space="preserve"> of Chemistry, University of Duisburg-Essen, Germany.</w:t>
      </w:r>
    </w:p>
    <w:p w14:paraId="100BE937" w14:textId="77777777" w:rsidR="00FE403D" w:rsidRDefault="00FE403D">
      <w:pPr>
        <w:rPr>
          <w:color w:val="000000" w:themeColor="text1"/>
        </w:rPr>
      </w:pPr>
      <w:r>
        <w:rPr>
          <w:color w:val="000000" w:themeColor="text1"/>
        </w:rPr>
        <w:br w:type="page"/>
      </w:r>
    </w:p>
    <w:p w14:paraId="015A54C1" w14:textId="3866C575" w:rsidR="00B07151" w:rsidRDefault="00FE403D" w:rsidP="00B07151">
      <w:pPr>
        <w:adjustRightInd w:val="0"/>
        <w:spacing w:line="480" w:lineRule="auto"/>
        <w:contextualSpacing/>
        <w:jc w:val="center"/>
        <w:rPr>
          <w:color w:val="000000" w:themeColor="text1"/>
        </w:rPr>
      </w:pPr>
      <w:r>
        <w:rPr>
          <w:noProof/>
          <w:color w:val="000000" w:themeColor="text1"/>
          <w:lang w:bidi="ar-SA"/>
        </w:rPr>
        <w:lastRenderedPageBreak/>
        <w:drawing>
          <wp:inline distT="0" distB="0" distL="0" distR="0" wp14:anchorId="650D067D" wp14:editId="10D4B7A9">
            <wp:extent cx="4489554" cy="7514482"/>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hqprint">
                      <a:extLst>
                        <a:ext uri="{28A0092B-C50C-407E-A947-70E740481C1C}">
                          <a14:useLocalDpi xmlns:a14="http://schemas.microsoft.com/office/drawing/2010/main" val="0"/>
                        </a:ext>
                      </a:extLst>
                    </a:blip>
                    <a:stretch>
                      <a:fillRect/>
                    </a:stretch>
                  </pic:blipFill>
                  <pic:spPr>
                    <a:xfrm>
                      <a:off x="0" y="0"/>
                      <a:ext cx="4621958" cy="7736096"/>
                    </a:xfrm>
                    <a:prstGeom prst="rect">
                      <a:avLst/>
                    </a:prstGeom>
                  </pic:spPr>
                </pic:pic>
              </a:graphicData>
            </a:graphic>
          </wp:inline>
        </w:drawing>
      </w:r>
    </w:p>
    <w:p w14:paraId="75E40BC4" w14:textId="62C41B76" w:rsidR="00FE403D" w:rsidRDefault="00FE403D" w:rsidP="001A0311">
      <w:pPr>
        <w:tabs>
          <w:tab w:val="left" w:pos="1040"/>
        </w:tabs>
        <w:jc w:val="both"/>
        <w:rPr>
          <w:bCs/>
        </w:rPr>
      </w:pPr>
      <w:r>
        <w:rPr>
          <w:b/>
        </w:rPr>
        <w:t xml:space="preserve">Supplementary </w:t>
      </w:r>
      <w:r w:rsidRPr="00662719">
        <w:rPr>
          <w:b/>
        </w:rPr>
        <w:t>Figure S1</w:t>
      </w:r>
      <w:r>
        <w:rPr>
          <w:b/>
        </w:rPr>
        <w:t>.</w:t>
      </w:r>
      <w:r w:rsidRPr="00662719">
        <w:rPr>
          <w:b/>
        </w:rPr>
        <w:t xml:space="preserve"> </w:t>
      </w:r>
      <w:r>
        <w:rPr>
          <w:b/>
        </w:rPr>
        <w:t>Mouse weight change during the treatment.</w:t>
      </w:r>
      <w:r>
        <w:rPr>
          <w:bCs/>
        </w:rPr>
        <w:t xml:space="preserve"> Mice were weighed in the beginning, middle, and end of the treatment. The data are presented for A) all the mice in each group, B) female mice, and C) male mice as mean ± SD.</w:t>
      </w:r>
    </w:p>
    <w:p w14:paraId="185E741B" w14:textId="55994D89" w:rsidR="009017BA" w:rsidRDefault="00B313E2" w:rsidP="009017BA">
      <w:pPr>
        <w:tabs>
          <w:tab w:val="left" w:pos="1040"/>
        </w:tabs>
        <w:jc w:val="center"/>
        <w:rPr>
          <w:bCs/>
        </w:rPr>
      </w:pPr>
      <w:r>
        <w:rPr>
          <w:bCs/>
          <w:noProof/>
          <w:lang w:bidi="ar-SA"/>
        </w:rPr>
        <w:lastRenderedPageBreak/>
        <w:drawing>
          <wp:inline distT="0" distB="0" distL="0" distR="0" wp14:anchorId="02B7D4A4" wp14:editId="33A24FD6">
            <wp:extent cx="5943600" cy="51771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hqprint">
                      <a:extLst>
                        <a:ext uri="{28A0092B-C50C-407E-A947-70E740481C1C}">
                          <a14:useLocalDpi xmlns:a14="http://schemas.microsoft.com/office/drawing/2010/main" val="0"/>
                        </a:ext>
                      </a:extLst>
                    </a:blip>
                    <a:stretch>
                      <a:fillRect/>
                    </a:stretch>
                  </pic:blipFill>
                  <pic:spPr>
                    <a:xfrm>
                      <a:off x="0" y="0"/>
                      <a:ext cx="5943600" cy="5177155"/>
                    </a:xfrm>
                    <a:prstGeom prst="rect">
                      <a:avLst/>
                    </a:prstGeom>
                  </pic:spPr>
                </pic:pic>
              </a:graphicData>
            </a:graphic>
          </wp:inline>
        </w:drawing>
      </w:r>
    </w:p>
    <w:p w14:paraId="754073EE" w14:textId="44AC78A2" w:rsidR="001A0311" w:rsidRDefault="001A0311" w:rsidP="009017BA">
      <w:pPr>
        <w:tabs>
          <w:tab w:val="left" w:pos="1040"/>
        </w:tabs>
        <w:jc w:val="center"/>
        <w:rPr>
          <w:bCs/>
        </w:rPr>
      </w:pPr>
    </w:p>
    <w:p w14:paraId="408EC52F" w14:textId="7BC47960" w:rsidR="001A0311" w:rsidRDefault="001A0311" w:rsidP="001A0311">
      <w:pPr>
        <w:tabs>
          <w:tab w:val="left" w:pos="1040"/>
        </w:tabs>
        <w:jc w:val="both"/>
      </w:pPr>
      <w:r>
        <w:rPr>
          <w:b/>
        </w:rPr>
        <w:t xml:space="preserve">Supplementary </w:t>
      </w:r>
      <w:r w:rsidRPr="00662719">
        <w:rPr>
          <w:b/>
        </w:rPr>
        <w:t>Figure S2</w:t>
      </w:r>
      <w:r>
        <w:rPr>
          <w:b/>
        </w:rPr>
        <w:t>.</w:t>
      </w:r>
      <w:r w:rsidRPr="00662719">
        <w:rPr>
          <w:b/>
        </w:rPr>
        <w:t xml:space="preserve"> </w:t>
      </w:r>
      <w:r>
        <w:rPr>
          <w:b/>
        </w:rPr>
        <w:t>Grip-strength does not change significantly in CLR01-treated P301S-tau mice.</w:t>
      </w:r>
      <w:r>
        <w:rPr>
          <w:b/>
          <w:bCs/>
        </w:rPr>
        <w:t xml:space="preserve"> </w:t>
      </w:r>
      <w:r>
        <w:t>P301S-tau mice were tested using the</w:t>
      </w:r>
      <w:r w:rsidRPr="00091FD7">
        <w:t xml:space="preserve"> grip</w:t>
      </w:r>
      <w:r>
        <w:t>-</w:t>
      </w:r>
      <w:r w:rsidRPr="00F978AE">
        <w:t>strength</w:t>
      </w:r>
      <w:r>
        <w:t xml:space="preserve"> assay</w:t>
      </w:r>
      <w:r w:rsidRPr="00F978AE">
        <w:t xml:space="preserve"> </w:t>
      </w:r>
      <w:r>
        <w:t>in</w:t>
      </w:r>
      <w:r w:rsidRPr="00F978AE">
        <w:t xml:space="preserve"> the </w:t>
      </w:r>
      <w:r>
        <w:t>beginning</w:t>
      </w:r>
      <w:r w:rsidRPr="00F978AE">
        <w:t>, middle</w:t>
      </w:r>
      <w:r>
        <w:t>,</w:t>
      </w:r>
      <w:r w:rsidRPr="00F978AE">
        <w:t xml:space="preserve"> and </w:t>
      </w:r>
      <w:r w:rsidRPr="00144100">
        <w:t>end of the treatment</w:t>
      </w:r>
      <w:r w:rsidRPr="00F978AE">
        <w:t xml:space="preserve">. </w:t>
      </w:r>
      <w:r w:rsidRPr="00F978AE">
        <w:rPr>
          <w:bCs/>
        </w:rPr>
        <w:t>A</w:t>
      </w:r>
      <w:r>
        <w:rPr>
          <w:bCs/>
        </w:rPr>
        <w:t>–C</w:t>
      </w:r>
      <w:r w:rsidRPr="00F978AE">
        <w:rPr>
          <w:bCs/>
        </w:rPr>
        <w:t>)</w:t>
      </w:r>
      <w:r>
        <w:t xml:space="preserve"> Treatment effect in all (A), female (B), and male (C) P301S-tau mice in the low-dose group. D–F) Treatment effect in all (D), female (E), and male (F) P301S-tau mice in the high-dose group. The data are presented as</w:t>
      </w:r>
      <w:r w:rsidRPr="0053089E">
        <w:t xml:space="preserve"> mean </w:t>
      </w:r>
      <w:r>
        <w:t xml:space="preserve">± SD. P-values were calculated using a one-way, repeated-measure ANOVA with </w:t>
      </w:r>
      <w:r>
        <w:rPr>
          <w:i/>
          <w:iCs/>
        </w:rPr>
        <w:t>post hoc</w:t>
      </w:r>
      <w:r>
        <w:t xml:space="preserve"> Tukey test.</w:t>
      </w:r>
    </w:p>
    <w:p w14:paraId="3B715B86" w14:textId="06D10311" w:rsidR="00946E8A" w:rsidRDefault="00946E8A" w:rsidP="001A0311">
      <w:pPr>
        <w:tabs>
          <w:tab w:val="left" w:pos="1040"/>
        </w:tabs>
        <w:jc w:val="both"/>
      </w:pPr>
    </w:p>
    <w:p w14:paraId="1B6F5F6C" w14:textId="1BB131CD" w:rsidR="00946E8A" w:rsidRDefault="00946E8A" w:rsidP="00946E8A">
      <w:pPr>
        <w:tabs>
          <w:tab w:val="left" w:pos="1040"/>
        </w:tabs>
        <w:jc w:val="center"/>
      </w:pPr>
      <w:r>
        <w:rPr>
          <w:noProof/>
          <w:lang w:bidi="ar-SA"/>
        </w:rPr>
        <w:lastRenderedPageBreak/>
        <w:drawing>
          <wp:inline distT="0" distB="0" distL="0" distR="0" wp14:anchorId="1C920C97" wp14:editId="5679DA1B">
            <wp:extent cx="5943600" cy="51771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hqprint">
                      <a:extLst>
                        <a:ext uri="{28A0092B-C50C-407E-A947-70E740481C1C}">
                          <a14:useLocalDpi xmlns:a14="http://schemas.microsoft.com/office/drawing/2010/main" val="0"/>
                        </a:ext>
                      </a:extLst>
                    </a:blip>
                    <a:stretch>
                      <a:fillRect/>
                    </a:stretch>
                  </pic:blipFill>
                  <pic:spPr>
                    <a:xfrm>
                      <a:off x="0" y="0"/>
                      <a:ext cx="5943600" cy="5177155"/>
                    </a:xfrm>
                    <a:prstGeom prst="rect">
                      <a:avLst/>
                    </a:prstGeom>
                  </pic:spPr>
                </pic:pic>
              </a:graphicData>
            </a:graphic>
          </wp:inline>
        </w:drawing>
      </w:r>
    </w:p>
    <w:p w14:paraId="77D03FD7" w14:textId="267B8D83" w:rsidR="00946E8A" w:rsidRDefault="00946E8A" w:rsidP="00946E8A">
      <w:pPr>
        <w:tabs>
          <w:tab w:val="left" w:pos="1040"/>
        </w:tabs>
        <w:jc w:val="center"/>
      </w:pPr>
    </w:p>
    <w:p w14:paraId="57B6BAF8" w14:textId="0597EBCA" w:rsidR="00E31920" w:rsidRDefault="00E31920" w:rsidP="00080A76">
      <w:pPr>
        <w:tabs>
          <w:tab w:val="left" w:pos="1040"/>
        </w:tabs>
        <w:jc w:val="both"/>
      </w:pPr>
      <w:r>
        <w:rPr>
          <w:b/>
        </w:rPr>
        <w:t xml:space="preserve">Supplementary </w:t>
      </w:r>
      <w:r w:rsidRPr="00662719">
        <w:rPr>
          <w:b/>
        </w:rPr>
        <w:t>Figure S3</w:t>
      </w:r>
      <w:r>
        <w:rPr>
          <w:b/>
        </w:rPr>
        <w:t>.</w:t>
      </w:r>
      <w:r w:rsidRPr="00662719">
        <w:rPr>
          <w:b/>
        </w:rPr>
        <w:t xml:space="preserve"> </w:t>
      </w:r>
      <w:r>
        <w:rPr>
          <w:b/>
        </w:rPr>
        <w:t>Grip-strength</w:t>
      </w:r>
      <w:r w:rsidRPr="00662719">
        <w:rPr>
          <w:b/>
        </w:rPr>
        <w:t xml:space="preserve"> does not </w:t>
      </w:r>
      <w:r>
        <w:rPr>
          <w:b/>
        </w:rPr>
        <w:t>change significantly</w:t>
      </w:r>
      <w:r w:rsidRPr="00662719">
        <w:rPr>
          <w:b/>
        </w:rPr>
        <w:t xml:space="preserve"> in wild</w:t>
      </w:r>
      <w:r>
        <w:rPr>
          <w:b/>
        </w:rPr>
        <w:t>-</w:t>
      </w:r>
      <w:r w:rsidRPr="009031E5">
        <w:rPr>
          <w:b/>
        </w:rPr>
        <w:t xml:space="preserve">type </w:t>
      </w:r>
      <w:r>
        <w:rPr>
          <w:b/>
        </w:rPr>
        <w:t>mice.</w:t>
      </w:r>
      <w:r w:rsidRPr="00D60E47">
        <w:rPr>
          <w:bCs/>
        </w:rPr>
        <w:t xml:space="preserve"> </w:t>
      </w:r>
      <w:r w:rsidRPr="009031E5">
        <w:rPr>
          <w:bCs/>
        </w:rPr>
        <w:t xml:space="preserve">Wild-type </w:t>
      </w:r>
      <w:r>
        <w:t xml:space="preserve">littermates of the P301S-tau mice used in the study were </w:t>
      </w:r>
      <w:r w:rsidR="00080A76">
        <w:t>subjected to</w:t>
      </w:r>
      <w:r>
        <w:t xml:space="preserve"> the</w:t>
      </w:r>
      <w:r w:rsidRPr="00091FD7">
        <w:t xml:space="preserve"> grip</w:t>
      </w:r>
      <w:r>
        <w:t>-</w:t>
      </w:r>
      <w:r w:rsidRPr="00F978AE">
        <w:t>strength</w:t>
      </w:r>
      <w:r>
        <w:t xml:space="preserve"> </w:t>
      </w:r>
      <w:r w:rsidR="00080A76">
        <w:t>test</w:t>
      </w:r>
      <w:r w:rsidRPr="00F978AE">
        <w:t xml:space="preserve"> </w:t>
      </w:r>
      <w:r>
        <w:t>in</w:t>
      </w:r>
      <w:r w:rsidRPr="00F978AE">
        <w:t xml:space="preserve"> the </w:t>
      </w:r>
      <w:r>
        <w:t>beginning</w:t>
      </w:r>
      <w:r w:rsidRPr="00F978AE">
        <w:t>, middle</w:t>
      </w:r>
      <w:r>
        <w:t>,</w:t>
      </w:r>
      <w:r w:rsidRPr="00F978AE">
        <w:t xml:space="preserve"> and </w:t>
      </w:r>
      <w:r w:rsidRPr="00144100">
        <w:t>end of the treatment</w:t>
      </w:r>
      <w:r w:rsidRPr="00F978AE">
        <w:t xml:space="preserve">. </w:t>
      </w:r>
      <w:r w:rsidRPr="00F978AE">
        <w:rPr>
          <w:bCs/>
        </w:rPr>
        <w:t>A</w:t>
      </w:r>
      <w:r>
        <w:rPr>
          <w:bCs/>
        </w:rPr>
        <w:t>–C</w:t>
      </w:r>
      <w:r w:rsidRPr="00F978AE">
        <w:rPr>
          <w:bCs/>
        </w:rPr>
        <w:t>)</w:t>
      </w:r>
      <w:r>
        <w:t xml:space="preserve"> Grip-strength in all (A), female (B), and male (C) vehicle-treated wild-type mice. D–F) Treatment effect in all (D), female (E), and male (F) wild-type mice receiving 1.0 mg/Kg per day CLR01. The data are presented as</w:t>
      </w:r>
      <w:r w:rsidRPr="0053089E">
        <w:t xml:space="preserve"> mean </w:t>
      </w:r>
      <w:r>
        <w:t xml:space="preserve">± SD. P-values were calculated using a one-way, repeated-measure ANOVA with </w:t>
      </w:r>
      <w:r>
        <w:rPr>
          <w:i/>
          <w:iCs/>
        </w:rPr>
        <w:t>post hoc</w:t>
      </w:r>
      <w:r>
        <w:t xml:space="preserve"> Tukey test.</w:t>
      </w:r>
    </w:p>
    <w:p w14:paraId="303D645F" w14:textId="3E406EFF" w:rsidR="006971A5" w:rsidRDefault="006971A5" w:rsidP="00080A76">
      <w:pPr>
        <w:tabs>
          <w:tab w:val="left" w:pos="1040"/>
        </w:tabs>
        <w:jc w:val="both"/>
      </w:pPr>
    </w:p>
    <w:p w14:paraId="48EF0859" w14:textId="34161E5D" w:rsidR="006971A5" w:rsidRDefault="006971A5" w:rsidP="006971A5">
      <w:pPr>
        <w:tabs>
          <w:tab w:val="left" w:pos="1040"/>
        </w:tabs>
        <w:jc w:val="center"/>
      </w:pPr>
      <w:r>
        <w:rPr>
          <w:noProof/>
          <w:lang w:bidi="ar-SA"/>
        </w:rPr>
        <w:lastRenderedPageBreak/>
        <w:drawing>
          <wp:inline distT="0" distB="0" distL="0" distR="0" wp14:anchorId="60E9810D" wp14:editId="1AD68E19">
            <wp:extent cx="5943600" cy="30911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cstate="hqprint">
                      <a:extLst>
                        <a:ext uri="{28A0092B-C50C-407E-A947-70E740481C1C}">
                          <a14:useLocalDpi xmlns:a14="http://schemas.microsoft.com/office/drawing/2010/main" val="0"/>
                        </a:ext>
                      </a:extLst>
                    </a:blip>
                    <a:stretch>
                      <a:fillRect/>
                    </a:stretch>
                  </pic:blipFill>
                  <pic:spPr>
                    <a:xfrm>
                      <a:off x="0" y="0"/>
                      <a:ext cx="5943600" cy="3091180"/>
                    </a:xfrm>
                    <a:prstGeom prst="rect">
                      <a:avLst/>
                    </a:prstGeom>
                  </pic:spPr>
                </pic:pic>
              </a:graphicData>
            </a:graphic>
          </wp:inline>
        </w:drawing>
      </w:r>
    </w:p>
    <w:p w14:paraId="4F97A1FD" w14:textId="307AF32B" w:rsidR="006971A5" w:rsidRDefault="006971A5" w:rsidP="006971A5">
      <w:pPr>
        <w:tabs>
          <w:tab w:val="left" w:pos="1040"/>
        </w:tabs>
        <w:jc w:val="center"/>
      </w:pPr>
    </w:p>
    <w:p w14:paraId="759870E2" w14:textId="0E8CAD58" w:rsidR="0015106C" w:rsidRDefault="0015106C" w:rsidP="0015106C">
      <w:pPr>
        <w:tabs>
          <w:tab w:val="left" w:pos="1040"/>
        </w:tabs>
        <w:jc w:val="both"/>
      </w:pPr>
      <w:r w:rsidRPr="0015106C">
        <w:rPr>
          <w:b/>
        </w:rPr>
        <w:t>Supplementary Figure S4. Differences in open-field behavior between P301S-tau and wild-type mice before and after treatment.</w:t>
      </w:r>
      <w:r w:rsidRPr="0015106C">
        <w:t xml:space="preserve"> All the mice were examined in the beginning and end of the treatment for 5 min in the open-field test. All sessions were video-recorded and data were analyzed using ANY-maze. A) Total time (in seconds) each individual animal was mobile during the test. B) Total distance travelled (in meters) by each individual animal during the test. Data are presented as mean ± SD. P-values were calculated first using a mixed-effect, repeated-measure model with </w:t>
      </w:r>
      <w:r w:rsidRPr="0015106C">
        <w:rPr>
          <w:i/>
          <w:iCs/>
        </w:rPr>
        <w:t>post hoc</w:t>
      </w:r>
      <w:r w:rsidRPr="0015106C">
        <w:t xml:space="preserve"> </w:t>
      </w:r>
      <w:proofErr w:type="spellStart"/>
      <w:r w:rsidRPr="0015106C">
        <w:t>Sidak</w:t>
      </w:r>
      <w:proofErr w:type="spellEnd"/>
      <w:r w:rsidRPr="0015106C">
        <w:t xml:space="preserve"> test (not shown). Then, the grouped p-values shown in the figure were calculated using unpaired t-tests.</w:t>
      </w:r>
    </w:p>
    <w:p w14:paraId="45E2CCB4" w14:textId="28D3F706" w:rsidR="006B5D95" w:rsidRDefault="006B5D95" w:rsidP="0015106C">
      <w:pPr>
        <w:tabs>
          <w:tab w:val="left" w:pos="1040"/>
        </w:tabs>
        <w:jc w:val="both"/>
      </w:pPr>
    </w:p>
    <w:p w14:paraId="66B86EA7" w14:textId="0C269395" w:rsidR="006B5D95" w:rsidRDefault="00A53B90" w:rsidP="006B5D95">
      <w:pPr>
        <w:tabs>
          <w:tab w:val="left" w:pos="1040"/>
        </w:tabs>
        <w:jc w:val="center"/>
      </w:pPr>
      <w:r>
        <w:rPr>
          <w:noProof/>
          <w:lang w:bidi="ar-SA"/>
        </w:rPr>
        <w:drawing>
          <wp:inline distT="0" distB="0" distL="0" distR="0" wp14:anchorId="6329D474" wp14:editId="2B6A9610">
            <wp:extent cx="5943600" cy="19215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5943600" cy="1921510"/>
                    </a:xfrm>
                    <a:prstGeom prst="rect">
                      <a:avLst/>
                    </a:prstGeom>
                  </pic:spPr>
                </pic:pic>
              </a:graphicData>
            </a:graphic>
          </wp:inline>
        </w:drawing>
      </w:r>
    </w:p>
    <w:p w14:paraId="3EF86038" w14:textId="59901ACF" w:rsidR="00A53B90" w:rsidRDefault="00A53B90" w:rsidP="006B5D95">
      <w:pPr>
        <w:tabs>
          <w:tab w:val="left" w:pos="1040"/>
        </w:tabs>
        <w:jc w:val="center"/>
      </w:pPr>
    </w:p>
    <w:p w14:paraId="1418837C" w14:textId="705692B3" w:rsidR="00A53B90" w:rsidRDefault="00A53B90" w:rsidP="00A53B90">
      <w:pPr>
        <w:tabs>
          <w:tab w:val="left" w:pos="1040"/>
        </w:tabs>
        <w:jc w:val="both"/>
      </w:pPr>
      <w:r w:rsidRPr="00A53B90">
        <w:rPr>
          <w:b/>
        </w:rPr>
        <w:t>Supplementary Figure S</w:t>
      </w:r>
      <w:r>
        <w:rPr>
          <w:b/>
        </w:rPr>
        <w:t>5</w:t>
      </w:r>
      <w:r w:rsidRPr="00A53B90">
        <w:rPr>
          <w:b/>
        </w:rPr>
        <w:t>. CLR01 treatment moderately increases P301S-tau mice grooming.</w:t>
      </w:r>
      <w:r w:rsidRPr="00A53B90">
        <w:t xml:space="preserve"> The number of grooming episodes before and after the treatment was recorded manually by a blinded observer using the video recordings of the open-field test. P-values for the differences between the two time points in each group were calculated using paired t-tests.</w:t>
      </w:r>
    </w:p>
    <w:p w14:paraId="4446CF11" w14:textId="6B82AAB2" w:rsidR="000B64E6" w:rsidRDefault="000B64E6" w:rsidP="00A53B90">
      <w:pPr>
        <w:tabs>
          <w:tab w:val="left" w:pos="1040"/>
        </w:tabs>
        <w:jc w:val="both"/>
      </w:pPr>
    </w:p>
    <w:p w14:paraId="0EDB619B" w14:textId="30645FB0" w:rsidR="000B64E6" w:rsidRDefault="000B64E6" w:rsidP="000B64E6">
      <w:pPr>
        <w:tabs>
          <w:tab w:val="left" w:pos="1040"/>
        </w:tabs>
        <w:jc w:val="center"/>
      </w:pPr>
    </w:p>
    <w:p w14:paraId="5679B8AF" w14:textId="33D6FBBF" w:rsidR="000B64E6" w:rsidRDefault="003A51A3" w:rsidP="000B64E6">
      <w:pPr>
        <w:tabs>
          <w:tab w:val="left" w:pos="1040"/>
        </w:tabs>
        <w:jc w:val="center"/>
      </w:pPr>
      <w:r>
        <w:rPr>
          <w:noProof/>
          <w:lang w:bidi="ar-SA"/>
        </w:rPr>
        <w:lastRenderedPageBreak/>
        <w:drawing>
          <wp:inline distT="0" distB="0" distL="0" distR="0" wp14:anchorId="598499D7" wp14:editId="3C9E63E7">
            <wp:extent cx="4467069" cy="2736321"/>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4568089" cy="2798201"/>
                    </a:xfrm>
                    <a:prstGeom prst="rect">
                      <a:avLst/>
                    </a:prstGeom>
                  </pic:spPr>
                </pic:pic>
              </a:graphicData>
            </a:graphic>
          </wp:inline>
        </w:drawing>
      </w:r>
    </w:p>
    <w:p w14:paraId="511F8362" w14:textId="6AAF9CCC" w:rsidR="00B66472" w:rsidRDefault="00B66472" w:rsidP="00B66472">
      <w:pPr>
        <w:tabs>
          <w:tab w:val="left" w:pos="1040"/>
        </w:tabs>
        <w:jc w:val="both"/>
      </w:pPr>
      <w:r w:rsidRPr="00B66472">
        <w:rPr>
          <w:b/>
        </w:rPr>
        <w:t>Supplementary Figure S</w:t>
      </w:r>
      <w:r>
        <w:rPr>
          <w:b/>
        </w:rPr>
        <w:t>6</w:t>
      </w:r>
      <w:r w:rsidRPr="00B66472">
        <w:rPr>
          <w:b/>
        </w:rPr>
        <w:t xml:space="preserve">. The decrease in </w:t>
      </w:r>
      <w:r w:rsidRPr="00B66472">
        <w:rPr>
          <w:b/>
          <w:bCs/>
        </w:rPr>
        <w:t>hyperphosphorylated tau in the hippocampus of P301S-tau mice is</w:t>
      </w:r>
      <w:r w:rsidRPr="00B66472">
        <w:rPr>
          <w:b/>
        </w:rPr>
        <w:t xml:space="preserve"> mainly driven by the males. </w:t>
      </w:r>
      <w:r w:rsidRPr="00B66472">
        <w:t xml:space="preserve">Brain sections from P301S-tau mice were stained with monoclonal antibody AT8 and visualized by immunofluorescence. </w:t>
      </w:r>
      <w:r w:rsidRPr="00B66472">
        <w:rPr>
          <w:bCs/>
        </w:rPr>
        <w:t>The data were quantified as the percentage of AT8-positive area in the hippocampus and</w:t>
      </w:r>
      <w:r w:rsidRPr="00B66472">
        <w:t xml:space="preserve"> are presented as mean ± SD. P-values were calculated using a two-way ANOVA with </w:t>
      </w:r>
      <w:r w:rsidRPr="00B66472">
        <w:rPr>
          <w:i/>
          <w:iCs/>
        </w:rPr>
        <w:t>post hoc</w:t>
      </w:r>
      <w:r w:rsidRPr="00B66472">
        <w:t xml:space="preserve"> Tukey test.</w:t>
      </w:r>
    </w:p>
    <w:p w14:paraId="6E1F3624" w14:textId="3E6D02D5" w:rsidR="003A51A3" w:rsidRDefault="003A51A3" w:rsidP="00B66472">
      <w:pPr>
        <w:tabs>
          <w:tab w:val="left" w:pos="1040"/>
        </w:tabs>
        <w:jc w:val="both"/>
      </w:pPr>
    </w:p>
    <w:p w14:paraId="771273AD" w14:textId="4048DED8" w:rsidR="003A51A3" w:rsidRDefault="003A51A3" w:rsidP="003A51A3">
      <w:pPr>
        <w:tabs>
          <w:tab w:val="left" w:pos="1040"/>
        </w:tabs>
        <w:jc w:val="center"/>
      </w:pPr>
      <w:r>
        <w:rPr>
          <w:noProof/>
          <w:lang w:bidi="ar-SA"/>
        </w:rPr>
        <w:drawing>
          <wp:inline distT="0" distB="0" distL="0" distR="0" wp14:anchorId="1C2D3878" wp14:editId="114514F7">
            <wp:extent cx="4534524" cy="3373764"/>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cstate="hqprint">
                      <a:extLst>
                        <a:ext uri="{28A0092B-C50C-407E-A947-70E740481C1C}">
                          <a14:useLocalDpi xmlns:a14="http://schemas.microsoft.com/office/drawing/2010/main" val="0"/>
                        </a:ext>
                      </a:extLst>
                    </a:blip>
                    <a:stretch>
                      <a:fillRect/>
                    </a:stretch>
                  </pic:blipFill>
                  <pic:spPr>
                    <a:xfrm>
                      <a:off x="0" y="0"/>
                      <a:ext cx="4667125" cy="3472422"/>
                    </a:xfrm>
                    <a:prstGeom prst="rect">
                      <a:avLst/>
                    </a:prstGeom>
                  </pic:spPr>
                </pic:pic>
              </a:graphicData>
            </a:graphic>
          </wp:inline>
        </w:drawing>
      </w:r>
    </w:p>
    <w:p w14:paraId="4699C9C7" w14:textId="5A6FE33B" w:rsidR="003A51A3" w:rsidRDefault="003A51A3" w:rsidP="003A51A3">
      <w:pPr>
        <w:tabs>
          <w:tab w:val="left" w:pos="1040"/>
        </w:tabs>
        <w:jc w:val="center"/>
      </w:pPr>
    </w:p>
    <w:p w14:paraId="2CEB792C" w14:textId="7CFB89ED" w:rsidR="003A51A3" w:rsidRDefault="003A51A3" w:rsidP="003A51A3">
      <w:pPr>
        <w:tabs>
          <w:tab w:val="left" w:pos="1040"/>
        </w:tabs>
        <w:jc w:val="both"/>
      </w:pPr>
      <w:r w:rsidRPr="003A51A3">
        <w:rPr>
          <w:b/>
        </w:rPr>
        <w:t>Supplementary Figure S7. Analysis by sex of CLR01’s effect</w:t>
      </w:r>
      <w:r w:rsidRPr="003A51A3">
        <w:rPr>
          <w:b/>
          <w:bCs/>
        </w:rPr>
        <w:t xml:space="preserve"> on tau aggregation in the CA3 region of P301S-tau mice.</w:t>
      </w:r>
      <w:r w:rsidRPr="003A51A3">
        <w:rPr>
          <w:b/>
        </w:rPr>
        <w:t xml:space="preserve"> </w:t>
      </w:r>
      <w:r w:rsidRPr="003A51A3">
        <w:t xml:space="preserve">Brain sections from P301S-tau mice were stained with Gallyas silver-stain. </w:t>
      </w:r>
      <w:r w:rsidRPr="003A51A3">
        <w:rPr>
          <w:bCs/>
        </w:rPr>
        <w:t>The data were quantified as the number of tau-aggregate-containing cells per mm</w:t>
      </w:r>
      <w:r w:rsidRPr="003A51A3">
        <w:rPr>
          <w:bCs/>
          <w:vertAlign w:val="superscript"/>
        </w:rPr>
        <w:t>2</w:t>
      </w:r>
      <w:r w:rsidRPr="003A51A3">
        <w:rPr>
          <w:bCs/>
        </w:rPr>
        <w:t xml:space="preserve"> in the CA3</w:t>
      </w:r>
      <w:r w:rsidR="005672BF">
        <w:rPr>
          <w:bCs/>
        </w:rPr>
        <w:t xml:space="preserve"> and</w:t>
      </w:r>
      <w:r w:rsidRPr="003A51A3">
        <w:t xml:space="preserve"> are presented as mean ± SD. P-values were calculated using a two-way ANOVA with </w:t>
      </w:r>
      <w:r w:rsidRPr="003A51A3">
        <w:rPr>
          <w:i/>
          <w:iCs/>
        </w:rPr>
        <w:t>post hoc</w:t>
      </w:r>
      <w:r w:rsidRPr="003A51A3">
        <w:t xml:space="preserve"> </w:t>
      </w:r>
      <w:proofErr w:type="spellStart"/>
      <w:r w:rsidRPr="003A51A3">
        <w:t>Sidak</w:t>
      </w:r>
      <w:proofErr w:type="spellEnd"/>
      <w:r w:rsidRPr="003A51A3">
        <w:t xml:space="preserve"> test.</w:t>
      </w:r>
    </w:p>
    <w:p w14:paraId="58E74E8B" w14:textId="7DE51908" w:rsidR="002066F6" w:rsidRDefault="003D20DC" w:rsidP="002066F6">
      <w:pPr>
        <w:tabs>
          <w:tab w:val="left" w:pos="1040"/>
        </w:tabs>
        <w:jc w:val="center"/>
      </w:pPr>
      <w:r>
        <w:rPr>
          <w:noProof/>
        </w:rPr>
        <w:lastRenderedPageBreak/>
        <w:drawing>
          <wp:inline distT="0" distB="0" distL="0" distR="0" wp14:anchorId="58FE4689" wp14:editId="43D76737">
            <wp:extent cx="5943600" cy="5000625"/>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a:extLst>
                        <a:ext uri="{28A0092B-C50C-407E-A947-70E740481C1C}">
                          <a14:useLocalDpi xmlns:a14="http://schemas.microsoft.com/office/drawing/2010/main" val="0"/>
                        </a:ext>
                      </a:extLst>
                    </a:blip>
                    <a:stretch>
                      <a:fillRect/>
                    </a:stretch>
                  </pic:blipFill>
                  <pic:spPr>
                    <a:xfrm>
                      <a:off x="0" y="0"/>
                      <a:ext cx="5943600" cy="5000625"/>
                    </a:xfrm>
                    <a:prstGeom prst="rect">
                      <a:avLst/>
                    </a:prstGeom>
                  </pic:spPr>
                </pic:pic>
              </a:graphicData>
            </a:graphic>
          </wp:inline>
        </w:drawing>
      </w:r>
    </w:p>
    <w:p w14:paraId="1618A65B" w14:textId="5E95B118" w:rsidR="002066F6" w:rsidRDefault="002066F6" w:rsidP="002066F6">
      <w:pPr>
        <w:tabs>
          <w:tab w:val="left" w:pos="1040"/>
        </w:tabs>
        <w:jc w:val="center"/>
      </w:pPr>
    </w:p>
    <w:p w14:paraId="42B8FB39" w14:textId="43EC00AF" w:rsidR="002066F6" w:rsidRDefault="002066F6" w:rsidP="002066F6">
      <w:pPr>
        <w:tabs>
          <w:tab w:val="left" w:pos="1040"/>
        </w:tabs>
        <w:jc w:val="both"/>
      </w:pPr>
      <w:r w:rsidRPr="002066F6">
        <w:rPr>
          <w:b/>
        </w:rPr>
        <w:t>Supplementary Figure S8. Analysis of neurodegeneration in the CA3 region</w:t>
      </w:r>
      <w:r w:rsidRPr="002066F6">
        <w:rPr>
          <w:b/>
          <w:bCs/>
        </w:rPr>
        <w:t xml:space="preserve"> of P301S-tau mice</w:t>
      </w:r>
      <w:r w:rsidRPr="002066F6">
        <w:rPr>
          <w:b/>
        </w:rPr>
        <w:t xml:space="preserve">. </w:t>
      </w:r>
      <w:r w:rsidRPr="002066F6">
        <w:t>Brain sections from P301S-tau mice were stained using an anti-</w:t>
      </w:r>
      <w:proofErr w:type="spellStart"/>
      <w:r w:rsidRPr="002066F6">
        <w:t>NeuN</w:t>
      </w:r>
      <w:proofErr w:type="spellEnd"/>
      <w:r w:rsidRPr="002066F6">
        <w:t xml:space="preserve"> antibody (green) and counter-stained using an anti-GFAP antibody (red)</w:t>
      </w:r>
      <w:r>
        <w:t>,</w:t>
      </w:r>
      <w:r w:rsidRPr="002066F6">
        <w:t xml:space="preserve"> to facilitate delineation of the CA3 region, and DAPI (blue). Representative images are shown for individual mice from the A) vehicle-treated, B) low-dose, and C) high-dose groups. The circle in panel A shows an area of neurodegeneration observed in two out of the eight mice in this group. D) The data were quantified as the number of neuronal nuclei per mm</w:t>
      </w:r>
      <w:r w:rsidRPr="002066F6">
        <w:rPr>
          <w:vertAlign w:val="superscript"/>
        </w:rPr>
        <w:t>2</w:t>
      </w:r>
      <w:r w:rsidRPr="002066F6">
        <w:t xml:space="preserve"> in the CA3 and are presented as mean ± SD. P-values were calculated using a two-way ANOVA with </w:t>
      </w:r>
      <w:r w:rsidRPr="002066F6">
        <w:rPr>
          <w:i/>
          <w:iCs/>
        </w:rPr>
        <w:t>post hoc</w:t>
      </w:r>
      <w:r w:rsidRPr="002066F6">
        <w:t xml:space="preserve"> Tukey test.</w:t>
      </w:r>
    </w:p>
    <w:p w14:paraId="4FE31523" w14:textId="55AEB834" w:rsidR="00234936" w:rsidRDefault="00234936" w:rsidP="002066F6">
      <w:pPr>
        <w:tabs>
          <w:tab w:val="left" w:pos="1040"/>
        </w:tabs>
        <w:jc w:val="both"/>
      </w:pPr>
    </w:p>
    <w:p w14:paraId="2ADD9096" w14:textId="10145E3D" w:rsidR="00234936" w:rsidRDefault="00227F0F" w:rsidP="00234936">
      <w:pPr>
        <w:tabs>
          <w:tab w:val="left" w:pos="1040"/>
        </w:tabs>
        <w:jc w:val="center"/>
      </w:pPr>
      <w:r>
        <w:rPr>
          <w:noProof/>
          <w:lang w:bidi="ar-SA"/>
        </w:rPr>
        <w:lastRenderedPageBreak/>
        <w:drawing>
          <wp:inline distT="0" distB="0" distL="0" distR="0" wp14:anchorId="599E15AC" wp14:editId="1004A95C">
            <wp:extent cx="5906814" cy="68130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cstate="hqprint">
                      <a:extLst>
                        <a:ext uri="{28A0092B-C50C-407E-A947-70E740481C1C}">
                          <a14:useLocalDpi xmlns:a14="http://schemas.microsoft.com/office/drawing/2010/main" val="0"/>
                        </a:ext>
                      </a:extLst>
                    </a:blip>
                    <a:stretch>
                      <a:fillRect/>
                    </a:stretch>
                  </pic:blipFill>
                  <pic:spPr>
                    <a:xfrm>
                      <a:off x="0" y="0"/>
                      <a:ext cx="5910811" cy="6817640"/>
                    </a:xfrm>
                    <a:prstGeom prst="rect">
                      <a:avLst/>
                    </a:prstGeom>
                  </pic:spPr>
                </pic:pic>
              </a:graphicData>
            </a:graphic>
          </wp:inline>
        </w:drawing>
      </w:r>
    </w:p>
    <w:p w14:paraId="786FFB3C" w14:textId="7B062C06" w:rsidR="00227F0F" w:rsidRDefault="00227F0F" w:rsidP="00234936">
      <w:pPr>
        <w:tabs>
          <w:tab w:val="left" w:pos="1040"/>
        </w:tabs>
        <w:jc w:val="center"/>
      </w:pPr>
    </w:p>
    <w:p w14:paraId="36D3CC81" w14:textId="10D3CBFF" w:rsidR="00227F0F" w:rsidRPr="002066F6" w:rsidRDefault="00227F0F" w:rsidP="00227F0F">
      <w:pPr>
        <w:tabs>
          <w:tab w:val="left" w:pos="1040"/>
        </w:tabs>
        <w:jc w:val="both"/>
      </w:pPr>
      <w:r w:rsidRPr="00227F0F">
        <w:rPr>
          <w:b/>
          <w:bCs/>
        </w:rPr>
        <w:t>Supplementary Figure S9. Analysis of pre-synapse and post-synapse in the CA3 region.</w:t>
      </w:r>
      <w:r w:rsidRPr="00227F0F">
        <w:t xml:space="preserve"> Brain sections were stained using anti-bassoon</w:t>
      </w:r>
      <w:r w:rsidR="00EB7635">
        <w:t xml:space="preserve"> (A–E)</w:t>
      </w:r>
      <w:r>
        <w:t xml:space="preserve"> or</w:t>
      </w:r>
      <w:r w:rsidRPr="00227F0F">
        <w:t xml:space="preserve"> anti-homer</w:t>
      </w:r>
      <w:r w:rsidR="00EB7635">
        <w:t xml:space="preserve"> (G–K)</w:t>
      </w:r>
      <w:r w:rsidRPr="00227F0F">
        <w:t xml:space="preserve"> </w:t>
      </w:r>
      <w:r>
        <w:t>antibodies</w:t>
      </w:r>
      <w:r w:rsidRPr="00227F0F">
        <w:t>. Representative images are shown for A</w:t>
      </w:r>
      <w:r w:rsidR="00D47AEF">
        <w:t>,G</w:t>
      </w:r>
      <w:r w:rsidRPr="00227F0F">
        <w:t xml:space="preserve">) </w:t>
      </w:r>
      <w:r w:rsidR="008512B9">
        <w:t>w</w:t>
      </w:r>
      <w:r w:rsidRPr="00227F0F">
        <w:t>ild</w:t>
      </w:r>
      <w:r w:rsidR="00D47AEF">
        <w:t>-</w:t>
      </w:r>
      <w:r w:rsidRPr="00227F0F">
        <w:t>type</w:t>
      </w:r>
      <w:r w:rsidR="008512B9">
        <w:t xml:space="preserve"> mice treated with vehicle</w:t>
      </w:r>
      <w:r w:rsidR="00D47AEF">
        <w:t xml:space="preserve"> (WT-0),</w:t>
      </w:r>
      <w:r w:rsidRPr="00227F0F">
        <w:t xml:space="preserve"> B</w:t>
      </w:r>
      <w:r w:rsidR="00D47AEF">
        <w:t>,H</w:t>
      </w:r>
      <w:r w:rsidRPr="00227F0F">
        <w:t xml:space="preserve">) </w:t>
      </w:r>
      <w:r w:rsidR="00D47AEF">
        <w:t>w</w:t>
      </w:r>
      <w:r w:rsidR="00D47AEF" w:rsidRPr="00227F0F">
        <w:t>ild</w:t>
      </w:r>
      <w:r w:rsidR="00D47AEF">
        <w:t>-</w:t>
      </w:r>
      <w:r w:rsidR="00D47AEF" w:rsidRPr="00227F0F">
        <w:t>type</w:t>
      </w:r>
      <w:r w:rsidR="00D47AEF">
        <w:t xml:space="preserve"> mice treated with </w:t>
      </w:r>
      <w:r w:rsidRPr="00227F0F">
        <w:t>1.0</w:t>
      </w:r>
      <w:r w:rsidR="00D47AEF">
        <w:t xml:space="preserve"> mg/Kg CLR01 (WT-1.0)</w:t>
      </w:r>
      <w:r w:rsidRPr="00227F0F">
        <w:t>, C</w:t>
      </w:r>
      <w:r w:rsidR="00D47AEF">
        <w:t>,I</w:t>
      </w:r>
      <w:r w:rsidRPr="00227F0F">
        <w:t xml:space="preserve">) </w:t>
      </w:r>
      <w:r w:rsidR="00D47AEF">
        <w:t>P301S-tau mice treated with vehicle (</w:t>
      </w:r>
      <w:r w:rsidRPr="00227F0F">
        <w:t>Tg-0</w:t>
      </w:r>
      <w:r w:rsidR="00D47AEF">
        <w:t>)</w:t>
      </w:r>
      <w:r w:rsidRPr="00227F0F">
        <w:t>, D</w:t>
      </w:r>
      <w:r w:rsidR="00D47AEF">
        <w:t>,J</w:t>
      </w:r>
      <w:r w:rsidRPr="00227F0F">
        <w:t xml:space="preserve">) </w:t>
      </w:r>
      <w:r w:rsidR="00D47AEF">
        <w:t>P301S-tau mice treated with 0.3 mg/Kg CLR01 (</w:t>
      </w:r>
      <w:r w:rsidR="00D47AEF" w:rsidRPr="00227F0F">
        <w:t>Tg-0</w:t>
      </w:r>
      <w:r w:rsidR="00D47AEF">
        <w:t>.3 )</w:t>
      </w:r>
      <w:r w:rsidRPr="00227F0F">
        <w:t xml:space="preserve">, </w:t>
      </w:r>
      <w:r w:rsidR="00D47AEF">
        <w:t xml:space="preserve">and </w:t>
      </w:r>
      <w:r w:rsidRPr="00227F0F">
        <w:t>E</w:t>
      </w:r>
      <w:r w:rsidR="00D47AEF">
        <w:t>,K</w:t>
      </w:r>
      <w:r w:rsidRPr="00227F0F">
        <w:t xml:space="preserve">) </w:t>
      </w:r>
      <w:r w:rsidR="00D47AEF">
        <w:t>P301S-tau mice treated with 1.0 mg/Kg CLR01.</w:t>
      </w:r>
      <w:r w:rsidRPr="00227F0F">
        <w:t xml:space="preserve"> The data were quantified as the number of puncta per unit area in </w:t>
      </w:r>
      <w:r w:rsidR="00D47AEF">
        <w:t xml:space="preserve">the </w:t>
      </w:r>
      <w:r w:rsidRPr="00227F0F">
        <w:t>CA3 region for Bassoon</w:t>
      </w:r>
      <w:r w:rsidR="00D47AEF" w:rsidRPr="00227F0F">
        <w:t xml:space="preserve"> </w:t>
      </w:r>
      <w:r w:rsidR="00D47AEF">
        <w:t>(</w:t>
      </w:r>
      <w:r w:rsidR="00D47AEF" w:rsidRPr="00227F0F">
        <w:t>F)</w:t>
      </w:r>
      <w:r w:rsidRPr="00227F0F">
        <w:t xml:space="preserve"> and Homer</w:t>
      </w:r>
      <w:r w:rsidR="00D47AEF" w:rsidRPr="00D47AEF">
        <w:t xml:space="preserve"> </w:t>
      </w:r>
      <w:r w:rsidR="00D47AEF">
        <w:t>(</w:t>
      </w:r>
      <w:r w:rsidR="00D47AEF" w:rsidRPr="00227F0F">
        <w:t>L)</w:t>
      </w:r>
      <w:r w:rsidR="00B76E03">
        <w:t>.</w:t>
      </w:r>
    </w:p>
    <w:p w14:paraId="420F4D7E" w14:textId="195E5076" w:rsidR="00D6110B" w:rsidRDefault="00EC19C7" w:rsidP="00EC19C7">
      <w:pPr>
        <w:jc w:val="center"/>
      </w:pPr>
      <w:r>
        <w:rPr>
          <w:noProof/>
          <w:lang w:bidi="ar-SA"/>
        </w:rPr>
        <w:lastRenderedPageBreak/>
        <w:drawing>
          <wp:inline distT="0" distB="0" distL="0" distR="0" wp14:anchorId="3C457E84" wp14:editId="724D93B9">
            <wp:extent cx="5397500" cy="6667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397500" cy="6667500"/>
                    </a:xfrm>
                    <a:prstGeom prst="rect">
                      <a:avLst/>
                    </a:prstGeom>
                  </pic:spPr>
                </pic:pic>
              </a:graphicData>
            </a:graphic>
          </wp:inline>
        </w:drawing>
      </w:r>
    </w:p>
    <w:p w14:paraId="369CB833" w14:textId="35535BC3" w:rsidR="00EC19C7" w:rsidRDefault="00EC19C7" w:rsidP="00EC19C7">
      <w:pPr>
        <w:jc w:val="both"/>
      </w:pPr>
    </w:p>
    <w:p w14:paraId="59F41C82" w14:textId="18BE4086" w:rsidR="00EC19C7" w:rsidRDefault="00EC19C7" w:rsidP="00EC19C7">
      <w:pPr>
        <w:jc w:val="both"/>
      </w:pPr>
      <w:r w:rsidRPr="00EC19C7">
        <w:rPr>
          <w:b/>
          <w:bCs/>
        </w:rPr>
        <w:t>Supplementary Figure S10. Analysis of tau oligomerization in P301S-tau mice.</w:t>
      </w:r>
      <w:r w:rsidRPr="00EC19C7">
        <w:t xml:space="preserve"> The soluble fraction </w:t>
      </w:r>
      <w:r w:rsidR="00736BB8">
        <w:t>of</w:t>
      </w:r>
      <w:r w:rsidRPr="00EC19C7">
        <w:t xml:space="preserve"> the hippocampus extract of P301S-tau mice was examined by A) dot blots probed using the anti-tau-oligomer antibody TOC-1, or</w:t>
      </w:r>
      <w:r w:rsidRPr="00EC19C7">
        <w:rPr>
          <w:bCs/>
        </w:rPr>
        <w:t xml:space="preserve"> B) native-PAGE/western blot probed with monoclonal antibody HT7. The dot-blots were quantified by densitometry. The data are presented as mean ± SD. </w:t>
      </w:r>
      <w:r w:rsidRPr="00EC19C7">
        <w:t xml:space="preserve">P-values were calculated using a two-way ANOVA with </w:t>
      </w:r>
      <w:r w:rsidRPr="00EC19C7">
        <w:rPr>
          <w:i/>
          <w:iCs/>
        </w:rPr>
        <w:t>post hoc</w:t>
      </w:r>
      <w:r w:rsidRPr="00EC19C7">
        <w:t xml:space="preserve"> Tukey test. The p-values in panel B were ≥ 0.107 and are not shown in the figure.</w:t>
      </w:r>
    </w:p>
    <w:p w14:paraId="4C8DB3CB" w14:textId="73375054" w:rsidR="00EC19C7" w:rsidRDefault="00EC19C7" w:rsidP="00EC19C7">
      <w:pPr>
        <w:jc w:val="both"/>
      </w:pPr>
    </w:p>
    <w:p w14:paraId="2C11A1B3" w14:textId="7F0A3E1F" w:rsidR="00EC19C7" w:rsidRDefault="003D20DC" w:rsidP="00EC19C7">
      <w:pPr>
        <w:jc w:val="center"/>
      </w:pPr>
      <w:r>
        <w:rPr>
          <w:noProof/>
        </w:rPr>
        <w:lastRenderedPageBreak/>
        <w:drawing>
          <wp:inline distT="0" distB="0" distL="0" distR="0" wp14:anchorId="46FE2FF6" wp14:editId="3CB17631">
            <wp:extent cx="5660390" cy="8229600"/>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5660390" cy="8229600"/>
                    </a:xfrm>
                    <a:prstGeom prst="rect">
                      <a:avLst/>
                    </a:prstGeom>
                  </pic:spPr>
                </pic:pic>
              </a:graphicData>
            </a:graphic>
          </wp:inline>
        </w:drawing>
      </w:r>
    </w:p>
    <w:p w14:paraId="417FC68A" w14:textId="77777777" w:rsidR="00904954" w:rsidRPr="00904954" w:rsidRDefault="00904954" w:rsidP="00904954">
      <w:pPr>
        <w:jc w:val="both"/>
        <w:rPr>
          <w:b/>
          <w:bCs/>
        </w:rPr>
      </w:pPr>
      <w:r w:rsidRPr="00904954">
        <w:rPr>
          <w:b/>
          <w:bCs/>
        </w:rPr>
        <w:lastRenderedPageBreak/>
        <w:t>Supplementary Figure S11</w:t>
      </w:r>
      <w:r w:rsidRPr="00904954">
        <w:rPr>
          <w:b/>
        </w:rPr>
        <w:t>.</w:t>
      </w:r>
      <w:r w:rsidRPr="00904954">
        <w:rPr>
          <w:b/>
          <w:bCs/>
        </w:rPr>
        <w:t xml:space="preserve"> CLR01’s effect on tau seeds in extracts from different brain regions in tau-biosensor cells</w:t>
      </w:r>
      <w:r w:rsidRPr="00904954">
        <w:rPr>
          <w:b/>
        </w:rPr>
        <w:t>.</w:t>
      </w:r>
      <w:r w:rsidRPr="00904954">
        <w:rPr>
          <w:bCs/>
        </w:rPr>
        <w:t xml:space="preserve"> The soluble and insoluble fraction of brain extracts from P301S-tau mice were added to tau-biosensor cells and incubated for 48 h. Integrated FRET density was measured by flow cytometry. A) Hippocampus soluble fraction analyzed separately for female and male mice. The data are presented as mean ± SD. </w:t>
      </w:r>
      <w:r w:rsidRPr="00904954">
        <w:t xml:space="preserve">P-values were calculated using a two-way ANOVA with </w:t>
      </w:r>
      <w:r w:rsidRPr="00904954">
        <w:rPr>
          <w:i/>
          <w:iCs/>
        </w:rPr>
        <w:t>post hoc</w:t>
      </w:r>
      <w:r w:rsidRPr="00904954">
        <w:t xml:space="preserve"> Tukey test. B–G) similar analyses of the soluble (B, D, F) and insoluble (C, E, G) fractions from extracts of the cortex (B, C), cerebellum (D, E), or midbrain and brainstem (F, G). P-values were calculated using a one-way ANOVA with </w:t>
      </w:r>
      <w:r w:rsidRPr="00904954">
        <w:rPr>
          <w:i/>
          <w:iCs/>
        </w:rPr>
        <w:t>post hoc</w:t>
      </w:r>
      <w:r w:rsidRPr="00904954">
        <w:t xml:space="preserve"> Tukey test.</w:t>
      </w:r>
    </w:p>
    <w:p w14:paraId="74E9B1EE" w14:textId="0C8F06BA" w:rsidR="00904954" w:rsidRDefault="00904954" w:rsidP="00904954">
      <w:pPr>
        <w:jc w:val="both"/>
      </w:pPr>
    </w:p>
    <w:p w14:paraId="6601C7B6" w14:textId="77777777" w:rsidR="00EE75E0" w:rsidRDefault="00EE75E0" w:rsidP="00904954">
      <w:pPr>
        <w:jc w:val="both"/>
      </w:pPr>
    </w:p>
    <w:p w14:paraId="27CFA065" w14:textId="50EF2ED0" w:rsidR="00EE75E0" w:rsidRDefault="00EE75E0" w:rsidP="00EE75E0">
      <w:pPr>
        <w:jc w:val="center"/>
      </w:pPr>
      <w:r>
        <w:rPr>
          <w:noProof/>
          <w:lang w:bidi="ar-SA"/>
        </w:rPr>
        <w:drawing>
          <wp:inline distT="0" distB="0" distL="0" distR="0" wp14:anchorId="464F561B" wp14:editId="60A982E3">
            <wp:extent cx="3769300" cy="4804348"/>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5" cstate="hqprint">
                      <a:extLst>
                        <a:ext uri="{28A0092B-C50C-407E-A947-70E740481C1C}">
                          <a14:useLocalDpi xmlns:a14="http://schemas.microsoft.com/office/drawing/2010/main" val="0"/>
                        </a:ext>
                      </a:extLst>
                    </a:blip>
                    <a:stretch>
                      <a:fillRect/>
                    </a:stretch>
                  </pic:blipFill>
                  <pic:spPr>
                    <a:xfrm>
                      <a:off x="0" y="0"/>
                      <a:ext cx="3781856" cy="4820352"/>
                    </a:xfrm>
                    <a:prstGeom prst="rect">
                      <a:avLst/>
                    </a:prstGeom>
                  </pic:spPr>
                </pic:pic>
              </a:graphicData>
            </a:graphic>
          </wp:inline>
        </w:drawing>
      </w:r>
    </w:p>
    <w:p w14:paraId="02E3C30C" w14:textId="77777777" w:rsidR="00EE75E0" w:rsidRDefault="00EE75E0" w:rsidP="00EE75E0">
      <w:pPr>
        <w:jc w:val="center"/>
      </w:pPr>
    </w:p>
    <w:p w14:paraId="30B9F352" w14:textId="259987A7" w:rsidR="00EE75E0" w:rsidRDefault="00EE75E0" w:rsidP="006F16AE">
      <w:pPr>
        <w:jc w:val="both"/>
      </w:pPr>
      <w:r w:rsidRPr="00EE75E0">
        <w:rPr>
          <w:b/>
          <w:bCs/>
        </w:rPr>
        <w:t>Supplementary Figure S12</w:t>
      </w:r>
      <w:r w:rsidRPr="00EE75E0">
        <w:rPr>
          <w:b/>
        </w:rPr>
        <w:t xml:space="preserve">. Analysis of </w:t>
      </w:r>
      <w:r w:rsidRPr="00EE75E0">
        <w:rPr>
          <w:b/>
          <w:bCs/>
        </w:rPr>
        <w:t>microglia in P301S-tau mice</w:t>
      </w:r>
      <w:r w:rsidRPr="00EE75E0">
        <w:rPr>
          <w:b/>
        </w:rPr>
        <w:t xml:space="preserve">. </w:t>
      </w:r>
      <w:r w:rsidRPr="00EE75E0">
        <w:t>A) Brain sections from P301S-tau mice were stained with an anti-Iba-1 antibody and visualized by immunofluorescence.</w:t>
      </w:r>
      <w:r w:rsidRPr="00EE75E0">
        <w:rPr>
          <w:bCs/>
        </w:rPr>
        <w:t xml:space="preserve"> The data were quantified as the percentage of Iba-1-positive area in the CA3. </w:t>
      </w:r>
      <w:r w:rsidRPr="00EE75E0">
        <w:t xml:space="preserve">The data are presented as mean ± SD. P-values were calculated using a two-way ANOVA with </w:t>
      </w:r>
      <w:r w:rsidRPr="00EE75E0">
        <w:rPr>
          <w:i/>
          <w:iCs/>
        </w:rPr>
        <w:t>post hoc</w:t>
      </w:r>
      <w:r w:rsidRPr="00EE75E0">
        <w:t xml:space="preserve"> Tukey test. B) Peculiar, rare clusters of Iba-1 staining in the cortex of two female mice in the vehicle-treated P301S-tau mice. Similar clusters were not found in other mice or other brain regions.</w:t>
      </w:r>
    </w:p>
    <w:p w14:paraId="0DF5E4C4" w14:textId="2D55F78A" w:rsidR="00CE5E40" w:rsidRDefault="00CE5E40" w:rsidP="006F16AE">
      <w:pPr>
        <w:jc w:val="both"/>
      </w:pPr>
    </w:p>
    <w:p w14:paraId="560635C9" w14:textId="19D7A05E" w:rsidR="00CE5E40" w:rsidRDefault="00CE5E40" w:rsidP="00CE5E40">
      <w:pPr>
        <w:jc w:val="center"/>
      </w:pPr>
      <w:r>
        <w:rPr>
          <w:noProof/>
          <w:lang w:bidi="ar-SA"/>
        </w:rPr>
        <w:lastRenderedPageBreak/>
        <w:drawing>
          <wp:inline distT="0" distB="0" distL="0" distR="0" wp14:anchorId="0362EEC8" wp14:editId="41F2C761">
            <wp:extent cx="5943600" cy="34175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6" cstate="hqprint">
                      <a:extLst>
                        <a:ext uri="{28A0092B-C50C-407E-A947-70E740481C1C}">
                          <a14:useLocalDpi xmlns:a14="http://schemas.microsoft.com/office/drawing/2010/main" val="0"/>
                        </a:ext>
                      </a:extLst>
                    </a:blip>
                    <a:stretch>
                      <a:fillRect/>
                    </a:stretch>
                  </pic:blipFill>
                  <pic:spPr>
                    <a:xfrm>
                      <a:off x="0" y="0"/>
                      <a:ext cx="5943600" cy="3417570"/>
                    </a:xfrm>
                    <a:prstGeom prst="rect">
                      <a:avLst/>
                    </a:prstGeom>
                  </pic:spPr>
                </pic:pic>
              </a:graphicData>
            </a:graphic>
          </wp:inline>
        </w:drawing>
      </w:r>
    </w:p>
    <w:p w14:paraId="002FFE9C" w14:textId="08B15705" w:rsidR="00CE5E40" w:rsidRDefault="00CE5E40" w:rsidP="00CE5E40">
      <w:pPr>
        <w:jc w:val="center"/>
      </w:pPr>
    </w:p>
    <w:p w14:paraId="16640AEC" w14:textId="6050899D" w:rsidR="00CE5E40" w:rsidRDefault="0086074F" w:rsidP="0086074F">
      <w:pPr>
        <w:jc w:val="both"/>
      </w:pPr>
      <w:r w:rsidRPr="0086074F">
        <w:rPr>
          <w:b/>
          <w:bCs/>
        </w:rPr>
        <w:t>Supplementary Figure S13</w:t>
      </w:r>
      <w:r w:rsidRPr="0086074F">
        <w:rPr>
          <w:b/>
        </w:rPr>
        <w:t>. CLR01 treatment shows a trend toward reduction of GFAP staining in the CA3 region of P301S-tau mice.</w:t>
      </w:r>
      <w:r w:rsidRPr="0086074F">
        <w:rPr>
          <w:b/>
          <w:bCs/>
        </w:rPr>
        <w:t xml:space="preserve"> </w:t>
      </w:r>
      <w:r w:rsidRPr="0086074F">
        <w:t xml:space="preserve">Brain sections from P301S-tau mice and wild-type littermates were stained using an anti-GFAP antibody and visualized by immunofluorescence. A-E) </w:t>
      </w:r>
      <w:r w:rsidRPr="0086074F">
        <w:rPr>
          <w:bCs/>
        </w:rPr>
        <w:t>Representative images of the CA3 area of wild-type (WT) mice treated with 0 (A) or 1.0 (B) mg/Kg CLR01 and transgenic (</w:t>
      </w:r>
      <w:proofErr w:type="spellStart"/>
      <w:r w:rsidRPr="0086074F">
        <w:rPr>
          <w:bCs/>
        </w:rPr>
        <w:t>Tg</w:t>
      </w:r>
      <w:proofErr w:type="spellEnd"/>
      <w:r w:rsidRPr="0086074F">
        <w:rPr>
          <w:bCs/>
        </w:rPr>
        <w:t>) P301S-tau mice treated with 0 (C), 0.3 (D), or 1.0 (E) mg/Kg CLR01. F) The data were quantified as the percentage of GFAP-positive area in the CA3 and</w:t>
      </w:r>
      <w:r w:rsidRPr="0086074F">
        <w:t xml:space="preserve"> are presented as mean ± SD. P-values were calculated using a one-way ANOVA with </w:t>
      </w:r>
      <w:r w:rsidRPr="0086074F">
        <w:rPr>
          <w:i/>
          <w:iCs/>
        </w:rPr>
        <w:t>post hoc</w:t>
      </w:r>
      <w:r w:rsidRPr="0086074F">
        <w:t xml:space="preserve"> Tukey test.</w:t>
      </w:r>
    </w:p>
    <w:sectPr w:rsidR="00CE5E40" w:rsidSect="002249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altName w:val="Titling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151"/>
    <w:rsid w:val="00000B6C"/>
    <w:rsid w:val="00000C02"/>
    <w:rsid w:val="00033A23"/>
    <w:rsid w:val="00042326"/>
    <w:rsid w:val="000750CD"/>
    <w:rsid w:val="00080A76"/>
    <w:rsid w:val="00085EDF"/>
    <w:rsid w:val="000B64E6"/>
    <w:rsid w:val="000E3BE6"/>
    <w:rsid w:val="000E3F46"/>
    <w:rsid w:val="0011097C"/>
    <w:rsid w:val="0012794E"/>
    <w:rsid w:val="001326B7"/>
    <w:rsid w:val="00133F50"/>
    <w:rsid w:val="0015106C"/>
    <w:rsid w:val="0017693F"/>
    <w:rsid w:val="00191FCD"/>
    <w:rsid w:val="00197EF8"/>
    <w:rsid w:val="001A0311"/>
    <w:rsid w:val="001A3B7C"/>
    <w:rsid w:val="001C4751"/>
    <w:rsid w:val="001D0A38"/>
    <w:rsid w:val="001D58B1"/>
    <w:rsid w:val="002066F6"/>
    <w:rsid w:val="002111B5"/>
    <w:rsid w:val="00222E2E"/>
    <w:rsid w:val="002249E6"/>
    <w:rsid w:val="00225D30"/>
    <w:rsid w:val="00225F63"/>
    <w:rsid w:val="0022757B"/>
    <w:rsid w:val="00227F0F"/>
    <w:rsid w:val="00234936"/>
    <w:rsid w:val="00270A91"/>
    <w:rsid w:val="0029074A"/>
    <w:rsid w:val="002D0B42"/>
    <w:rsid w:val="002D3428"/>
    <w:rsid w:val="002D471A"/>
    <w:rsid w:val="002F2A1F"/>
    <w:rsid w:val="002F5DA9"/>
    <w:rsid w:val="0032580F"/>
    <w:rsid w:val="003344E5"/>
    <w:rsid w:val="00342FCF"/>
    <w:rsid w:val="003430BB"/>
    <w:rsid w:val="0037185D"/>
    <w:rsid w:val="003A51A3"/>
    <w:rsid w:val="003C5780"/>
    <w:rsid w:val="003D20DC"/>
    <w:rsid w:val="00425A4E"/>
    <w:rsid w:val="00433653"/>
    <w:rsid w:val="00433D8D"/>
    <w:rsid w:val="00446B43"/>
    <w:rsid w:val="00454F1A"/>
    <w:rsid w:val="00470C68"/>
    <w:rsid w:val="004834D8"/>
    <w:rsid w:val="00495C63"/>
    <w:rsid w:val="004D5384"/>
    <w:rsid w:val="004E3185"/>
    <w:rsid w:val="004F533A"/>
    <w:rsid w:val="005048DC"/>
    <w:rsid w:val="00517D48"/>
    <w:rsid w:val="00525EA0"/>
    <w:rsid w:val="00530525"/>
    <w:rsid w:val="00540DC0"/>
    <w:rsid w:val="005672BF"/>
    <w:rsid w:val="005A53A6"/>
    <w:rsid w:val="005C64D5"/>
    <w:rsid w:val="005C652F"/>
    <w:rsid w:val="005E51C5"/>
    <w:rsid w:val="005F4DE7"/>
    <w:rsid w:val="006020F4"/>
    <w:rsid w:val="00611A5B"/>
    <w:rsid w:val="00621265"/>
    <w:rsid w:val="00632E47"/>
    <w:rsid w:val="006379D7"/>
    <w:rsid w:val="00646D77"/>
    <w:rsid w:val="0066582F"/>
    <w:rsid w:val="006971A5"/>
    <w:rsid w:val="006B5673"/>
    <w:rsid w:val="006B5D95"/>
    <w:rsid w:val="006D1DD1"/>
    <w:rsid w:val="006F16AE"/>
    <w:rsid w:val="00701334"/>
    <w:rsid w:val="00722547"/>
    <w:rsid w:val="00736BB8"/>
    <w:rsid w:val="007529C9"/>
    <w:rsid w:val="00782C18"/>
    <w:rsid w:val="007A5ECF"/>
    <w:rsid w:val="007C6BDB"/>
    <w:rsid w:val="007D255D"/>
    <w:rsid w:val="007E3AE5"/>
    <w:rsid w:val="007F7BDB"/>
    <w:rsid w:val="00826F9A"/>
    <w:rsid w:val="00832F58"/>
    <w:rsid w:val="0083371B"/>
    <w:rsid w:val="008512B9"/>
    <w:rsid w:val="0086074F"/>
    <w:rsid w:val="00887229"/>
    <w:rsid w:val="00893FBA"/>
    <w:rsid w:val="008D6602"/>
    <w:rsid w:val="008E0128"/>
    <w:rsid w:val="008E0570"/>
    <w:rsid w:val="009017BA"/>
    <w:rsid w:val="00904954"/>
    <w:rsid w:val="009149B9"/>
    <w:rsid w:val="00922CB1"/>
    <w:rsid w:val="00924993"/>
    <w:rsid w:val="00937B6D"/>
    <w:rsid w:val="009405D9"/>
    <w:rsid w:val="00946E8A"/>
    <w:rsid w:val="009513B7"/>
    <w:rsid w:val="00953E74"/>
    <w:rsid w:val="00974282"/>
    <w:rsid w:val="00980931"/>
    <w:rsid w:val="00983AD7"/>
    <w:rsid w:val="0099537E"/>
    <w:rsid w:val="009A7289"/>
    <w:rsid w:val="009B541E"/>
    <w:rsid w:val="009D7192"/>
    <w:rsid w:val="009E18A1"/>
    <w:rsid w:val="00A13034"/>
    <w:rsid w:val="00A25D1C"/>
    <w:rsid w:val="00A33167"/>
    <w:rsid w:val="00A50B22"/>
    <w:rsid w:val="00A53B90"/>
    <w:rsid w:val="00A80B25"/>
    <w:rsid w:val="00A81105"/>
    <w:rsid w:val="00AB060F"/>
    <w:rsid w:val="00AC1226"/>
    <w:rsid w:val="00AD7F75"/>
    <w:rsid w:val="00B07151"/>
    <w:rsid w:val="00B15FF7"/>
    <w:rsid w:val="00B2205E"/>
    <w:rsid w:val="00B22B03"/>
    <w:rsid w:val="00B22D2F"/>
    <w:rsid w:val="00B313E2"/>
    <w:rsid w:val="00B31C6A"/>
    <w:rsid w:val="00B40F39"/>
    <w:rsid w:val="00B61E45"/>
    <w:rsid w:val="00B66472"/>
    <w:rsid w:val="00B76E03"/>
    <w:rsid w:val="00B77638"/>
    <w:rsid w:val="00B80706"/>
    <w:rsid w:val="00B80A6A"/>
    <w:rsid w:val="00B87575"/>
    <w:rsid w:val="00BD0AFF"/>
    <w:rsid w:val="00BD10C6"/>
    <w:rsid w:val="00C0228D"/>
    <w:rsid w:val="00C04512"/>
    <w:rsid w:val="00C1031E"/>
    <w:rsid w:val="00C12C27"/>
    <w:rsid w:val="00C1646C"/>
    <w:rsid w:val="00C31741"/>
    <w:rsid w:val="00C638CC"/>
    <w:rsid w:val="00C665EE"/>
    <w:rsid w:val="00C70022"/>
    <w:rsid w:val="00C72222"/>
    <w:rsid w:val="00C748E4"/>
    <w:rsid w:val="00C775BC"/>
    <w:rsid w:val="00C84C2D"/>
    <w:rsid w:val="00CA1FA8"/>
    <w:rsid w:val="00CA2C1D"/>
    <w:rsid w:val="00CA570A"/>
    <w:rsid w:val="00CA7A72"/>
    <w:rsid w:val="00CB0975"/>
    <w:rsid w:val="00CB0F74"/>
    <w:rsid w:val="00CD3F09"/>
    <w:rsid w:val="00CE0920"/>
    <w:rsid w:val="00CE23AE"/>
    <w:rsid w:val="00CE5E40"/>
    <w:rsid w:val="00CF0F8F"/>
    <w:rsid w:val="00CF1085"/>
    <w:rsid w:val="00CF196C"/>
    <w:rsid w:val="00CF354D"/>
    <w:rsid w:val="00D47623"/>
    <w:rsid w:val="00D47AEF"/>
    <w:rsid w:val="00D50FB5"/>
    <w:rsid w:val="00D55EB7"/>
    <w:rsid w:val="00D63A24"/>
    <w:rsid w:val="00D642FF"/>
    <w:rsid w:val="00DA0650"/>
    <w:rsid w:val="00DA2B27"/>
    <w:rsid w:val="00DA4A7D"/>
    <w:rsid w:val="00DC2886"/>
    <w:rsid w:val="00E002E6"/>
    <w:rsid w:val="00E15FDB"/>
    <w:rsid w:val="00E31063"/>
    <w:rsid w:val="00E310F6"/>
    <w:rsid w:val="00E31920"/>
    <w:rsid w:val="00E4311D"/>
    <w:rsid w:val="00E458F4"/>
    <w:rsid w:val="00E54C0A"/>
    <w:rsid w:val="00E62FA1"/>
    <w:rsid w:val="00E82628"/>
    <w:rsid w:val="00EA150F"/>
    <w:rsid w:val="00EA2CA1"/>
    <w:rsid w:val="00EB7635"/>
    <w:rsid w:val="00EC19C7"/>
    <w:rsid w:val="00EC755C"/>
    <w:rsid w:val="00ED2886"/>
    <w:rsid w:val="00EE75E0"/>
    <w:rsid w:val="00F01B63"/>
    <w:rsid w:val="00F05105"/>
    <w:rsid w:val="00F107C2"/>
    <w:rsid w:val="00F27069"/>
    <w:rsid w:val="00F27B70"/>
    <w:rsid w:val="00F32049"/>
    <w:rsid w:val="00F356D9"/>
    <w:rsid w:val="00F36743"/>
    <w:rsid w:val="00F45726"/>
    <w:rsid w:val="00F53A0F"/>
    <w:rsid w:val="00F60A13"/>
    <w:rsid w:val="00F639FC"/>
    <w:rsid w:val="00F63C8F"/>
    <w:rsid w:val="00F95C82"/>
    <w:rsid w:val="00FB7302"/>
    <w:rsid w:val="00FC1926"/>
    <w:rsid w:val="00FD742E"/>
    <w:rsid w:val="00FE403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1FAE5"/>
  <w14:defaultImageDpi w14:val="32767"/>
  <w15:chartTrackingRefBased/>
  <w15:docId w15:val="{D39441B3-020B-8545-8963-A116B3F93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151"/>
    <w:rPr>
      <w:rFonts w:ascii="Times New Roman" w:eastAsia="Times New Roman" w:hAnsi="Times New Roman" w:cs="Times New Roman"/>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7151"/>
    <w:rPr>
      <w:rFonts w:eastAsiaTheme="minorHAnsi"/>
      <w:sz w:val="18"/>
      <w:szCs w:val="18"/>
      <w:lang w:bidi="ar-SA"/>
    </w:rPr>
  </w:style>
  <w:style w:type="character" w:customStyle="1" w:styleId="BalloonTextChar">
    <w:name w:val="Balloon Text Char"/>
    <w:basedOn w:val="DefaultParagraphFont"/>
    <w:link w:val="BalloonText"/>
    <w:uiPriority w:val="99"/>
    <w:semiHidden/>
    <w:rsid w:val="00B0715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033A23"/>
    <w:rPr>
      <w:sz w:val="16"/>
      <w:szCs w:val="16"/>
    </w:rPr>
  </w:style>
  <w:style w:type="paragraph" w:styleId="CommentText">
    <w:name w:val="annotation text"/>
    <w:basedOn w:val="Normal"/>
    <w:link w:val="CommentTextChar"/>
    <w:uiPriority w:val="99"/>
    <w:semiHidden/>
    <w:unhideWhenUsed/>
    <w:rsid w:val="00033A23"/>
    <w:rPr>
      <w:sz w:val="20"/>
      <w:szCs w:val="20"/>
    </w:rPr>
  </w:style>
  <w:style w:type="character" w:customStyle="1" w:styleId="CommentTextChar">
    <w:name w:val="Comment Text Char"/>
    <w:basedOn w:val="DefaultParagraphFont"/>
    <w:link w:val="CommentText"/>
    <w:uiPriority w:val="99"/>
    <w:semiHidden/>
    <w:rsid w:val="00033A23"/>
    <w:rPr>
      <w:rFonts w:ascii="Times New Roman" w:eastAsia="Times New Roman" w:hAnsi="Times New Roman" w:cs="Times New Roman"/>
      <w:sz w:val="20"/>
      <w:szCs w:val="20"/>
      <w:lang w:bidi="he-IL"/>
    </w:rPr>
  </w:style>
  <w:style w:type="paragraph" w:styleId="CommentSubject">
    <w:name w:val="annotation subject"/>
    <w:basedOn w:val="CommentText"/>
    <w:next w:val="CommentText"/>
    <w:link w:val="CommentSubjectChar"/>
    <w:uiPriority w:val="99"/>
    <w:semiHidden/>
    <w:unhideWhenUsed/>
    <w:rsid w:val="00033A23"/>
    <w:rPr>
      <w:b/>
      <w:bCs/>
    </w:rPr>
  </w:style>
  <w:style w:type="character" w:customStyle="1" w:styleId="CommentSubjectChar">
    <w:name w:val="Comment Subject Char"/>
    <w:basedOn w:val="CommentTextChar"/>
    <w:link w:val="CommentSubject"/>
    <w:uiPriority w:val="99"/>
    <w:semiHidden/>
    <w:rsid w:val="00033A23"/>
    <w:rPr>
      <w:rFonts w:ascii="Times New Roman" w:eastAsia="Times New Roman" w:hAnsi="Times New Roman" w:cs="Times New Roman"/>
      <w:b/>
      <w:bCs/>
      <w:sz w:val="20"/>
      <w:szCs w:val="20"/>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1138</Words>
  <Characters>6493</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 Bitan</dc:creator>
  <cp:keywords/>
  <dc:description/>
  <cp:lastModifiedBy>Gal Bitan</cp:lastModifiedBy>
  <cp:revision>3</cp:revision>
  <dcterms:created xsi:type="dcterms:W3CDTF">2020-09-19T05:10:00Z</dcterms:created>
  <dcterms:modified xsi:type="dcterms:W3CDTF">2020-09-19T05:12:00Z</dcterms:modified>
</cp:coreProperties>
</file>