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DA7" w:rsidRDefault="0058593E">
      <w:pPr>
        <w:spacing w:before="300" w:after="120"/>
        <w:jc w:val="center"/>
      </w:pPr>
      <w:r>
        <w:rPr>
          <w:b/>
          <w:bCs/>
          <w:color w:val="1F4E79"/>
          <w:sz w:val="36"/>
          <w:szCs w:val="36"/>
        </w:rPr>
        <w:t>SUPPLEMENTARY FILE 2</w:t>
      </w:r>
    </w:p>
    <w:p w:rsidR="00976DA7" w:rsidRDefault="0058593E">
      <w:pPr>
        <w:spacing w:after="120"/>
        <w:jc w:val="center"/>
      </w:pPr>
      <w:r>
        <w:rPr>
          <w:b/>
          <w:bCs/>
          <w:color w:val="2E75B6"/>
          <w:sz w:val="30"/>
          <w:szCs w:val="30"/>
        </w:rPr>
        <w:t>Phase 1 Case Study Materials</w:t>
      </w:r>
    </w:p>
    <w:p w:rsidR="00976DA7" w:rsidRDefault="00976DA7">
      <w:pPr>
        <w:pBdr>
          <w:bottom w:val="single" w:sz="8" w:space="4" w:color="1F4E79"/>
        </w:pBdr>
        <w:spacing w:after="180"/>
      </w:pPr>
    </w:p>
    <w:p w:rsidR="00976DA7" w:rsidRDefault="0058593E">
      <w:pPr>
        <w:spacing w:before="80" w:after="80"/>
        <w:jc w:val="center"/>
      </w:pPr>
      <w:r>
        <w:rPr>
          <w:b/>
          <w:bCs/>
        </w:rPr>
        <w:t xml:space="preserve">Study: </w:t>
      </w:r>
      <w:r>
        <w:t>Balancing Flexibility and Foresight: A Dynamic Capabilities Framework for Ambidextrous Strategic Innovation</w:t>
      </w:r>
    </w:p>
    <w:p w:rsidR="00976DA7" w:rsidRDefault="0058593E">
      <w:pPr>
        <w:spacing w:before="80" w:after="80"/>
        <w:jc w:val="center"/>
      </w:pPr>
      <w:r>
        <w:rPr>
          <w:b/>
          <w:bCs/>
        </w:rPr>
        <w:t xml:space="preserve">Journal: </w:t>
      </w:r>
      <w:r>
        <w:t>Humanities and Social Sciences Communications</w:t>
      </w:r>
    </w:p>
    <w:p w:rsidR="00976DA7" w:rsidRDefault="00976DA7">
      <w:pPr>
        <w:spacing w:before="60" w:after="60"/>
      </w:pPr>
    </w:p>
    <w:p w:rsidR="00976DA7" w:rsidRDefault="0058593E">
      <w:pPr>
        <w:spacing w:before="80" w:after="80"/>
        <w:jc w:val="center"/>
      </w:pPr>
      <w:r>
        <w:rPr>
          <w:b/>
          <w:bCs/>
        </w:rPr>
        <w:t xml:space="preserve">Note: </w:t>
      </w:r>
      <w:r>
        <w:rPr>
          <w:i/>
          <w:iCs/>
        </w:rPr>
        <w:t xml:space="preserve">Fully </w:t>
      </w:r>
      <w:proofErr w:type="spellStart"/>
      <w:r>
        <w:rPr>
          <w:i/>
          <w:iCs/>
        </w:rPr>
        <w:t>anonymized</w:t>
      </w:r>
      <w:proofErr w:type="spellEnd"/>
      <w:r>
        <w:rPr>
          <w:i/>
          <w:iCs/>
        </w:rPr>
        <w:t xml:space="preserve"> for blind peer review. All firm names replaced with </w:t>
      </w:r>
      <w:proofErr w:type="spellStart"/>
      <w:r>
        <w:rPr>
          <w:i/>
          <w:iCs/>
        </w:rPr>
        <w:t>anonymized</w:t>
      </w:r>
      <w:proofErr w:type="spellEnd"/>
      <w:r>
        <w:rPr>
          <w:i/>
          <w:iCs/>
        </w:rPr>
        <w:t xml:space="preserve"> IDs. No commercially sensitive information is disclosed. Archetype classifications, capability scores, and key evidence are derived exclusively from publicly available secondary sources (annual reports, investor presentations, analyst reports, 2015-2025).</w:t>
      </w:r>
    </w:p>
    <w:p w:rsidR="00976DA7" w:rsidRDefault="00976DA7">
      <w:pPr>
        <w:spacing w:before="80" w:after="80"/>
      </w:pPr>
    </w:p>
    <w:p w:rsidR="00976DA7" w:rsidRDefault="0058593E">
      <w:pPr>
        <w:spacing w:before="80" w:after="80"/>
        <w:jc w:val="center"/>
      </w:pPr>
      <w:r>
        <w:rPr>
          <w:b/>
          <w:bCs/>
        </w:rPr>
        <w:t xml:space="preserve">Contents: </w:t>
      </w:r>
      <w:r>
        <w:t xml:space="preserve">Part A Content Analysis Coding Scheme (Codebook) • Part B Inter-Rater Reliability </w:t>
      </w:r>
      <w:proofErr w:type="gramStart"/>
      <w:r>
        <w:t>Records  •</w:t>
      </w:r>
      <w:proofErr w:type="gramEnd"/>
      <w:r>
        <w:t xml:space="preserve"> Part C Archetype Classification Criteria  •  Part D </w:t>
      </w:r>
      <w:proofErr w:type="spellStart"/>
      <w:r>
        <w:t>Anonymized</w:t>
      </w:r>
      <w:proofErr w:type="spellEnd"/>
      <w:r>
        <w:t xml:space="preserve"> Firm Profiles (120 firms)</w:t>
      </w:r>
    </w:p>
    <w:p w:rsidR="00976DA7" w:rsidRDefault="00976DA7">
      <w:pPr>
        <w:spacing w:before="200" w:after="200"/>
      </w:pPr>
    </w:p>
    <w:p w:rsidR="00976DA7" w:rsidRDefault="0058593E">
      <w:pPr>
        <w:shd w:val="clear" w:color="auto" w:fill="1F4E79"/>
        <w:spacing w:before="300"/>
        <w:ind w:left="180" w:right="180"/>
      </w:pPr>
      <w:r>
        <w:rPr>
          <w:b/>
          <w:bCs/>
          <w:color w:val="FFFFFF"/>
          <w:sz w:val="26"/>
          <w:szCs w:val="26"/>
        </w:rPr>
        <w:t>PART A: CONTENT ANALYSIS CODING SCHEME (CODEBOOK)</w:t>
      </w:r>
    </w:p>
    <w:p w:rsidR="00976DA7" w:rsidRDefault="00976DA7">
      <w:pPr>
        <w:spacing w:before="80" w:after="80"/>
      </w:pPr>
    </w:p>
    <w:p w:rsidR="00976DA7" w:rsidRDefault="0058593E">
      <w:pPr>
        <w:pBdr>
          <w:bottom w:val="single" w:sz="4" w:space="2" w:color="1F4E79"/>
        </w:pBdr>
        <w:spacing w:before="240" w:after="80"/>
      </w:pPr>
      <w:r>
        <w:rPr>
          <w:b/>
          <w:bCs/>
          <w:color w:val="1F4E79"/>
          <w:sz w:val="24"/>
          <w:szCs w:val="24"/>
        </w:rPr>
        <w:t>A.1 Overview and Data Sources</w:t>
      </w:r>
    </w:p>
    <w:p w:rsidR="00976DA7" w:rsidRDefault="0058593E">
      <w:pPr>
        <w:spacing w:before="80" w:after="80"/>
        <w:jc w:val="both"/>
      </w:pPr>
      <w:r>
        <w:t>Content analysis was conducted on publicly available secondary documents for each of the 120 sampled firms. Documents included annual reports (10-K / equivalent), investor presentations, sustainability reports, analyst research notes, and strategic planning documents published between 2015 and 2024. For each firm, a minimum of eight documents (two per two-year period across the study window) were coded. Two independent coders applied the scheme below, with discrepancies resolved through discussion and a third senior rater where agreement could not be reached.</w:t>
      </w:r>
    </w:p>
    <w:p w:rsidR="00976DA7" w:rsidRDefault="00976DA7">
      <w:pPr>
        <w:spacing w:before="100" w:after="100"/>
      </w:pPr>
    </w:p>
    <w:p w:rsidR="00976DA7" w:rsidRDefault="0058593E">
      <w:pPr>
        <w:spacing w:before="80" w:after="80"/>
        <w:jc w:val="both"/>
      </w:pPr>
      <w:r>
        <w:rPr>
          <w:b/>
          <w:bCs/>
        </w:rPr>
        <w:t xml:space="preserve">Unit of analysis: </w:t>
      </w:r>
      <w:r>
        <w:t>Each coded unit was a discrete textual segment (sentence or paragraph) directly attributable to senior leadership decisions, organizational structure, resource allocation, or innovation practice.</w:t>
      </w:r>
    </w:p>
    <w:p w:rsidR="00976DA7" w:rsidRDefault="00976DA7">
      <w:pPr>
        <w:spacing w:before="100" w:after="100"/>
      </w:pPr>
    </w:p>
    <w:p w:rsidR="00976DA7" w:rsidRDefault="0058593E">
      <w:pPr>
        <w:spacing w:before="80" w:after="80"/>
        <w:jc w:val="both"/>
      </w:pPr>
      <w:r>
        <w:rPr>
          <w:b/>
          <w:bCs/>
        </w:rPr>
        <w:t xml:space="preserve">Scoring: </w:t>
      </w:r>
      <w:r>
        <w:t xml:space="preserve">Each dimension was scored on a 1-5 integer scale per firm, averaged across all documents and coding rounds. Composite Strategic Agility and Sustained Vision scores were computed as </w:t>
      </w:r>
      <w:proofErr w:type="spellStart"/>
      <w:r>
        <w:t>unweighted</w:t>
      </w:r>
      <w:proofErr w:type="spellEnd"/>
      <w:r>
        <w:t xml:space="preserve"> means of the relevant sub-dimension scores. These composites formed the basis for archetype classification (see Part C).</w:t>
      </w:r>
    </w:p>
    <w:p w:rsidR="00976DA7" w:rsidRDefault="00976DA7">
      <w:pPr>
        <w:spacing w:before="60" w:after="60"/>
      </w:pPr>
    </w:p>
    <w:tbl>
      <w:tblPr>
        <w:tblW w:w="1336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4"/>
        <w:gridCol w:w="2130"/>
        <w:gridCol w:w="3344"/>
        <w:gridCol w:w="3845"/>
        <w:gridCol w:w="2787"/>
      </w:tblGrid>
      <w:tr w:rsidR="00976DA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Code</w:t>
            </w:r>
          </w:p>
        </w:tc>
        <w:tc>
          <w:tcPr>
            <w:tcW w:w="1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r>
              <w:rPr>
                <w:b/>
                <w:bCs/>
                <w:color w:val="FFFFFF"/>
                <w:sz w:val="20"/>
                <w:szCs w:val="20"/>
              </w:rPr>
              <w:t>Dimension</w:t>
            </w:r>
          </w:p>
        </w:tc>
        <w:tc>
          <w:tcPr>
            <w:tcW w:w="2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r>
              <w:rPr>
                <w:b/>
                <w:bCs/>
                <w:color w:val="FFFFFF"/>
                <w:sz w:val="20"/>
                <w:szCs w:val="20"/>
              </w:rPr>
              <w:t>Definition</w:t>
            </w:r>
          </w:p>
        </w:tc>
        <w:tc>
          <w:tcPr>
            <w:tcW w:w="2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r>
              <w:rPr>
                <w:b/>
                <w:bCs/>
                <w:color w:val="FFFFFF"/>
                <w:sz w:val="20"/>
                <w:szCs w:val="20"/>
              </w:rPr>
              <w:t>Observable Indicators</w:t>
            </w:r>
          </w:p>
        </w:tc>
        <w:tc>
          <w:tcPr>
            <w:tcW w:w="2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r>
              <w:rPr>
                <w:b/>
                <w:bCs/>
                <w:color w:val="FFFFFF"/>
                <w:sz w:val="20"/>
                <w:szCs w:val="20"/>
              </w:rPr>
              <w:t>Scoring Guidance (1–5)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58593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SA</w:t>
            </w:r>
            <w:r w:rsidRPr="0058593E">
              <w:rPr>
                <w:b/>
                <w:bCs/>
                <w:color w:val="FFFFFF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3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b/>
                <w:bCs/>
                <w:sz w:val="20"/>
                <w:szCs w:val="20"/>
              </w:rPr>
              <w:t>Environmental Scanning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Systematic monitoring and processing of weak signals, competitive intelligence, and environmental change indicators across multiple sources.</w:t>
            </w:r>
          </w:p>
        </w:tc>
        <w:tc>
          <w:tcPr>
            <w:tcW w:w="276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i/>
                <w:iCs/>
                <w:sz w:val="20"/>
                <w:szCs w:val="20"/>
              </w:rPr>
              <w:t>References to environmental scanning protocols; market intelligence units; scenario planning; early-warning systems; external advisory boards; dedicated sensing roles or functions.</w:t>
            </w:r>
          </w:p>
        </w:tc>
        <w:tc>
          <w:tcPr>
            <w:tcW w:w="20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1 = Ad hoc; 2 = Reactive; 3 = Periodic structured; 4 = Systematic ongoing; 5 = Predictive and integrated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58593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SA</w:t>
            </w:r>
            <w:r w:rsidRPr="0058593E">
              <w:rPr>
                <w:b/>
                <w:bCs/>
                <w:color w:val="FFFFFF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3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b/>
                <w:bCs/>
                <w:sz w:val="20"/>
                <w:szCs w:val="20"/>
              </w:rPr>
              <w:t>Strategic Pivoting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Demonstrated willingness and organizational capacity to fundamentally reconfigure strategy in response to environmental signals.</w:t>
            </w:r>
          </w:p>
        </w:tc>
        <w:tc>
          <w:tcPr>
            <w:tcW w:w="276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i/>
                <w:iCs/>
                <w:sz w:val="20"/>
                <w:szCs w:val="20"/>
              </w:rPr>
              <w:t>Evidence of major strategic direction changes; market exits/entries; business model pivots; documented strategic pivots in leadership communications; frequency and magnitude of strategic shifts.</w:t>
            </w:r>
          </w:p>
        </w:tc>
        <w:tc>
          <w:tcPr>
            <w:tcW w:w="20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1 = No evidence; 2 = Rare/forced; 3 = Occasional; 4 = Regular and structured; 5 = Continuous and proactive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58593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SA</w:t>
            </w:r>
            <w:r w:rsidRPr="0058593E">
              <w:rPr>
                <w:b/>
                <w:bCs/>
                <w:color w:val="FFFFFF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3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b/>
                <w:bCs/>
                <w:sz w:val="20"/>
                <w:szCs w:val="20"/>
              </w:rPr>
              <w:t>Resource Reallocation Speed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Speed and flexibility with which financial, human, and operational resources are reallocated in response to strategic opportunities or threats.</w:t>
            </w:r>
          </w:p>
        </w:tc>
        <w:tc>
          <w:tcPr>
            <w:tcW w:w="276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i/>
                <w:iCs/>
                <w:sz w:val="20"/>
                <w:szCs w:val="20"/>
              </w:rPr>
              <w:t xml:space="preserve">Budget reallocation timelines; headcount restructuring announcements; capital redeployment decisions; agile portfolio management references; internal mobility </w:t>
            </w:r>
            <w:proofErr w:type="spellStart"/>
            <w:r>
              <w:rPr>
                <w:i/>
                <w:iCs/>
                <w:sz w:val="20"/>
                <w:szCs w:val="20"/>
              </w:rPr>
              <w:t>programmes</w:t>
            </w:r>
            <w:proofErr w:type="spellEnd"/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1 = Rigid/annual budgets only; 2 = Slow; 3 = Moderate; 4 = Fast; 5 = Real-time/continuous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58593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SA</w:t>
            </w:r>
            <w:r w:rsidRPr="0058593E">
              <w:rPr>
                <w:b/>
                <w:bCs/>
                <w:color w:val="FFFFFF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3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b/>
                <w:bCs/>
                <w:sz w:val="20"/>
                <w:szCs w:val="20"/>
              </w:rPr>
              <w:t>Leadership Decision Velocity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Speed with which top management teams reach and communicate decisive strategic choices.</w:t>
            </w:r>
          </w:p>
        </w:tc>
        <w:tc>
          <w:tcPr>
            <w:tcW w:w="276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i/>
                <w:iCs/>
                <w:sz w:val="20"/>
                <w:szCs w:val="20"/>
              </w:rPr>
              <w:t>References to decision-making speed, empowered leadership teams, absence of bureaucratic delay, fast-cycle strategic reviews, decision rights clarity.</w:t>
            </w:r>
          </w:p>
        </w:tc>
        <w:tc>
          <w:tcPr>
            <w:tcW w:w="20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1 = Highly bureaucratic; 2 = Slow; 3 = Moderate; 4 = Fast; 5 = Highly empowered and rapid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58593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SA</w:t>
            </w:r>
            <w:r w:rsidRPr="0058593E">
              <w:rPr>
                <w:b/>
                <w:bCs/>
                <w:color w:val="FFFFFF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3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b/>
                <w:bCs/>
                <w:sz w:val="20"/>
                <w:szCs w:val="20"/>
              </w:rPr>
              <w:t>Organizational Flexibility Structures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Presence of structural mechanisms that enable rapid reconfiguration, including modular units, cross-functional teams, and flat hierarchies.</w:t>
            </w:r>
          </w:p>
        </w:tc>
        <w:tc>
          <w:tcPr>
            <w:tcW w:w="276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i/>
                <w:iCs/>
                <w:sz w:val="20"/>
                <w:szCs w:val="20"/>
              </w:rPr>
              <w:t>Descriptions of matrix structures, agile teams, project-based organization, flexible workforce practices, structural de-layering initiatives.</w:t>
            </w:r>
          </w:p>
        </w:tc>
        <w:tc>
          <w:tcPr>
            <w:tcW w:w="20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1 = Rigid hierarchy; 2 = Limited flexibility; 3 = Moderate; 4 = Flexible; 5 = Highly modular/adaptive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58593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SV</w:t>
            </w:r>
            <w:r w:rsidRPr="0058593E">
              <w:rPr>
                <w:b/>
                <w:bCs/>
                <w:color w:val="FFFFFF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3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b/>
                <w:bCs/>
                <w:sz w:val="20"/>
                <w:szCs w:val="20"/>
              </w:rPr>
              <w:t>Strategic Intent Articulation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Clarity, consistency, and pervasiveness of the long-term strategic vision as communicated through leadership and organizational documents.</w:t>
            </w:r>
          </w:p>
        </w:tc>
        <w:tc>
          <w:tcPr>
            <w:tcW w:w="276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i/>
                <w:iCs/>
                <w:sz w:val="20"/>
                <w:szCs w:val="20"/>
              </w:rPr>
              <w:t>Mission/vision statements; CEO letters; strategic plan documents; consistency of stated priorities across document periods; references to multi-year strategic roadmaps.</w:t>
            </w:r>
          </w:p>
        </w:tc>
        <w:tc>
          <w:tcPr>
            <w:tcW w:w="20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1 = Absent/inconsistent; 2 = Vague; 3 = Moderate clarity; 4 = Clear and consistent; 5 = Highly articulate and pervasive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58593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SV</w:t>
            </w:r>
            <w:r w:rsidRPr="0058593E">
              <w:rPr>
                <w:b/>
                <w:bCs/>
                <w:color w:val="FFFFFF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3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b/>
                <w:bCs/>
                <w:sz w:val="20"/>
                <w:szCs w:val="20"/>
              </w:rPr>
              <w:t>Long-term Investment Commitment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Sustained allocation of capital to long-horizon strategic initiatives (R&amp;D, infrastructure, capability-building) despite short-term performance pressures.</w:t>
            </w:r>
          </w:p>
        </w:tc>
        <w:tc>
          <w:tcPr>
            <w:tcW w:w="276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i/>
                <w:iCs/>
                <w:sz w:val="20"/>
                <w:szCs w:val="20"/>
              </w:rPr>
              <w:t>R&amp;D expenditure trends; multi-year capital commitments; protected budget lines; evidence of resisting divestiture of core long-term assets.</w:t>
            </w:r>
          </w:p>
        </w:tc>
        <w:tc>
          <w:tcPr>
            <w:tcW w:w="20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1 = No long-term commitment; 2 = Minimal; 3 = Moderate; 4 = Strong; 5 = Fully protected and growing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58593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SV</w:t>
            </w:r>
            <w:r w:rsidRPr="0058593E">
              <w:rPr>
                <w:b/>
                <w:bCs/>
                <w:color w:val="FFFFFF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3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b/>
                <w:bCs/>
                <w:sz w:val="20"/>
                <w:szCs w:val="20"/>
              </w:rPr>
              <w:t>Strategic Consistency Under Pressure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Degree to which core strategic priorities are maintained during adverse conditions (downturns, leadership transitions, competitor disruptions).</w:t>
            </w:r>
          </w:p>
        </w:tc>
        <w:tc>
          <w:tcPr>
            <w:tcW w:w="276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i/>
                <w:iCs/>
                <w:sz w:val="20"/>
                <w:szCs w:val="20"/>
              </w:rPr>
              <w:t>Evidence of strategic continuity through crises; statements of maintained direction; avoidance of reactive strategy reversals; board-level commitments to vision.</w:t>
            </w:r>
          </w:p>
        </w:tc>
        <w:tc>
          <w:tcPr>
            <w:tcW w:w="20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1 = Abandoned under pressure; 2 = Significantly diluted; 3 = Partially maintained; 4 = Mostly maintained; 5 = Fully preserved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58593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SV</w:t>
            </w:r>
            <w:r w:rsidRPr="0058593E">
              <w:rPr>
                <w:b/>
                <w:bCs/>
                <w:color w:val="FFFFFF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3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b/>
                <w:bCs/>
                <w:sz w:val="20"/>
                <w:szCs w:val="20"/>
              </w:rPr>
              <w:t>Core Capability Preservation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Deliberate protection of distinctive organizational competencies during restructuring, M&amp;A, or transformation.</w:t>
            </w:r>
          </w:p>
        </w:tc>
        <w:tc>
          <w:tcPr>
            <w:tcW w:w="276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i/>
                <w:iCs/>
                <w:sz w:val="20"/>
                <w:szCs w:val="20"/>
              </w:rPr>
              <w:t>References to capability ring-fencing; investment in core technology platforms; retention of key talent; statements about protecting competitive advantage sources.</w:t>
            </w:r>
          </w:p>
        </w:tc>
        <w:tc>
          <w:tcPr>
            <w:tcW w:w="20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1 = No evidence; 2 = Reactive; 3 = Moderate; 4 = Deliberate; 5 = Systematic and proactive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58593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SV</w:t>
            </w:r>
            <w:r w:rsidRPr="0058593E">
              <w:rPr>
                <w:b/>
                <w:bCs/>
                <w:color w:val="FFFFFF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3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b/>
                <w:bCs/>
                <w:sz w:val="20"/>
                <w:szCs w:val="20"/>
              </w:rPr>
              <w:t>Temporal Endurance of Commitments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Track record of following through on multi-year strategic commitments to completion.</w:t>
            </w:r>
          </w:p>
        </w:tc>
        <w:tc>
          <w:tcPr>
            <w:tcW w:w="276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i/>
                <w:iCs/>
                <w:sz w:val="20"/>
                <w:szCs w:val="20"/>
              </w:rPr>
              <w:t xml:space="preserve">Evidence of completed multi-year strategic initiatives; references to sustained </w:t>
            </w:r>
            <w:proofErr w:type="spellStart"/>
            <w:r>
              <w:rPr>
                <w:i/>
                <w:iCs/>
                <w:sz w:val="20"/>
                <w:szCs w:val="20"/>
              </w:rPr>
              <w:t>programmes</w:t>
            </w:r>
            <w:proofErr w:type="spellEnd"/>
            <w:r>
              <w:rPr>
                <w:i/>
                <w:iCs/>
                <w:sz w:val="20"/>
                <w:szCs w:val="20"/>
              </w:rPr>
              <w:t>; low frequency of strategic U-turns; investor communications about long-term delivery.</w:t>
            </w:r>
          </w:p>
        </w:tc>
        <w:tc>
          <w:tcPr>
            <w:tcW w:w="20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1 = Frequent reversals; 2 = Below average; 3 = Average; 4 = Strong follow-through; 5 = Exemplary long-term delivery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58593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IM</w:t>
            </w:r>
            <w:r w:rsidRPr="0058593E">
              <w:rPr>
                <w:b/>
                <w:bCs/>
                <w:color w:val="FFFFFF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3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DDEE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b/>
                <w:bCs/>
                <w:sz w:val="20"/>
                <w:szCs w:val="20"/>
              </w:rPr>
              <w:t>Paradoxical Leadership Evidence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DDEE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 xml:space="preserve">Observable leadership </w:t>
            </w:r>
            <w:proofErr w:type="spellStart"/>
            <w:r>
              <w:rPr>
                <w:sz w:val="20"/>
                <w:szCs w:val="20"/>
              </w:rPr>
              <w:t>behaviours</w:t>
            </w:r>
            <w:proofErr w:type="spellEnd"/>
            <w:r>
              <w:rPr>
                <w:sz w:val="20"/>
                <w:szCs w:val="20"/>
              </w:rPr>
              <w:t xml:space="preserve"> that legitimize and work productively with strategic contradictions (agility and vision simultaneously).</w:t>
            </w:r>
          </w:p>
        </w:tc>
        <w:tc>
          <w:tcPr>
            <w:tcW w:w="276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DDEE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i/>
                <w:iCs/>
                <w:sz w:val="20"/>
                <w:szCs w:val="20"/>
              </w:rPr>
              <w:t>CEO/leadership quotes acknowledging tensions; 'both/and' framing in communications; evidence of leaders modelling dual orientation; paradox-oriented leadership development.</w:t>
            </w:r>
          </w:p>
        </w:tc>
        <w:tc>
          <w:tcPr>
            <w:tcW w:w="20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DDEE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1 = No evidence; 2 = Implicit; 3 = Occasional; 4 = Regular; 5 = Central and systematic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58593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IM</w:t>
            </w:r>
            <w:r w:rsidRPr="0058593E">
              <w:rPr>
                <w:b/>
                <w:bCs/>
                <w:color w:val="FFFFFF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3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b/>
                <w:bCs/>
                <w:sz w:val="20"/>
                <w:szCs w:val="20"/>
              </w:rPr>
              <w:t>Contextual Ambidexterity Structures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Presence of organizational mechanisms enabling autonomous agility-vision trade-offs at the team/individual level without structural separation.</w:t>
            </w:r>
          </w:p>
        </w:tc>
        <w:tc>
          <w:tcPr>
            <w:tcW w:w="276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i/>
                <w:iCs/>
                <w:sz w:val="20"/>
                <w:szCs w:val="20"/>
              </w:rPr>
              <w:t>References to decentralized decision-making with central vision alignment; bounded autonomy frameworks; dual performance metrics; 'freedom within a framework' descriptions.</w:t>
            </w:r>
          </w:p>
        </w:tc>
        <w:tc>
          <w:tcPr>
            <w:tcW w:w="20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1 = No evidence; 2 = Rudimentary; 3 = Partial; 4 = Well-developed; 5 = Comprehensive and embedded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58593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IM</w:t>
            </w:r>
            <w:r w:rsidRPr="0058593E">
              <w:rPr>
                <w:b/>
                <w:bCs/>
                <w:color w:val="FFFFFF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3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DDEE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b/>
                <w:bCs/>
                <w:sz w:val="20"/>
                <w:szCs w:val="20"/>
              </w:rPr>
              <w:t>Dynamic Portfolio Balancing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DDEE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Evidence of systematic real-time rebalancing of short-term and long-term investment portfolios based on environmental signals.</w:t>
            </w:r>
          </w:p>
        </w:tc>
        <w:tc>
          <w:tcPr>
            <w:tcW w:w="276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DDEE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i/>
                <w:iCs/>
                <w:sz w:val="20"/>
                <w:szCs w:val="20"/>
              </w:rPr>
              <w:t>Horizon-based portfolio management descriptions (e.g., 70/20/10 or similar); regular portfolio reviews; evidence of active rebalancing decisions; strategic oscillation acceptance.</w:t>
            </w:r>
          </w:p>
        </w:tc>
        <w:tc>
          <w:tcPr>
            <w:tcW w:w="20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DDEE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1 = No evidence; 2 = Ad hoc; 3 = Periodic; 4 = Regular and structured; 5 = Continuous and systematic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58593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IP</w:t>
            </w:r>
            <w:r w:rsidRPr="0058593E">
              <w:rPr>
                <w:b/>
                <w:bCs/>
                <w:color w:val="FFFFFF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3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b/>
                <w:bCs/>
                <w:sz w:val="20"/>
                <w:szCs w:val="20"/>
              </w:rPr>
              <w:t>Patent and IP Output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Volume and growth trajectory of patents, trademarks, and other intellectual property filings.</w:t>
            </w:r>
          </w:p>
        </w:tc>
        <w:tc>
          <w:tcPr>
            <w:tcW w:w="276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i/>
                <w:iCs/>
                <w:sz w:val="20"/>
                <w:szCs w:val="20"/>
              </w:rPr>
              <w:t>Annual patent filing volumes; IP portfolio growth; licensing revenues; technology leadership references; R&amp;D output disclosures.</w:t>
            </w:r>
          </w:p>
        </w:tc>
        <w:tc>
          <w:tcPr>
            <w:tcW w:w="20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Objective count; normalized to industry median for scoring (1 = Far below; 5 = Far above median)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58593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IP</w:t>
            </w:r>
            <w:r w:rsidRPr="0058593E">
              <w:rPr>
                <w:b/>
                <w:bCs/>
                <w:color w:val="FFFFFF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3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b/>
                <w:bCs/>
                <w:sz w:val="20"/>
                <w:szCs w:val="20"/>
              </w:rPr>
              <w:t>New Product Revenue Contribution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Proportion of total revenue attributable to products/services launched within the preceding three years.</w:t>
            </w:r>
          </w:p>
        </w:tc>
        <w:tc>
          <w:tcPr>
            <w:tcW w:w="276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i/>
                <w:iCs/>
                <w:sz w:val="20"/>
                <w:szCs w:val="20"/>
              </w:rPr>
              <w:t>Revenue breakdowns by product age; new product launch timelines; portfolio refresh rate; product vitality index disclosures.</w:t>
            </w:r>
          </w:p>
        </w:tc>
        <w:tc>
          <w:tcPr>
            <w:tcW w:w="20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Objective %; scored relative to industry median (1 = Far below; 5 = Far above)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58593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IP</w:t>
            </w:r>
            <w:r w:rsidRPr="0058593E">
              <w:rPr>
                <w:b/>
                <w:bCs/>
                <w:color w:val="FFFFFF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3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b/>
                <w:bCs/>
                <w:sz w:val="20"/>
                <w:szCs w:val="20"/>
              </w:rPr>
              <w:t>Innovation Strategy Alignment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Degree to which innovation activities align with and reinforce the firm's stated long-term strategic direction.</w:t>
            </w:r>
          </w:p>
        </w:tc>
        <w:tc>
          <w:tcPr>
            <w:tcW w:w="276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i/>
                <w:iCs/>
                <w:sz w:val="20"/>
                <w:szCs w:val="20"/>
              </w:rPr>
              <w:t>Evidence that R&amp;D priorities reflect strategic roadmap; references to innovation governance aligned with vision; absence of opportunistic/disconnected innovation.</w:t>
            </w:r>
          </w:p>
        </w:tc>
        <w:tc>
          <w:tcPr>
            <w:tcW w:w="20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1 = Highly misaligned; 2 = Weak; 3 = Moderate; 4 = Strong; 5 = Fully integrated</w:t>
            </w:r>
          </w:p>
        </w:tc>
      </w:tr>
    </w:tbl>
    <w:p w:rsidR="00976DA7" w:rsidRDefault="00976DA7">
      <w:pPr>
        <w:spacing w:before="200" w:after="200"/>
      </w:pPr>
    </w:p>
    <w:p w:rsidR="00976DA7" w:rsidRDefault="0058593E">
      <w:pPr>
        <w:shd w:val="clear" w:color="auto" w:fill="1F4E79"/>
        <w:spacing w:before="300"/>
        <w:ind w:left="180" w:right="180"/>
      </w:pPr>
      <w:r>
        <w:rPr>
          <w:b/>
          <w:bCs/>
          <w:color w:val="FFFFFF"/>
          <w:sz w:val="26"/>
          <w:szCs w:val="26"/>
        </w:rPr>
        <w:t>PART B: INTER-RATER RELIABILITY RECORDS</w:t>
      </w:r>
    </w:p>
    <w:p w:rsidR="00976DA7" w:rsidRDefault="00976DA7">
      <w:pPr>
        <w:spacing w:before="80" w:after="80"/>
      </w:pPr>
    </w:p>
    <w:p w:rsidR="00976DA7" w:rsidRDefault="0058593E">
      <w:pPr>
        <w:pBdr>
          <w:bottom w:val="single" w:sz="4" w:space="2" w:color="1F4E79"/>
        </w:pBdr>
        <w:spacing w:before="240" w:after="80"/>
      </w:pPr>
      <w:r>
        <w:rPr>
          <w:b/>
          <w:bCs/>
          <w:color w:val="1F4E79"/>
          <w:sz w:val="24"/>
          <w:szCs w:val="24"/>
        </w:rPr>
        <w:t>B.1 Reliability Assessment Procedure</w:t>
      </w:r>
    </w:p>
    <w:p w:rsidR="00976DA7" w:rsidRDefault="0058593E">
      <w:pPr>
        <w:spacing w:before="80" w:after="80"/>
        <w:jc w:val="both"/>
      </w:pPr>
      <w:r>
        <w:t>Two independent coders (Coder A: a senior researcher with 8 years of qualitative strategy research experience; Coder B: a doctoral researcher with 4 years of experience in content analysis) independently coded all 120 firm profiles across all 14 code dimensions listed in Part A. Coders were provided with the codebook and participated in a calibration session using 10 pilot firms not included in the final sample. Disagreements of more than one scale point were flagged for adjudication by a third rater. Cohen's weighted kappa (</w:t>
      </w:r>
      <w:proofErr w:type="spellStart"/>
      <w:r>
        <w:t>κw</w:t>
      </w:r>
      <w:proofErr w:type="spellEnd"/>
      <w:r>
        <w:t>) was computed for each dimension using SPSS v28. Overall inter-rater reliability across all dimensions was κ = 0.84, exceeding the widely adopted threshold of κ ≥ 0.80 for acceptable reliability in content analysis (Landis &amp; Koch, 1977).</w:t>
      </w:r>
    </w:p>
    <w:p w:rsidR="00976DA7" w:rsidRDefault="00976DA7">
      <w:pPr>
        <w:spacing w:before="100" w:after="100"/>
      </w:pPr>
    </w:p>
    <w:tbl>
      <w:tblPr>
        <w:tblW w:w="936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76D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2E75B6"/>
              <w:left w:val="thick" w:sz="16" w:space="0" w:color="2E75B6"/>
              <w:bottom w:val="single" w:sz="6" w:space="0" w:color="2E75B6"/>
              <w:right w:val="nil"/>
            </w:tcBorders>
            <w:shd w:val="clear" w:color="auto" w:fill="EBF3FB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976DA7" w:rsidRDefault="0058593E">
            <w:pPr>
              <w:spacing w:before="40" w:after="40"/>
              <w:jc w:val="both"/>
            </w:pPr>
            <w:r>
              <w:rPr>
                <w:i/>
                <w:iCs/>
              </w:rPr>
              <w:t>Calibration procedure: Prior to independent coding, both coders completed a joint calibration session using a 10-firm pilot set drawn from industries outside the study sample. Coders discussed disagreements, clarified coding rules, and updated the codebook with additional indicator examples where ambiguity was identified. Final inter-rater reliability was computed only after the calibration phase was complete and both coders confirmed readiness to proceed independently.</w:t>
            </w:r>
          </w:p>
        </w:tc>
      </w:tr>
    </w:tbl>
    <w:p w:rsidR="00976DA7" w:rsidRDefault="00976DA7">
      <w:pPr>
        <w:spacing w:before="100" w:after="100"/>
      </w:pPr>
    </w:p>
    <w:p w:rsidR="0058593E" w:rsidRDefault="0058593E">
      <w:pPr>
        <w:spacing w:before="100" w:after="100"/>
      </w:pPr>
    </w:p>
    <w:p w:rsidR="0058593E" w:rsidRDefault="0058593E">
      <w:pPr>
        <w:spacing w:before="100" w:after="100"/>
      </w:pPr>
    </w:p>
    <w:p w:rsidR="0058593E" w:rsidRDefault="0058593E">
      <w:pPr>
        <w:spacing w:before="100" w:after="100"/>
      </w:pPr>
    </w:p>
    <w:p w:rsidR="0058593E" w:rsidRDefault="0058593E">
      <w:pPr>
        <w:spacing w:before="100" w:after="100"/>
      </w:pPr>
    </w:p>
    <w:tbl>
      <w:tblPr>
        <w:tblW w:w="1036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1"/>
        <w:gridCol w:w="1594"/>
        <w:gridCol w:w="1594"/>
        <w:gridCol w:w="1992"/>
        <w:gridCol w:w="1859"/>
      </w:tblGrid>
      <w:tr w:rsidR="00976DA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Code Dimension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r>
              <w:rPr>
                <w:b/>
                <w:bCs/>
                <w:color w:val="FFFFFF"/>
                <w:sz w:val="20"/>
                <w:szCs w:val="20"/>
              </w:rPr>
              <w:t>Coder A Mean (SD)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r>
              <w:rPr>
                <w:b/>
                <w:bCs/>
                <w:color w:val="FFFFFF"/>
                <w:sz w:val="20"/>
                <w:szCs w:val="20"/>
              </w:rPr>
              <w:t>Coder B Mean (SD)</w:t>
            </w:r>
          </w:p>
        </w:tc>
        <w:tc>
          <w:tcPr>
            <w:tcW w:w="1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r>
              <w:rPr>
                <w:b/>
                <w:bCs/>
                <w:color w:val="FFFFFF"/>
                <w:sz w:val="20"/>
                <w:szCs w:val="20"/>
              </w:rPr>
              <w:t>% Exact Agreement</w:t>
            </w:r>
          </w:p>
        </w:tc>
        <w:tc>
          <w:tcPr>
            <w:tcW w:w="16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r>
              <w:rPr>
                <w:b/>
                <w:bCs/>
                <w:color w:val="FFFFFF"/>
                <w:sz w:val="20"/>
                <w:szCs w:val="20"/>
              </w:rPr>
              <w:t xml:space="preserve">Cohen's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κw</w:t>
            </w:r>
            <w:proofErr w:type="spellEnd"/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b/>
                <w:bCs/>
                <w:sz w:val="20"/>
                <w:szCs w:val="20"/>
              </w:rPr>
              <w:t>SA</w:t>
            </w:r>
            <w:r w:rsidRPr="0058593E">
              <w:rPr>
                <w:b/>
                <w:bCs/>
                <w:sz w:val="20"/>
                <w:szCs w:val="20"/>
                <w:vertAlign w:val="subscript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Environmental Scanning</w:t>
            </w:r>
          </w:p>
        </w:tc>
        <w:tc>
          <w:tcPr>
            <w:tcW w:w="144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3.62 (0.81)</w:t>
            </w:r>
          </w:p>
        </w:tc>
        <w:tc>
          <w:tcPr>
            <w:tcW w:w="144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3.58 (0.84)</w:t>
            </w:r>
          </w:p>
        </w:tc>
        <w:tc>
          <w:tcPr>
            <w:tcW w:w="18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79.2%</w:t>
            </w:r>
          </w:p>
        </w:tc>
        <w:tc>
          <w:tcPr>
            <w:tcW w:w="168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b/>
                <w:bCs/>
                <w:color w:val="375623"/>
                <w:sz w:val="20"/>
                <w:szCs w:val="20"/>
              </w:rPr>
              <w:t>0.83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b/>
                <w:bCs/>
                <w:sz w:val="20"/>
                <w:szCs w:val="20"/>
              </w:rPr>
              <w:t>SA</w:t>
            </w:r>
            <w:r w:rsidRPr="0058593E">
              <w:rPr>
                <w:b/>
                <w:bCs/>
                <w:sz w:val="20"/>
                <w:szCs w:val="20"/>
                <w:vertAlign w:val="subscript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Strategic Pivoting</w:t>
            </w:r>
          </w:p>
        </w:tc>
        <w:tc>
          <w:tcPr>
            <w:tcW w:w="144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3.41 (0.93)</w:t>
            </w:r>
          </w:p>
        </w:tc>
        <w:tc>
          <w:tcPr>
            <w:tcW w:w="144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3.39 (0.90)</w:t>
            </w:r>
          </w:p>
        </w:tc>
        <w:tc>
          <w:tcPr>
            <w:tcW w:w="18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76.7%</w:t>
            </w:r>
          </w:p>
        </w:tc>
        <w:tc>
          <w:tcPr>
            <w:tcW w:w="168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b/>
                <w:bCs/>
                <w:color w:val="375623"/>
                <w:sz w:val="20"/>
                <w:szCs w:val="20"/>
              </w:rPr>
              <w:t>0.81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b/>
                <w:bCs/>
                <w:sz w:val="20"/>
                <w:szCs w:val="20"/>
              </w:rPr>
              <w:t>SA</w:t>
            </w:r>
            <w:r w:rsidRPr="0058593E">
              <w:rPr>
                <w:b/>
                <w:bCs/>
                <w:sz w:val="20"/>
                <w:szCs w:val="20"/>
                <w:vertAlign w:val="subscript"/>
              </w:rPr>
              <w:t>3</w:t>
            </w:r>
            <w:r>
              <w:rPr>
                <w:b/>
                <w:bCs/>
                <w:sz w:val="20"/>
                <w:szCs w:val="20"/>
              </w:rPr>
              <w:t xml:space="preserve"> Resource Reallocation Speed</w:t>
            </w:r>
          </w:p>
        </w:tc>
        <w:tc>
          <w:tcPr>
            <w:tcW w:w="144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3.28 (0.88)</w:t>
            </w:r>
          </w:p>
        </w:tc>
        <w:tc>
          <w:tcPr>
            <w:tcW w:w="144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3.31 (0.85)</w:t>
            </w:r>
          </w:p>
        </w:tc>
        <w:tc>
          <w:tcPr>
            <w:tcW w:w="18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77.5%</w:t>
            </w:r>
          </w:p>
        </w:tc>
        <w:tc>
          <w:tcPr>
            <w:tcW w:w="168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b/>
                <w:bCs/>
                <w:color w:val="375623"/>
                <w:sz w:val="20"/>
                <w:szCs w:val="20"/>
              </w:rPr>
              <w:t>0.82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b/>
                <w:bCs/>
                <w:sz w:val="20"/>
                <w:szCs w:val="20"/>
              </w:rPr>
              <w:t>SA</w:t>
            </w:r>
            <w:r w:rsidRPr="0058593E">
              <w:rPr>
                <w:b/>
                <w:bCs/>
                <w:sz w:val="20"/>
                <w:szCs w:val="20"/>
                <w:vertAlign w:val="subscript"/>
              </w:rPr>
              <w:t>4</w:t>
            </w:r>
            <w:r>
              <w:rPr>
                <w:b/>
                <w:bCs/>
                <w:sz w:val="20"/>
                <w:szCs w:val="20"/>
              </w:rPr>
              <w:t xml:space="preserve"> Leadership Decision Velocity</w:t>
            </w:r>
          </w:p>
        </w:tc>
        <w:tc>
          <w:tcPr>
            <w:tcW w:w="144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3.55 (0.79)</w:t>
            </w:r>
          </w:p>
        </w:tc>
        <w:tc>
          <w:tcPr>
            <w:tcW w:w="144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3.52 (0.82)</w:t>
            </w:r>
          </w:p>
        </w:tc>
        <w:tc>
          <w:tcPr>
            <w:tcW w:w="18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80.8%</w:t>
            </w:r>
          </w:p>
        </w:tc>
        <w:tc>
          <w:tcPr>
            <w:tcW w:w="168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b/>
                <w:bCs/>
                <w:color w:val="375623"/>
                <w:sz w:val="20"/>
                <w:szCs w:val="20"/>
              </w:rPr>
              <w:t>0.85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b/>
                <w:bCs/>
                <w:sz w:val="20"/>
                <w:szCs w:val="20"/>
              </w:rPr>
              <w:t>SA</w:t>
            </w:r>
            <w:r w:rsidRPr="0058593E">
              <w:rPr>
                <w:b/>
                <w:bCs/>
                <w:sz w:val="20"/>
                <w:szCs w:val="20"/>
                <w:vertAlign w:val="subscript"/>
              </w:rPr>
              <w:t>5</w:t>
            </w:r>
            <w:r>
              <w:rPr>
                <w:b/>
                <w:bCs/>
                <w:sz w:val="20"/>
                <w:szCs w:val="20"/>
              </w:rPr>
              <w:t xml:space="preserve"> Org. Flexibility Structures</w:t>
            </w:r>
          </w:p>
        </w:tc>
        <w:tc>
          <w:tcPr>
            <w:tcW w:w="144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3.44 (0.90)</w:t>
            </w:r>
          </w:p>
        </w:tc>
        <w:tc>
          <w:tcPr>
            <w:tcW w:w="144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3.47 (0.87)</w:t>
            </w:r>
          </w:p>
        </w:tc>
        <w:tc>
          <w:tcPr>
            <w:tcW w:w="18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78.3%</w:t>
            </w:r>
          </w:p>
        </w:tc>
        <w:tc>
          <w:tcPr>
            <w:tcW w:w="168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b/>
                <w:bCs/>
                <w:color w:val="375623"/>
                <w:sz w:val="20"/>
                <w:szCs w:val="20"/>
              </w:rPr>
              <w:t>0.83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2EFDA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b/>
                <w:bCs/>
                <w:sz w:val="20"/>
                <w:szCs w:val="20"/>
              </w:rPr>
              <w:t>SV</w:t>
            </w:r>
            <w:r w:rsidRPr="0058593E">
              <w:rPr>
                <w:b/>
                <w:bCs/>
                <w:sz w:val="20"/>
                <w:szCs w:val="20"/>
                <w:vertAlign w:val="subscript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Strategic Intent Articulation</w:t>
            </w:r>
          </w:p>
        </w:tc>
        <w:tc>
          <w:tcPr>
            <w:tcW w:w="144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2EFDA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3.71 (0.76)</w:t>
            </w:r>
          </w:p>
        </w:tc>
        <w:tc>
          <w:tcPr>
            <w:tcW w:w="144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2EFDA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3.68 (0.79)</w:t>
            </w:r>
          </w:p>
        </w:tc>
        <w:tc>
          <w:tcPr>
            <w:tcW w:w="18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2EFDA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81.7%</w:t>
            </w:r>
          </w:p>
        </w:tc>
        <w:tc>
          <w:tcPr>
            <w:tcW w:w="168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2EFDA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b/>
                <w:bCs/>
                <w:color w:val="375623"/>
                <w:sz w:val="20"/>
                <w:szCs w:val="20"/>
              </w:rPr>
              <w:t>0.86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b/>
                <w:bCs/>
                <w:sz w:val="20"/>
                <w:szCs w:val="20"/>
              </w:rPr>
              <w:t>SV</w:t>
            </w:r>
            <w:r w:rsidRPr="0058593E">
              <w:rPr>
                <w:b/>
                <w:bCs/>
                <w:sz w:val="20"/>
                <w:szCs w:val="20"/>
                <w:vertAlign w:val="subscript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Long-term Investment Commitment</w:t>
            </w:r>
          </w:p>
        </w:tc>
        <w:tc>
          <w:tcPr>
            <w:tcW w:w="144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3.58 (0.82)</w:t>
            </w:r>
          </w:p>
        </w:tc>
        <w:tc>
          <w:tcPr>
            <w:tcW w:w="144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3.55 (0.85)</w:t>
            </w:r>
          </w:p>
        </w:tc>
        <w:tc>
          <w:tcPr>
            <w:tcW w:w="18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79.2%</w:t>
            </w:r>
          </w:p>
        </w:tc>
        <w:tc>
          <w:tcPr>
            <w:tcW w:w="168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b/>
                <w:bCs/>
                <w:color w:val="375623"/>
                <w:sz w:val="20"/>
                <w:szCs w:val="20"/>
              </w:rPr>
              <w:t>0.84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2EFDA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b/>
                <w:bCs/>
                <w:sz w:val="20"/>
                <w:szCs w:val="20"/>
              </w:rPr>
              <w:t>SV</w:t>
            </w:r>
            <w:r w:rsidRPr="0058593E">
              <w:rPr>
                <w:b/>
                <w:bCs/>
                <w:sz w:val="20"/>
                <w:szCs w:val="20"/>
                <w:vertAlign w:val="subscript"/>
              </w:rPr>
              <w:t>3</w:t>
            </w:r>
            <w:r>
              <w:rPr>
                <w:b/>
                <w:bCs/>
                <w:sz w:val="20"/>
                <w:szCs w:val="20"/>
              </w:rPr>
              <w:t xml:space="preserve"> Strategic Consistency</w:t>
            </w:r>
          </w:p>
        </w:tc>
        <w:tc>
          <w:tcPr>
            <w:tcW w:w="144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2EFDA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3.47 (0.88)</w:t>
            </w:r>
          </w:p>
        </w:tc>
        <w:tc>
          <w:tcPr>
            <w:tcW w:w="144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2EFDA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3.44 (0.91)</w:t>
            </w:r>
          </w:p>
        </w:tc>
        <w:tc>
          <w:tcPr>
            <w:tcW w:w="18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2EFDA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77.5%</w:t>
            </w:r>
          </w:p>
        </w:tc>
        <w:tc>
          <w:tcPr>
            <w:tcW w:w="168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2EFDA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b/>
                <w:bCs/>
                <w:color w:val="375623"/>
                <w:sz w:val="20"/>
                <w:szCs w:val="20"/>
              </w:rPr>
              <w:t>0.82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b/>
                <w:bCs/>
                <w:sz w:val="20"/>
                <w:szCs w:val="20"/>
              </w:rPr>
              <w:t>SV</w:t>
            </w:r>
            <w:r w:rsidRPr="0058593E">
              <w:rPr>
                <w:b/>
                <w:bCs/>
                <w:sz w:val="20"/>
                <w:szCs w:val="20"/>
                <w:vertAlign w:val="subscript"/>
              </w:rPr>
              <w:t>4</w:t>
            </w:r>
            <w:r>
              <w:rPr>
                <w:b/>
                <w:bCs/>
                <w:sz w:val="20"/>
                <w:szCs w:val="20"/>
              </w:rPr>
              <w:t xml:space="preserve"> Core Capability Preservation</w:t>
            </w:r>
          </w:p>
        </w:tc>
        <w:tc>
          <w:tcPr>
            <w:tcW w:w="144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3.39 (0.86)</w:t>
            </w:r>
          </w:p>
        </w:tc>
        <w:tc>
          <w:tcPr>
            <w:tcW w:w="144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3.42 (0.83)</w:t>
            </w:r>
          </w:p>
        </w:tc>
        <w:tc>
          <w:tcPr>
            <w:tcW w:w="18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76.7%</w:t>
            </w:r>
          </w:p>
        </w:tc>
        <w:tc>
          <w:tcPr>
            <w:tcW w:w="168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b/>
                <w:bCs/>
                <w:color w:val="375623"/>
                <w:sz w:val="20"/>
                <w:szCs w:val="20"/>
              </w:rPr>
              <w:t>0.81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2EFDA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b/>
                <w:bCs/>
                <w:sz w:val="20"/>
                <w:szCs w:val="20"/>
              </w:rPr>
              <w:t>SV</w:t>
            </w:r>
            <w:r w:rsidRPr="0058593E">
              <w:rPr>
                <w:b/>
                <w:bCs/>
                <w:sz w:val="20"/>
                <w:szCs w:val="20"/>
                <w:vertAlign w:val="subscript"/>
              </w:rPr>
              <w:t>5</w:t>
            </w:r>
            <w:r>
              <w:rPr>
                <w:b/>
                <w:bCs/>
                <w:sz w:val="20"/>
                <w:szCs w:val="20"/>
              </w:rPr>
              <w:t xml:space="preserve"> Temporal Endurance</w:t>
            </w:r>
          </w:p>
        </w:tc>
        <w:tc>
          <w:tcPr>
            <w:tcW w:w="144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2EFDA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3.53 (0.84)</w:t>
            </w:r>
          </w:p>
        </w:tc>
        <w:tc>
          <w:tcPr>
            <w:tcW w:w="144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2EFDA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3.51 (0.87)</w:t>
            </w:r>
          </w:p>
        </w:tc>
        <w:tc>
          <w:tcPr>
            <w:tcW w:w="18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2EFDA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78.3%</w:t>
            </w:r>
          </w:p>
        </w:tc>
        <w:tc>
          <w:tcPr>
            <w:tcW w:w="168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2EFDA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b/>
                <w:bCs/>
                <w:color w:val="375623"/>
                <w:sz w:val="20"/>
                <w:szCs w:val="20"/>
              </w:rPr>
              <w:t>0.83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DDEE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b/>
                <w:bCs/>
                <w:sz w:val="20"/>
                <w:szCs w:val="20"/>
              </w:rPr>
              <w:t>IM</w:t>
            </w:r>
            <w:r w:rsidRPr="0058593E">
              <w:rPr>
                <w:b/>
                <w:bCs/>
                <w:sz w:val="20"/>
                <w:szCs w:val="20"/>
                <w:vertAlign w:val="subscript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Paradoxical Leadership</w:t>
            </w:r>
          </w:p>
        </w:tc>
        <w:tc>
          <w:tcPr>
            <w:tcW w:w="144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DDEE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3.18 (0.94)</w:t>
            </w:r>
          </w:p>
        </w:tc>
        <w:tc>
          <w:tcPr>
            <w:tcW w:w="144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DDEE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3.21 (0.91)</w:t>
            </w:r>
          </w:p>
        </w:tc>
        <w:tc>
          <w:tcPr>
            <w:tcW w:w="18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DDEE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75.8%</w:t>
            </w:r>
          </w:p>
        </w:tc>
        <w:tc>
          <w:tcPr>
            <w:tcW w:w="168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DDEE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b/>
                <w:bCs/>
                <w:color w:val="375623"/>
                <w:sz w:val="20"/>
                <w:szCs w:val="20"/>
              </w:rPr>
              <w:t>0.80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b/>
                <w:bCs/>
                <w:sz w:val="20"/>
                <w:szCs w:val="20"/>
              </w:rPr>
              <w:t>IM</w:t>
            </w:r>
            <w:r w:rsidRPr="0058593E">
              <w:rPr>
                <w:b/>
                <w:bCs/>
                <w:sz w:val="20"/>
                <w:szCs w:val="20"/>
                <w:vertAlign w:val="subscript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Contextual Ambidexterity</w:t>
            </w:r>
          </w:p>
        </w:tc>
        <w:tc>
          <w:tcPr>
            <w:tcW w:w="144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3.24 (0.91)</w:t>
            </w:r>
          </w:p>
        </w:tc>
        <w:tc>
          <w:tcPr>
            <w:tcW w:w="144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3.22 (0.93)</w:t>
            </w:r>
          </w:p>
        </w:tc>
        <w:tc>
          <w:tcPr>
            <w:tcW w:w="18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76.7%</w:t>
            </w:r>
          </w:p>
        </w:tc>
        <w:tc>
          <w:tcPr>
            <w:tcW w:w="168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b/>
                <w:bCs/>
                <w:color w:val="375623"/>
                <w:sz w:val="20"/>
                <w:szCs w:val="20"/>
              </w:rPr>
              <w:t>0.81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DDEE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b/>
                <w:bCs/>
                <w:sz w:val="20"/>
                <w:szCs w:val="20"/>
              </w:rPr>
              <w:t>IM</w:t>
            </w:r>
            <w:r w:rsidRPr="0058593E">
              <w:rPr>
                <w:b/>
                <w:bCs/>
                <w:sz w:val="20"/>
                <w:szCs w:val="20"/>
                <w:vertAlign w:val="subscript"/>
              </w:rPr>
              <w:t>3</w:t>
            </w:r>
            <w:r>
              <w:rPr>
                <w:b/>
                <w:bCs/>
                <w:sz w:val="20"/>
                <w:szCs w:val="20"/>
              </w:rPr>
              <w:t xml:space="preserve"> Dynamic Portfolio Balancing</w:t>
            </w:r>
          </w:p>
        </w:tc>
        <w:tc>
          <w:tcPr>
            <w:tcW w:w="144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DDEE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3.31 (0.89)</w:t>
            </w:r>
          </w:p>
        </w:tc>
        <w:tc>
          <w:tcPr>
            <w:tcW w:w="144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DDEE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3.28 (0.92)</w:t>
            </w:r>
          </w:p>
        </w:tc>
        <w:tc>
          <w:tcPr>
            <w:tcW w:w="18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DDEE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77.5%</w:t>
            </w:r>
          </w:p>
        </w:tc>
        <w:tc>
          <w:tcPr>
            <w:tcW w:w="168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DDEE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b/>
                <w:bCs/>
                <w:color w:val="375623"/>
                <w:sz w:val="20"/>
                <w:szCs w:val="20"/>
              </w:rPr>
              <w:t>0.82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2CC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b/>
                <w:bCs/>
                <w:sz w:val="20"/>
                <w:szCs w:val="20"/>
              </w:rPr>
              <w:t>IP</w:t>
            </w:r>
            <w:r w:rsidRPr="0058593E">
              <w:rPr>
                <w:b/>
                <w:bCs/>
                <w:sz w:val="20"/>
                <w:szCs w:val="20"/>
                <w:vertAlign w:val="subscript"/>
              </w:rPr>
              <w:t>3</w:t>
            </w:r>
            <w:r>
              <w:rPr>
                <w:b/>
                <w:bCs/>
                <w:sz w:val="20"/>
                <w:szCs w:val="20"/>
              </w:rPr>
              <w:t xml:space="preserve"> Innovation Strategy Alignment</w:t>
            </w:r>
          </w:p>
        </w:tc>
        <w:tc>
          <w:tcPr>
            <w:tcW w:w="144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2CC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3.62 (0.79)</w:t>
            </w:r>
          </w:p>
        </w:tc>
        <w:tc>
          <w:tcPr>
            <w:tcW w:w="144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2CC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3.59 (0.81)</w:t>
            </w:r>
          </w:p>
        </w:tc>
        <w:tc>
          <w:tcPr>
            <w:tcW w:w="18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2CC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>80.0%</w:t>
            </w:r>
          </w:p>
        </w:tc>
        <w:tc>
          <w:tcPr>
            <w:tcW w:w="168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2CC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b/>
                <w:bCs/>
                <w:color w:val="375623"/>
                <w:sz w:val="20"/>
                <w:szCs w:val="20"/>
              </w:rPr>
              <w:t>0.85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b/>
                <w:bCs/>
                <w:color w:val="FFFFFF"/>
                <w:sz w:val="20"/>
                <w:szCs w:val="20"/>
              </w:rPr>
              <w:t>OVERALL RELIABILITY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—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—</w:t>
            </w:r>
          </w:p>
        </w:tc>
        <w:tc>
          <w:tcPr>
            <w:tcW w:w="1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78.4% (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avg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16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75623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center"/>
            </w:pPr>
            <w:r w:rsidRPr="0058593E">
              <w:rPr>
                <w:b/>
                <w:bCs/>
                <w:i/>
                <w:color w:val="FFFFFF"/>
              </w:rPr>
              <w:t>κ</w:t>
            </w:r>
            <w:r>
              <w:rPr>
                <w:b/>
                <w:bCs/>
                <w:color w:val="FFFFFF"/>
              </w:rPr>
              <w:t xml:space="preserve"> = 0.84</w:t>
            </w:r>
          </w:p>
        </w:tc>
      </w:tr>
    </w:tbl>
    <w:p w:rsidR="00976DA7" w:rsidRDefault="00976DA7">
      <w:pPr>
        <w:spacing w:before="60" w:after="60"/>
      </w:pPr>
    </w:p>
    <w:p w:rsidR="00976DA7" w:rsidRDefault="0058593E">
      <w:pPr>
        <w:spacing w:before="80" w:after="80"/>
        <w:jc w:val="both"/>
      </w:pPr>
      <w:r>
        <w:rPr>
          <w:i/>
          <w:iCs/>
        </w:rPr>
        <w:lastRenderedPageBreak/>
        <w:t>Note: Cohen's weighted kappa (</w:t>
      </w:r>
      <w:proofErr w:type="spellStart"/>
      <w:r>
        <w:rPr>
          <w:i/>
          <w:iCs/>
        </w:rPr>
        <w:t>κw</w:t>
      </w:r>
      <w:proofErr w:type="spellEnd"/>
      <w:r>
        <w:rPr>
          <w:i/>
          <w:iCs/>
        </w:rPr>
        <w:t>) used throughout. Values ≥ 0.80 indicate strong agreement (Landis &amp; Koch, 1977). Discrepancies &gt; 1 scale point (n = 23 cases across all dimensions) were resolved via third-rater adjudication. No dimension fell below the κ = 0.80 threshold.</w:t>
      </w:r>
    </w:p>
    <w:p w:rsidR="00976DA7" w:rsidRDefault="00976DA7">
      <w:pPr>
        <w:spacing w:before="200" w:after="200"/>
      </w:pPr>
    </w:p>
    <w:p w:rsidR="00976DA7" w:rsidRDefault="0058593E">
      <w:pPr>
        <w:shd w:val="clear" w:color="auto" w:fill="1F4E79"/>
        <w:spacing w:before="300"/>
        <w:ind w:left="180" w:right="180"/>
      </w:pPr>
      <w:r>
        <w:rPr>
          <w:b/>
          <w:bCs/>
          <w:color w:val="FFFFFF"/>
          <w:sz w:val="26"/>
          <w:szCs w:val="26"/>
        </w:rPr>
        <w:t>PART C: ARCHETYPE CLASSIFICATION CRITERIA</w:t>
      </w:r>
    </w:p>
    <w:p w:rsidR="00976DA7" w:rsidRDefault="00976DA7">
      <w:pPr>
        <w:spacing w:before="80" w:after="80"/>
      </w:pPr>
    </w:p>
    <w:p w:rsidR="00976DA7" w:rsidRDefault="0058593E">
      <w:pPr>
        <w:pBdr>
          <w:bottom w:val="single" w:sz="4" w:space="2" w:color="1F4E79"/>
        </w:pBdr>
        <w:spacing w:before="240" w:after="80"/>
      </w:pPr>
      <w:r>
        <w:rPr>
          <w:b/>
          <w:bCs/>
          <w:color w:val="1F4E79"/>
          <w:sz w:val="24"/>
          <w:szCs w:val="24"/>
        </w:rPr>
        <w:t>C.1 Classification Logic</w:t>
      </w:r>
    </w:p>
    <w:p w:rsidR="00976DA7" w:rsidRDefault="0058593E">
      <w:pPr>
        <w:spacing w:before="80" w:after="80"/>
        <w:jc w:val="both"/>
      </w:pPr>
      <w:r>
        <w:t>Following content analysis coding, each firm was assigned a composite Strategic Agility score (mean of SA-1 through SA-5) and a composite Sustained Vision score (mean of SV-1 through SV-5), each on a 1–5 scale. Firms were classified into one of three archetypes based on the relative magnitudes of these composite scores, using the cut-points defined in Table C.1 below. Cut-points were established a priori based on theoretical reasoning and validated against the cluster analysis results from the Phase 2 quantitative analysis (see main manuscript). The archetype distribution was: Precision Adapters n = 40 (33.3%); Visionary Stewards n = 40 (33.3%); Ambidextrous Innovators n = 40 (33.3%).</w:t>
      </w:r>
    </w:p>
    <w:p w:rsidR="00976DA7" w:rsidRDefault="00976DA7">
      <w:pPr>
        <w:spacing w:before="100" w:after="100"/>
      </w:pPr>
    </w:p>
    <w:p w:rsidR="00976DA7" w:rsidRDefault="0058593E">
      <w:pPr>
        <w:spacing w:before="80" w:after="80"/>
        <w:jc w:val="both"/>
      </w:pPr>
      <w:r>
        <w:t xml:space="preserve">Firms with composite scores falling within 0.2 scale points of a boundary were reviewed by both coders jointly. In the 11 borderline cases identified, archetype assignment was based on a holistic review of qualitative evidence, with the IM-1 through IM-3 integration mechanism scores used as tiebreakers (higher IM scores </w:t>
      </w:r>
      <w:proofErr w:type="spellStart"/>
      <w:r>
        <w:t>favouring</w:t>
      </w:r>
      <w:proofErr w:type="spellEnd"/>
      <w:r>
        <w:t xml:space="preserve"> Ambidextrous Innovator classification).</w:t>
      </w:r>
    </w:p>
    <w:p w:rsidR="00976DA7" w:rsidRDefault="00976DA7">
      <w:pPr>
        <w:spacing w:before="100" w:after="100"/>
      </w:pPr>
    </w:p>
    <w:tbl>
      <w:tblPr>
        <w:tblW w:w="936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2400"/>
        <w:gridCol w:w="2400"/>
        <w:gridCol w:w="2400"/>
      </w:tblGrid>
      <w:tr w:rsidR="00976DA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E75B6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r>
              <w:rPr>
                <w:b/>
                <w:bCs/>
                <w:color w:val="FFFFFF"/>
                <w:sz w:val="20"/>
                <w:szCs w:val="20"/>
              </w:rPr>
              <w:t>Classification Criterion</w:t>
            </w:r>
          </w:p>
        </w:tc>
        <w:tc>
          <w:tcPr>
            <w:tcW w:w="2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8F00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r>
              <w:rPr>
                <w:b/>
                <w:bCs/>
                <w:color w:val="FFFFFF"/>
                <w:sz w:val="20"/>
                <w:szCs w:val="20"/>
              </w:rPr>
              <w:t>Precision Adapters (PA)</w:t>
            </w:r>
          </w:p>
        </w:tc>
        <w:tc>
          <w:tcPr>
            <w:tcW w:w="2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75623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r>
              <w:rPr>
                <w:b/>
                <w:bCs/>
                <w:color w:val="FFFFFF"/>
                <w:sz w:val="20"/>
                <w:szCs w:val="20"/>
              </w:rPr>
              <w:t>Visionary Stewards (VS)</w:t>
            </w:r>
          </w:p>
        </w:tc>
        <w:tc>
          <w:tcPr>
            <w:tcW w:w="2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r>
              <w:rPr>
                <w:b/>
                <w:bCs/>
                <w:color w:val="FFFFFF"/>
                <w:sz w:val="20"/>
                <w:szCs w:val="20"/>
              </w:rPr>
              <w:t>Ambidextrous Innovators (AI)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b/>
                <w:bCs/>
                <w:sz w:val="20"/>
                <w:szCs w:val="20"/>
              </w:rPr>
              <w:t>Composite Agility Score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2CC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≥ 3.8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2EFDA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2.5 – 3.7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DDEE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≥ 3.8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b/>
                <w:bCs/>
                <w:sz w:val="20"/>
                <w:szCs w:val="20"/>
              </w:rPr>
              <w:t>Composite Vision Score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2CC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2.5 – 3.7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2EFDA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≥ 3.8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DDEE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≥ 3.8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b/>
                <w:bCs/>
                <w:sz w:val="20"/>
                <w:szCs w:val="20"/>
              </w:rPr>
              <w:t>Agility–Vision Balance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2CC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Agility dominant; Vision moderate-low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2EFDA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Vision dominant; Agility moderate-low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DDEE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Both capabilities high; balanced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b/>
                <w:bCs/>
                <w:sz w:val="20"/>
                <w:szCs w:val="20"/>
              </w:rPr>
              <w:t>Expected Integration Mechanism Score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2CC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Low-moderate (2.5–3.5)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2EFDA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Low-moderate (2.5–3.5)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DDEE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High (≥ 4.0)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b/>
                <w:bCs/>
                <w:sz w:val="20"/>
                <w:szCs w:val="20"/>
              </w:rPr>
              <w:lastRenderedPageBreak/>
              <w:t>Performance Profile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2CC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Fast response; risk of strategic drift; moderate innovation output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2EFDA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Long-term stability; risk of rigidity; moderate innovation output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DDEE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Superior innovation output; high resilience; sustainable competitive advantage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b/>
                <w:bCs/>
                <w:sz w:val="20"/>
                <w:szCs w:val="20"/>
              </w:rPr>
              <w:t>Sample Size (Phase 1)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2CC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 w:rsidRPr="0058593E">
              <w:rPr>
                <w:i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= 40 firms (33.3%)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2EFDA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 w:rsidRPr="0058593E">
              <w:rPr>
                <w:i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= 40 firms (33.3%)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DDEE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n = 40 firms (33.3%)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b/>
                <w:bCs/>
                <w:sz w:val="20"/>
                <w:szCs w:val="20"/>
              </w:rPr>
              <w:t>Sample Size (Phase 2 Cluster Analysis)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2CC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 w:rsidRPr="0058593E">
              <w:rPr>
                <w:i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= 112 (35.6%)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2EFDA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 w:rsidRPr="0058593E">
              <w:rPr>
                <w:i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= 97 (30.8%)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DDEE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n = 106 (33.6%)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b/>
                <w:bCs/>
                <w:sz w:val="20"/>
                <w:szCs w:val="20"/>
              </w:rPr>
              <w:t>Average Annual Patent Filings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2CC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18.3 / year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2EFDA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21.7 / year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DDEE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 xml:space="preserve">31.9 / year (+47% </w:t>
            </w:r>
            <w:proofErr w:type="spellStart"/>
            <w:r>
              <w:rPr>
                <w:sz w:val="20"/>
                <w:szCs w:val="20"/>
              </w:rPr>
              <w:t>vs</w:t>
            </w:r>
            <w:proofErr w:type="spellEnd"/>
            <w:r>
              <w:rPr>
                <w:sz w:val="20"/>
                <w:szCs w:val="20"/>
              </w:rPr>
              <w:t xml:space="preserve"> mean)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b/>
                <w:bCs/>
                <w:sz w:val="20"/>
                <w:szCs w:val="20"/>
              </w:rPr>
              <w:t>New Product Revenue (% of total)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2CC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23%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E2EFDA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>28%</w:t>
            </w:r>
          </w:p>
        </w:tc>
        <w:tc>
          <w:tcPr>
            <w:tcW w:w="24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DDEEFF"/>
            <w:tcMar>
              <w:top w:w="80" w:type="dxa"/>
              <w:left w:w="130" w:type="dxa"/>
              <w:bottom w:w="80" w:type="dxa"/>
              <w:right w:w="130" w:type="dxa"/>
            </w:tcMar>
          </w:tcPr>
          <w:p w:rsidR="00976DA7" w:rsidRDefault="0058593E">
            <w:pPr>
              <w:spacing w:before="80" w:after="80"/>
              <w:jc w:val="both"/>
            </w:pPr>
            <w:r>
              <w:rPr>
                <w:sz w:val="20"/>
                <w:szCs w:val="20"/>
              </w:rPr>
              <w:t xml:space="preserve">43% (+52% </w:t>
            </w:r>
            <w:proofErr w:type="spellStart"/>
            <w:r>
              <w:rPr>
                <w:sz w:val="20"/>
                <w:szCs w:val="20"/>
              </w:rPr>
              <w:t>vs</w:t>
            </w:r>
            <w:proofErr w:type="spellEnd"/>
            <w:r>
              <w:rPr>
                <w:sz w:val="20"/>
                <w:szCs w:val="20"/>
              </w:rPr>
              <w:t xml:space="preserve"> mean)</w:t>
            </w:r>
          </w:p>
        </w:tc>
      </w:tr>
    </w:tbl>
    <w:p w:rsidR="00976DA7" w:rsidRDefault="00976DA7">
      <w:pPr>
        <w:spacing w:before="200" w:after="200"/>
      </w:pPr>
    </w:p>
    <w:p w:rsidR="00976DA7" w:rsidRDefault="0058593E">
      <w:pPr>
        <w:shd w:val="clear" w:color="auto" w:fill="1F4E79"/>
        <w:spacing w:before="300"/>
        <w:ind w:left="180" w:right="180"/>
      </w:pPr>
      <w:r>
        <w:rPr>
          <w:b/>
          <w:bCs/>
          <w:color w:val="FFFFFF"/>
          <w:sz w:val="26"/>
          <w:szCs w:val="26"/>
        </w:rPr>
        <w:t>PART D: ANONYMIZED FIRM PROFILES (N = 120)</w:t>
      </w:r>
    </w:p>
    <w:p w:rsidR="00976DA7" w:rsidRDefault="00976DA7">
      <w:pPr>
        <w:spacing w:before="80" w:after="80"/>
      </w:pPr>
    </w:p>
    <w:tbl>
      <w:tblPr>
        <w:tblW w:w="936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76D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2E75B6"/>
              <w:left w:val="thick" w:sz="16" w:space="0" w:color="2E75B6"/>
              <w:bottom w:val="single" w:sz="6" w:space="0" w:color="2E75B6"/>
              <w:right w:val="nil"/>
            </w:tcBorders>
            <w:shd w:val="clear" w:color="auto" w:fill="EBF3FB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976DA7" w:rsidRDefault="0058593E">
            <w:pPr>
              <w:spacing w:before="40" w:after="40"/>
              <w:jc w:val="both"/>
            </w:pPr>
            <w:r>
              <w:rPr>
                <w:i/>
                <w:iCs/>
              </w:rPr>
              <w:t xml:space="preserve">All firms are identified by </w:t>
            </w:r>
            <w:proofErr w:type="spellStart"/>
            <w:r>
              <w:rPr>
                <w:i/>
                <w:iCs/>
              </w:rPr>
              <w:t>anonymized</w:t>
            </w:r>
            <w:proofErr w:type="spellEnd"/>
            <w:r>
              <w:rPr>
                <w:i/>
                <w:iCs/>
              </w:rPr>
              <w:t xml:space="preserve"> alphanumeric codes only. No actual company names, brand names, registered names, or other identifying information are disclosed. Archetype, sector, sub-sector, geographic region, approximate revenue band, and firm age are reported. Agility and Vision scores are composite means derived from the 5-item coding dimensions in Part A. Key evidence excerpts are paraphrased to prevent identification. Legend: PA = Precision Adapters | VS = Visionary Stewards | AI = Ambidextrous Innovators. Revenue in USD billions.</w:t>
            </w:r>
          </w:p>
        </w:tc>
      </w:tr>
    </w:tbl>
    <w:p w:rsidR="00976DA7" w:rsidRDefault="00976DA7">
      <w:pPr>
        <w:spacing w:before="100" w:after="100"/>
      </w:pPr>
    </w:p>
    <w:p w:rsidR="0058593E" w:rsidRDefault="0058593E">
      <w:pPr>
        <w:pBdr>
          <w:bottom w:val="single" w:sz="4" w:space="2" w:color="1F4E79"/>
        </w:pBdr>
        <w:spacing w:before="240" w:after="80"/>
        <w:rPr>
          <w:b/>
          <w:bCs/>
          <w:color w:val="1F4E79"/>
          <w:sz w:val="24"/>
          <w:szCs w:val="24"/>
        </w:rPr>
      </w:pPr>
    </w:p>
    <w:p w:rsidR="0058593E" w:rsidRDefault="0058593E">
      <w:pPr>
        <w:pBdr>
          <w:bottom w:val="single" w:sz="4" w:space="2" w:color="1F4E79"/>
        </w:pBdr>
        <w:spacing w:before="240" w:after="80"/>
        <w:rPr>
          <w:b/>
          <w:bCs/>
          <w:color w:val="1F4E79"/>
          <w:sz w:val="24"/>
          <w:szCs w:val="24"/>
        </w:rPr>
      </w:pPr>
    </w:p>
    <w:p w:rsidR="0058593E" w:rsidRDefault="0058593E">
      <w:pPr>
        <w:pBdr>
          <w:bottom w:val="single" w:sz="4" w:space="2" w:color="1F4E79"/>
        </w:pBdr>
        <w:spacing w:before="240" w:after="80"/>
        <w:rPr>
          <w:b/>
          <w:bCs/>
          <w:color w:val="1F4E79"/>
          <w:sz w:val="24"/>
          <w:szCs w:val="24"/>
        </w:rPr>
      </w:pPr>
    </w:p>
    <w:p w:rsidR="0058593E" w:rsidRDefault="0058593E">
      <w:pPr>
        <w:pBdr>
          <w:bottom w:val="single" w:sz="4" w:space="2" w:color="1F4E79"/>
        </w:pBdr>
        <w:spacing w:before="240" w:after="80"/>
        <w:rPr>
          <w:b/>
          <w:bCs/>
          <w:color w:val="1F4E79"/>
          <w:sz w:val="24"/>
          <w:szCs w:val="24"/>
        </w:rPr>
      </w:pPr>
    </w:p>
    <w:p w:rsidR="00976DA7" w:rsidRDefault="0058593E">
      <w:pPr>
        <w:pBdr>
          <w:bottom w:val="single" w:sz="4" w:space="2" w:color="1F4E79"/>
        </w:pBdr>
        <w:spacing w:before="240" w:after="80"/>
      </w:pPr>
      <w:r>
        <w:rPr>
          <w:b/>
          <w:bCs/>
          <w:color w:val="1F4E79"/>
          <w:sz w:val="24"/>
          <w:szCs w:val="24"/>
        </w:rPr>
        <w:lastRenderedPageBreak/>
        <w:t>D.1 Technology Sector (</w:t>
      </w:r>
      <w:r w:rsidRPr="0058593E">
        <w:rPr>
          <w:b/>
          <w:bCs/>
          <w:i/>
          <w:color w:val="1F4E79"/>
          <w:sz w:val="24"/>
          <w:szCs w:val="24"/>
        </w:rPr>
        <w:t>n</w:t>
      </w:r>
      <w:r>
        <w:rPr>
          <w:b/>
          <w:bCs/>
          <w:color w:val="1F4E79"/>
          <w:sz w:val="24"/>
          <w:szCs w:val="24"/>
        </w:rPr>
        <w:t xml:space="preserve"> = 40)</w:t>
      </w:r>
    </w:p>
    <w:tbl>
      <w:tblPr>
        <w:tblW w:w="1336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1412"/>
        <w:gridCol w:w="1598"/>
        <w:gridCol w:w="1332"/>
        <w:gridCol w:w="799"/>
        <w:gridCol w:w="666"/>
        <w:gridCol w:w="1332"/>
        <w:gridCol w:w="959"/>
        <w:gridCol w:w="920"/>
        <w:gridCol w:w="3543"/>
      </w:tblGrid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087B41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ID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087B41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Sector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087B41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Sub-sector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087B41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Region</w:t>
            </w:r>
          </w:p>
        </w:tc>
        <w:tc>
          <w:tcPr>
            <w:tcW w:w="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087B41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Rev ($B)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087B41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Age (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yr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087B41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Archetype</w:t>
            </w:r>
          </w:p>
        </w:tc>
        <w:tc>
          <w:tcPr>
            <w:tcW w:w="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087B41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Agility Score</w:t>
            </w:r>
          </w:p>
        </w:tc>
        <w:tc>
          <w:tcPr>
            <w:tcW w:w="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087B41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Vision Score</w:t>
            </w:r>
          </w:p>
        </w:tc>
        <w:tc>
          <w:tcPr>
            <w:tcW w:w="2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087B41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Key Archetype Evidence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T-</w:t>
            </w:r>
            <w:r>
              <w:rPr>
                <w:sz w:val="18"/>
                <w:szCs w:val="18"/>
              </w:rPr>
              <w:t>H01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Hardware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N. America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BF8F0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Rapid product-line pivots; modular hardware platforms; annual strategic direction revisions documented; moderate long-term commitment language in investor communications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T-H02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Hardware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N. America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Explicit dual-horizon roadmap; CEO communications acknowledge speed-stability tension; protected 5-year R&amp;D budget; strong patent output trajectory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T-H03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Hardware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N. America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VS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Multi-year platform investment protected through market downturn; strategic intent highly consistent across annual reports 2015–2024; slower pivot history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T-H04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Hardware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Europe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Cross-functional agile teams alongside 10-year capability roadmap; paradoxical leadership language in CEO letters; high IP output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T-H05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Hardware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Europe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VS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Sustained capital commitment to core manufacturing competencies; strategic consistency through two CEO transitions; below-average agility structures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T-H06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Hardware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Europe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BF8F0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Frequent portfolio adjustments; fast resource reallocation documented; limited long-term vision articulation; high responsiveness to competitive moves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T-H07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Hardware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Asia-Pac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Horizon-based portfolio management (70/20/10); CEO articulates 'adaptive stability' doctrine; dual performance metrics; strong integration mechanism evidence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T-H08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Hardware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Asia-Pac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VS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Long-term ecosystem partnerships protected; multi-decade capability heritage; strategic intent articulated consistently; reactive rather than proactive pivots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T-H09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Hardware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Asia-Pac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BF8F0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Highly agile product development cycles; multiple documented pivots; limited 5+ year strategic commitments evident from reports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lastRenderedPageBreak/>
              <w:t>T-H10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Hardware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proofErr w:type="spellStart"/>
            <w:r>
              <w:rPr>
                <w:sz w:val="18"/>
                <w:szCs w:val="18"/>
              </w:rPr>
              <w:t>RoW</w:t>
            </w:r>
            <w:proofErr w:type="spellEnd"/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Both agility and vision scored above threshold; evidence of contextual ambidexterity; above-average patent output; 'bounded autonomy' references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T-H11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Hardware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N. America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VS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Exceptional strategic intent clarity; 15-year technology roadmap; minimal strategic deviation; capability preservation explicitly managed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T-H12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Hardware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N. America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BF8F0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Fast-cycle strategy reviews; multiple business model iterations; strong agility infrastructure; moderate vision consistency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T-H13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Hardware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Europe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Dynamic portfolio balancing evidence; senior leadership acknowledges agility-vision paradox explicitly; above-average new product revenue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T-S01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Software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N. America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BF8F0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Rapid pivots to cloud/AI; high resource reallocation speed; multiple business model revisions; limited strategic consistency evidence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T-S02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Software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N. America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Vision-aligned innovation pipeline; agile development with 7-year platform roadmap; high patent filings; CEO 'and' framing in communications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T-S03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Software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N. America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VS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Clear 5-year product roadmap maintained despite competitive pressure; deliberate capability preservation; below-average pivot frequency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T-S04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Software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N. America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Balanced scorecard including both speed and long-term metrics; paradoxical leadership documented; strong integration mechanisms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T-S05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Software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N. America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BF8F0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High product iteration velocity; market-sensing orientation; reactive strategy; less evidence of sustained multi-year commitments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T-S06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Software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N. America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Horizon portfolio management; CEO acknowledges tension between responsiveness and roadmap fidelity; strong innovation performance indicators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lastRenderedPageBreak/>
              <w:t>T-S07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Software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N. America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VS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Long-term platform investment protected through down-market; consistent strategic priorities across leadership transitions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T-S08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Software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Europe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BF8F0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Agile-at-scale transformation evidence; multiple strategic pivots in 2018–2022; strong responsiveness; moderate long-term direction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T-S09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Software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Europe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Structured rebalancing cadence; both agility and vision language prominent in investor docs; above-average integration mechanism scores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T-S10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Software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Europe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VS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Consistent product vision over 10 years; deliberate capability preservation; limited evidence of structural agility mechanisms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T-S11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Software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Europe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BF8F0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Fast strategic decision velocity; market-scanning orientation; agile team structures; moderate strategic consistency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T-S12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Software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Asia-Pac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Contextual ambidexterity model described explicitly in annual report; dual performance metrics; above-average IP output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T-S13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Software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Asia-Pac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VS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Long-horizon roadmap maintained; protected core competencies; lower agility scores consistent with measured, deliberate strategy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T-S14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Software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Asia-Pac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BF8F0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Rapid feature iteration; multiple market pivots; CEO pivoting language dominant in communications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T-S15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Software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proofErr w:type="spellStart"/>
            <w:r>
              <w:rPr>
                <w:sz w:val="18"/>
                <w:szCs w:val="18"/>
              </w:rPr>
              <w:t>RoW</w:t>
            </w:r>
            <w:proofErr w:type="spellEnd"/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Both agility and vision evidence; real-time portfolio adjustment protocol documented; strong new product revenue contribution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T-S16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Software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proofErr w:type="spellStart"/>
            <w:r>
              <w:rPr>
                <w:sz w:val="18"/>
                <w:szCs w:val="18"/>
              </w:rPr>
              <w:t>RoW</w:t>
            </w:r>
            <w:proofErr w:type="spellEnd"/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VS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Multi-year capability investment; strategic consistency through founding team transitions; deliberate long-term orientation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T-S17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Software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proofErr w:type="spellStart"/>
            <w:r>
              <w:rPr>
                <w:sz w:val="18"/>
                <w:szCs w:val="18"/>
              </w:rPr>
              <w:t>RoW</w:t>
            </w:r>
            <w:proofErr w:type="spellEnd"/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BF8F0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High market sensitivity; fast resource shifts; limited multi-year commitment language in public documents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T-I01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IT Services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N. America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10-year digital transformation roadmap alongside agile delivery organization; paradoxical leadership framing documented; above-average patent and revenue metrics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lastRenderedPageBreak/>
              <w:t>T-I02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IT Services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N. America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VS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Consistent service portfolio strategy across decade; core capability preservation through multiple market shifts; deliberate long-term client relationships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T-I03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IT Services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N. America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BF8F0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Rapid service line pivots; resource reallocation in response to market demands; limited 5+ year strategic commitments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T-I04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IT Services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Europe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Both dimensions above threshold; bounded autonomy in delivery teams; CEO communications integrate stability and transformation language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T-I05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IT Services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Europe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VS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 xml:space="preserve">Long-term client </w:t>
            </w:r>
            <w:proofErr w:type="spellStart"/>
            <w:r>
              <w:rPr>
                <w:sz w:val="18"/>
                <w:szCs w:val="18"/>
              </w:rPr>
              <w:t>programme</w:t>
            </w:r>
            <w:proofErr w:type="spellEnd"/>
            <w:r>
              <w:rPr>
                <w:sz w:val="18"/>
                <w:szCs w:val="18"/>
              </w:rPr>
              <w:t xml:space="preserve"> investments protected; strategic consistency through acquisition activity; high capability preservation scores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T-I06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IT Services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Europe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BF8F0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 xml:space="preserve">Agile workforce restructuring; multiple service model </w:t>
            </w:r>
            <w:proofErr w:type="spellStart"/>
            <w:r>
              <w:rPr>
                <w:sz w:val="18"/>
                <w:szCs w:val="18"/>
              </w:rPr>
              <w:t>evisions</w:t>
            </w:r>
            <w:proofErr w:type="spellEnd"/>
            <w:r>
              <w:rPr>
                <w:sz w:val="18"/>
                <w:szCs w:val="18"/>
              </w:rPr>
              <w:t xml:space="preserve">; fast decision velocity; limited long-term </w:t>
            </w:r>
            <w:proofErr w:type="spellStart"/>
            <w:r>
              <w:rPr>
                <w:sz w:val="18"/>
                <w:szCs w:val="18"/>
              </w:rPr>
              <w:t>programme</w:t>
            </w:r>
            <w:proofErr w:type="spellEnd"/>
            <w:r>
              <w:rPr>
                <w:sz w:val="18"/>
                <w:szCs w:val="18"/>
              </w:rPr>
              <w:t xml:space="preserve"> evidence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T-I07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IT Services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Asia-Pac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Dynamic portfolio review process; integration mechanism scores among highest in sector; above-average innovation performance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T-I08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IT Services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Asia-Pac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VS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 xml:space="preserve">Sustained 8-year transformation </w:t>
            </w:r>
            <w:proofErr w:type="spellStart"/>
            <w:r>
              <w:rPr>
                <w:sz w:val="18"/>
                <w:szCs w:val="18"/>
              </w:rPr>
              <w:t>programme</w:t>
            </w:r>
            <w:proofErr w:type="spellEnd"/>
            <w:r>
              <w:rPr>
                <w:sz w:val="18"/>
                <w:szCs w:val="18"/>
              </w:rPr>
              <w:t>; capability development protected through downturns; consistent strategic intent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T-I09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IT Services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proofErr w:type="spellStart"/>
            <w:r>
              <w:rPr>
                <w:sz w:val="18"/>
                <w:szCs w:val="18"/>
              </w:rPr>
              <w:t>RoW</w:t>
            </w:r>
            <w:proofErr w:type="spellEnd"/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BF8F0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High responsiveness; fast strategic pivots; below-average sustained direction evidence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T-I10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IT Services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proofErr w:type="spellStart"/>
            <w:r>
              <w:rPr>
                <w:sz w:val="18"/>
                <w:szCs w:val="18"/>
              </w:rPr>
              <w:t>RoW</w:t>
            </w:r>
            <w:proofErr w:type="spellEnd"/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087B41">
            <w:pPr>
              <w:spacing w:before="20" w:after="20"/>
            </w:pPr>
            <w:r>
              <w:rPr>
                <w:sz w:val="18"/>
                <w:szCs w:val="18"/>
              </w:rPr>
              <w:t>Both agility and vision above threshold; contextual ambidexterity structures evident; strong new product contribution metrics</w:t>
            </w:r>
          </w:p>
        </w:tc>
      </w:tr>
    </w:tbl>
    <w:p w:rsidR="00976DA7" w:rsidRDefault="00976DA7">
      <w:pPr>
        <w:spacing w:before="80" w:after="80"/>
      </w:pPr>
    </w:p>
    <w:p w:rsidR="00976DA7" w:rsidRDefault="0058593E">
      <w:pPr>
        <w:pBdr>
          <w:bottom w:val="single" w:sz="4" w:space="2" w:color="1F4E79"/>
        </w:pBdr>
        <w:spacing w:before="240" w:after="80"/>
      </w:pPr>
      <w:r>
        <w:rPr>
          <w:b/>
          <w:bCs/>
          <w:color w:val="1F4E79"/>
          <w:sz w:val="24"/>
          <w:szCs w:val="24"/>
        </w:rPr>
        <w:t>D.2 Manufacturing Sector (n = 40)</w:t>
      </w:r>
    </w:p>
    <w:tbl>
      <w:tblPr>
        <w:tblW w:w="1336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3"/>
        <w:gridCol w:w="1657"/>
        <w:gridCol w:w="1565"/>
        <w:gridCol w:w="1305"/>
        <w:gridCol w:w="783"/>
        <w:gridCol w:w="652"/>
        <w:gridCol w:w="1305"/>
        <w:gridCol w:w="939"/>
        <w:gridCol w:w="901"/>
        <w:gridCol w:w="3470"/>
      </w:tblGrid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58593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ID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58593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Sector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58593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Sub-sector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58593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Region</w:t>
            </w:r>
          </w:p>
        </w:tc>
        <w:tc>
          <w:tcPr>
            <w:tcW w:w="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58593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Rev ($B)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58593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Age (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yr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58593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Archetype</w:t>
            </w:r>
          </w:p>
        </w:tc>
        <w:tc>
          <w:tcPr>
            <w:tcW w:w="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58593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Agility Score</w:t>
            </w:r>
          </w:p>
        </w:tc>
        <w:tc>
          <w:tcPr>
            <w:tcW w:w="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58593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Vision Score</w:t>
            </w:r>
          </w:p>
        </w:tc>
        <w:tc>
          <w:tcPr>
            <w:tcW w:w="2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58593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Key Archetype Evidence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M-A01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Manufacturing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Automotive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N. America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VS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Decades-long platform strategy; core powertrain capability preserved through EV transition; multi-cycle strategic consistency; deliberate agility investment lower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lastRenderedPageBreak/>
              <w:t>M-A02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Manufacturing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Automotive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N. America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6.4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 xml:space="preserve">Dual-speed organization; traditional platform alongside agile </w:t>
            </w:r>
            <w:proofErr w:type="spellStart"/>
            <w:r>
              <w:rPr>
                <w:sz w:val="18"/>
                <w:szCs w:val="18"/>
              </w:rPr>
              <w:t>skunkworks</w:t>
            </w:r>
            <w:proofErr w:type="spellEnd"/>
            <w:r>
              <w:rPr>
                <w:sz w:val="18"/>
                <w:szCs w:val="18"/>
              </w:rPr>
              <w:t>; CEO 'parallel innovation' doctrine; strong integration mechanism evidence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M-A03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Manufacturing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Automotive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N. America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5.8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BF8F0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Fast supply chain reconfiguration; frequent strategic reviews; proactive market-sensing; moderate long-term vision articulation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M-A04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Manufacturing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Automotive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Europe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VS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Exceptional strategic intent clarity; century-long brand heritage protected; consistent capability investment; deliberately cautious pivot history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M-A05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Manufacturing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Automotive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Europe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6.9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Strategic tension explicitly acknowledged in investor communications; portfolio balanced across ICE, hybrid, EV horizons; high IP output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M-A06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Manufacturing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Automotive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Europe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BF8F0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Aggressive market responsiveness; rapid EV pivot; high resource reallocation speed documented; vision language less prominent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M-A07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Manufacturing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Automotive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Asia-Pac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VS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4.8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Exceptional long-term commitment; multi-generation platform investments; strong capability preservation; modest agility structures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M-A08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Manufacturing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Automotive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Asia-Pac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7.3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Both capabilities balanced; 'and' framing in CEO communications; dynamic rebalancing protocol; above-average innovation metrics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M-A09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Manufacturing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Automotive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Asia-Pac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4.8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BF8F0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 xml:space="preserve">High product iteration speed; market-responsive strategy; limited long-term </w:t>
            </w:r>
            <w:proofErr w:type="spellStart"/>
            <w:r>
              <w:rPr>
                <w:sz w:val="18"/>
                <w:szCs w:val="18"/>
              </w:rPr>
              <w:t>programme</w:t>
            </w:r>
            <w:proofErr w:type="spellEnd"/>
            <w:r>
              <w:rPr>
                <w:sz w:val="18"/>
                <w:szCs w:val="18"/>
              </w:rPr>
              <w:t xml:space="preserve"> evidence in analyst reports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M-A10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Manufacturing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Automotive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Asia-Pac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Horizon-based portfolio (60/30/10 current/next/future); integration mechanism scores high; above-average patent filings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M-A11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Manufacturing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Automotive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N. America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6.1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VS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Long-term manufacturing capability protected through restructuring; consistent product quality vision; deliberate pace of strategic change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M-A12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Manufacturing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Automotive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Europe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Paradoxical leadership documented; real-time rebalancing forums; both agility and vision language prominent; strong innovation contribution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lastRenderedPageBreak/>
              <w:t>M-A13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Manufacturing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Automotive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proofErr w:type="spellStart"/>
            <w:r>
              <w:rPr>
                <w:sz w:val="18"/>
                <w:szCs w:val="18"/>
              </w:rPr>
              <w:t>RoW</w:t>
            </w:r>
            <w:proofErr w:type="spellEnd"/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BF8F0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Fast market entry decisions; agile supply chain; multiple partnership model revisions; moderate strategic direction consistency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M-A14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Manufacturing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Automotive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proofErr w:type="spellStart"/>
            <w:r>
              <w:rPr>
                <w:sz w:val="18"/>
                <w:szCs w:val="18"/>
              </w:rPr>
              <w:t>RoW</w:t>
            </w:r>
            <w:proofErr w:type="spellEnd"/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VS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Sustained capital commitment to core engineering competencies; multi-year technology roadmaps; strategic direction preserved through leadership changes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M-E01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Manufacturing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Industrial Equip.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N. America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VS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 xml:space="preserve">Long-horizon product development cycles; protected R&amp;D </w:t>
            </w:r>
            <w:proofErr w:type="spellStart"/>
            <w:r>
              <w:rPr>
                <w:sz w:val="18"/>
                <w:szCs w:val="18"/>
              </w:rPr>
              <w:t>programmes</w:t>
            </w:r>
            <w:proofErr w:type="spellEnd"/>
            <w:r>
              <w:rPr>
                <w:sz w:val="18"/>
                <w:szCs w:val="18"/>
              </w:rPr>
              <w:t>; consistent strategic intent across 10-year period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M-E02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Manufacturing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Industrial Equip.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N. America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Both dimensions balanced; bounded autonomy in business units; portfolio review cadence documented; above-average new product revenue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M-E03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Manufacturing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Industrial Equip.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N. America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BF8F0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Fast market responsiveness; resource reallocation speed high; limited long-term strategic commitment language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M-E04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Manufacturing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Industrial Equip.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Europe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VS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50-year technology heritage protected; capability preservation through multiple economic cycles; highly consistent strategic intent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M-E05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Manufacturing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Industrial Equip.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Europe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Real-time environmental sensing; 10-year capability roadmap; integration mechanism scores among highest in sub-sector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M-E06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Manufacturing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Industrial Equip.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Europe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BF8F0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Agile product development; fast customer response; multiple product line revisions; moderate long-term direction evidence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M-E07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Manufacturing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Industrial Equip.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Europe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4.8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VS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Sustained investment in precision engineering competencies; strategic priorities consistent across leadership transitions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M-E08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Manufacturing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Industrial Equip.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Europe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Dynamic balancing evidence; CEO letters use 'both/and' framing; above-average innovation alignment scores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M-E09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Manufacturing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Industrial Equip.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Asia-Pac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BF8F0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Fast technology adoption decisions; multiple platform reconfigurations; moderate long-term vision articulation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lastRenderedPageBreak/>
              <w:t>M-E10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Manufacturing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Industrial Equip.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Asia-Pac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3.7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Both capabilities above threshold; contextual ambidexterity structures documented; strong IP output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M-E11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Manufacturing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Industrial Equip.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Asia-Pac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VS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Long-term manufacturing capability investment; strategic consistency strong; deliberate, measured approach to market responsiveness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M-E12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Manufacturing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Industrial Equip.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Asia-Pac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BF8F0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 xml:space="preserve">High speed of operational reconfiguration; market-driven strategy; limited 5+ year </w:t>
            </w:r>
            <w:proofErr w:type="spellStart"/>
            <w:r>
              <w:rPr>
                <w:sz w:val="18"/>
                <w:szCs w:val="18"/>
              </w:rPr>
              <w:t>programme</w:t>
            </w:r>
            <w:proofErr w:type="spellEnd"/>
            <w:r>
              <w:rPr>
                <w:sz w:val="18"/>
                <w:szCs w:val="18"/>
              </w:rPr>
              <w:t xml:space="preserve"> evidence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M-E13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Manufacturing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Industrial Equip.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proofErr w:type="spellStart"/>
            <w:r>
              <w:rPr>
                <w:sz w:val="18"/>
                <w:szCs w:val="18"/>
              </w:rPr>
              <w:t>RoW</w:t>
            </w:r>
            <w:proofErr w:type="spellEnd"/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Portfolio-based resource management; integration mechanism language in investor docs; above-average performance metrics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M-E14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Manufacturing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Industrial Equip.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proofErr w:type="spellStart"/>
            <w:r>
              <w:rPr>
                <w:sz w:val="18"/>
                <w:szCs w:val="18"/>
              </w:rPr>
              <w:t>RoW</w:t>
            </w:r>
            <w:proofErr w:type="spellEnd"/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VS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Sustained R&amp;D commitment; strategic direction protected through market downturns; low pivot frequency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M-E15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Manufacturing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Industrial Equip.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proofErr w:type="spellStart"/>
            <w:r>
              <w:rPr>
                <w:sz w:val="18"/>
                <w:szCs w:val="18"/>
              </w:rPr>
              <w:t>RoW</w:t>
            </w:r>
            <w:proofErr w:type="spellEnd"/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BF8F0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Fast competitive response; frequent strategic adjustments; agile operations; moderate long-term consistency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M-C01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Manufacturing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Consumer Goods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N. America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Long-term brand platform; agile NPD pipeline; CEO communications balance heritage and adaptation; strong new product revenue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M-C02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Manufacturing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Consumer Goods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N. America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VS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Brand heritage protected across product refreshes; multi-year strategic investments maintained; deliberate pace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M-C03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Manufacturing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Consumer Goods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N. America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BF8F0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Fast category pivots; high portfolio responsiveness; multiple brand strategy revisions; limited long-term commitment language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M-C04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Manufacturing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Consumer Goods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Europe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VS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150-year brand equity management; capability preservation explicit; strategic intent articulation among highest in sub-sector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M-C05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Manufacturing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Consumer Goods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Europe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Both dimensions balanced; contextual ambidexterity in brand management; integration mechanism scores high; above-average innovation metrics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lastRenderedPageBreak/>
              <w:t>M-C06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Manufacturing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Consumer Goods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Europe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BF8F0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Responsive to consumer trend shifts; fast NPD cycles; moderate strategic direction consistency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M-C07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Manufacturing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Consumer Goods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Asia-Pac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3.7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Dynamic portfolio management; paradoxical leadership framing documented; strong R&amp;D-to-revenue conversion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M-C08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Manufacturing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Consumer Goods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Asia-Pac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VS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Long-term quality investment; consistent strategic intent across decade; deliberate approach to market adaptation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M-C09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Manufacturing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Consumer Goods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Asia-Pac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BF8F0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High market responsiveness; fast innovation cycles; limited multi-year commitment evidence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M-C10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Manufacturing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Consumer Goods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proofErr w:type="spellStart"/>
            <w:r>
              <w:rPr>
                <w:sz w:val="18"/>
                <w:szCs w:val="18"/>
              </w:rPr>
              <w:t>RoW</w:t>
            </w:r>
            <w:proofErr w:type="spellEnd"/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Both capabilities above threshold; real-time rebalancing evidence; above-average innovation performance indicators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M-C11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Manufacturing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Consumer Goods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proofErr w:type="spellStart"/>
            <w:r>
              <w:rPr>
                <w:sz w:val="18"/>
                <w:szCs w:val="18"/>
              </w:rPr>
              <w:t>RoW</w:t>
            </w:r>
            <w:proofErr w:type="spellEnd"/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VS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Sustained investment in core category competencies; strategic consistency maintained; limited agility mechanism documentation</w:t>
            </w:r>
          </w:p>
        </w:tc>
      </w:tr>
    </w:tbl>
    <w:p w:rsidR="00976DA7" w:rsidRDefault="00976DA7">
      <w:pPr>
        <w:spacing w:before="80" w:after="80"/>
      </w:pPr>
    </w:p>
    <w:p w:rsidR="00976DA7" w:rsidRDefault="0058593E">
      <w:pPr>
        <w:pBdr>
          <w:bottom w:val="single" w:sz="4" w:space="2" w:color="1F4E79"/>
        </w:pBdr>
        <w:spacing w:before="240" w:after="80"/>
      </w:pPr>
      <w:r>
        <w:rPr>
          <w:b/>
          <w:bCs/>
          <w:color w:val="1F4E79"/>
          <w:sz w:val="24"/>
          <w:szCs w:val="24"/>
        </w:rPr>
        <w:t>D.3 Retail Sector (n = 40)</w:t>
      </w:r>
    </w:p>
    <w:tbl>
      <w:tblPr>
        <w:tblW w:w="1336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3"/>
        <w:gridCol w:w="1340"/>
        <w:gridCol w:w="1608"/>
        <w:gridCol w:w="1340"/>
        <w:gridCol w:w="804"/>
        <w:gridCol w:w="670"/>
        <w:gridCol w:w="1340"/>
        <w:gridCol w:w="965"/>
        <w:gridCol w:w="926"/>
        <w:gridCol w:w="3564"/>
      </w:tblGrid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58593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ID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58593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Sector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58593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Sub-sector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58593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Region</w:t>
            </w:r>
          </w:p>
        </w:tc>
        <w:tc>
          <w:tcPr>
            <w:tcW w:w="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58593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Rev ($B)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58593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Age (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yr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58593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Archetype</w:t>
            </w:r>
          </w:p>
        </w:tc>
        <w:tc>
          <w:tcPr>
            <w:tcW w:w="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58593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Agility Score</w:t>
            </w:r>
          </w:p>
        </w:tc>
        <w:tc>
          <w:tcPr>
            <w:tcW w:w="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58593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Vision Score</w:t>
            </w:r>
          </w:p>
        </w:tc>
        <w:tc>
          <w:tcPr>
            <w:tcW w:w="2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76DA7" w:rsidRDefault="0058593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Key Archetype Evidence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R-E01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Retail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E-commerce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N. America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BF8F0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Hyper-agile operations; multiple business model iterations; fast-cycle category pivots; limited evidence of 5+ year commitments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R-E02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Retail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E-commerce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N. America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Platform vision stable; operational agility high; CEO letters balance speed and strategic coherence; above-average IP output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R-E03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Retail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E-commerce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N. America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VS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Long-term marketplace vision protected; core platform capability preserved; deliberate approach to market responsiveness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R-E04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Retail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E-commerce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N. America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Both dimensions above threshold; contextual ambidexterity evidence; strong new product/service revenue contribution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lastRenderedPageBreak/>
              <w:t>R-E05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Retail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E-commerce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N. America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BF8F0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Multiple service model pivots; fast market response; agile organizational design; moderate long-term direction evidence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R-E06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Retail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E-commerce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N. America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VS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10-year platform roadmap; capability investment protected; strategic consistency across leadership changes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R-E07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Retail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E-commerce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N. America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Real-time sensing and rebalancing; integration mechanism language prominent; above-average innovation performance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R-E08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Retail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E-commerce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Europe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BF8F0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Rapid pivot to new categories; fast resource reallocation; multiple strategic direction revisions in 2018–2022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R-E09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Retail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E-commerce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Europe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Both capabilities balanced; dynamic portfolio balancing documented; CEO frames agility-vision tension explicitly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R-E10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Retail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E-commerce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Europe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VS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Consistent marketplace vision; long-term technology investment; capability preservation through rapid market change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R-E11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Retail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E-commerce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Europe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BF8F0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Highly responsive strategy; multiple pivots; above-average agility scores; limited long-term commitment language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R-E12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Retail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E-commerce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Asia-Pac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Both dimensions above threshold; integration mechanism scores high; strong innovation indicators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R-E13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Retail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E-commerce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Asia-Pac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VS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Strong long-term ecosystem vision; deliberate pace of change; capability preservation prominent in strategy documents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R-E14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Retail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E-commerce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Asia-Pac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BF8F0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Fast market entry and exit decisions; agile logistics operations; limited multi-year strategic commitment evidence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R-E15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Retail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E-commerce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proofErr w:type="spellStart"/>
            <w:r>
              <w:rPr>
                <w:sz w:val="18"/>
                <w:szCs w:val="18"/>
              </w:rPr>
              <w:t>RoW</w:t>
            </w:r>
            <w:proofErr w:type="spellEnd"/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Dynamic resource management; paradoxical leadership framing; balanced capability scores; above-average performance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R-E16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Retail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E-commerce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proofErr w:type="spellStart"/>
            <w:r>
              <w:rPr>
                <w:sz w:val="18"/>
                <w:szCs w:val="18"/>
              </w:rPr>
              <w:t>RoW</w:t>
            </w:r>
            <w:proofErr w:type="spellEnd"/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VS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Long-horizon customer platform investment; consistent strategic intent; deliberate approach to responsiveness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lastRenderedPageBreak/>
              <w:t>R-E17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Retail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E-commerce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proofErr w:type="spellStart"/>
            <w:r>
              <w:rPr>
                <w:sz w:val="18"/>
                <w:szCs w:val="18"/>
              </w:rPr>
              <w:t>RoW</w:t>
            </w:r>
            <w:proofErr w:type="spellEnd"/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BF8F0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High market responsiveness; multiple model revisions; moderate long-term commitment documentation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R-B01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Retail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Brick &amp; Mortar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N. America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VS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Multi-decade format strategy; core real estate competency preserved; strategic consistency strong; deliberate adaptation pace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R-B02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Retail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Brick &amp; Mortar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N. America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 xml:space="preserve">Both dimensions above threshold; </w:t>
            </w:r>
            <w:proofErr w:type="spellStart"/>
            <w:r>
              <w:rPr>
                <w:sz w:val="18"/>
                <w:szCs w:val="18"/>
              </w:rPr>
              <w:t>omnichannel</w:t>
            </w:r>
            <w:proofErr w:type="spellEnd"/>
            <w:r>
              <w:rPr>
                <w:sz w:val="18"/>
                <w:szCs w:val="18"/>
              </w:rPr>
              <w:t xml:space="preserve"> transition managed as paradox; above-average innovation performance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R-B03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Retail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Brick &amp; Mortar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N. America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BF8F0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 xml:space="preserve">Fast store format iterations; rapid response to consumer trends; limited 10+ year strategic </w:t>
            </w:r>
            <w:proofErr w:type="spellStart"/>
            <w:r>
              <w:rPr>
                <w:sz w:val="18"/>
                <w:szCs w:val="18"/>
              </w:rPr>
              <w:t>programme</w:t>
            </w:r>
            <w:proofErr w:type="spellEnd"/>
            <w:r>
              <w:rPr>
                <w:sz w:val="18"/>
                <w:szCs w:val="18"/>
              </w:rPr>
              <w:t xml:space="preserve"> evidence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R-B04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Retail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Brick &amp; Mortar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Europe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VS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70-year retail heritage; core brand competencies deliberately protected; highly consistent strategic intent across leadership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R-B05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Retail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Brick &amp; Mortar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Europe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Dynamic portfolio management (physical/digital/hybrid); CEO uses 'both/and' framing; strong integration mechanisms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R-B06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Retail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Brick &amp; Mortar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Europe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BF8F0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Fast response to retail disruption; multiple format experiments; limited long-term commitment language in reports</w:t>
            </w:r>
          </w:p>
        </w:tc>
        <w:bookmarkStart w:id="0" w:name="_GoBack"/>
        <w:bookmarkEnd w:id="0"/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R-B07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Retail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Brick &amp; Mortar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Asia-Pac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VS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Long-term store network strategy; capability preservation explicit; strategic intent consistent across a decade of digital disruption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R-B08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Retail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Brick &amp; Mortar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Asia-Pac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Both capabilities balanced; contextual ambidexterity in store management; above-average new product/service revenue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R-B09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Retail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Brick &amp; Mortar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Asia-Pac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BF8F0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Responsive category management; fast product range pivots; moderate long-term vision articulation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R-B10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Retail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Brick &amp; Mortar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proofErr w:type="spellStart"/>
            <w:r>
              <w:rPr>
                <w:sz w:val="18"/>
                <w:szCs w:val="18"/>
              </w:rPr>
              <w:t>RoW</w:t>
            </w:r>
            <w:proofErr w:type="spellEnd"/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Dynamic rebalancing cadence; both agility and vision language prominent; above-average performance indicators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R-B11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Retail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Brick &amp; Mortar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proofErr w:type="spellStart"/>
            <w:r>
              <w:rPr>
                <w:sz w:val="18"/>
                <w:szCs w:val="18"/>
              </w:rPr>
              <w:t>RoW</w:t>
            </w:r>
            <w:proofErr w:type="spellEnd"/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VS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Sustained investment in core retail competencies; consistent format strategy; deliberate innovation pace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lastRenderedPageBreak/>
              <w:t>R-B12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Retail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Brick &amp; Mortar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proofErr w:type="spellStart"/>
            <w:r>
              <w:rPr>
                <w:sz w:val="18"/>
                <w:szCs w:val="18"/>
              </w:rPr>
              <w:t>RoW</w:t>
            </w:r>
            <w:proofErr w:type="spellEnd"/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BF8F0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Fast market response; multiple strategic pivots; limited multi-year commitment documentation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R-B13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Retail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Brick &amp; Mortar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N. America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VS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Long-term brand equity investment; strategic intent highly consistent; capability preservation through digital transition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R-O01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Retail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proofErr w:type="spellStart"/>
            <w:r>
              <w:rPr>
                <w:sz w:val="18"/>
                <w:szCs w:val="18"/>
              </w:rPr>
              <w:t>Omnichannel</w:t>
            </w:r>
            <w:proofErr w:type="spellEnd"/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N. America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proofErr w:type="spellStart"/>
            <w:r>
              <w:rPr>
                <w:sz w:val="18"/>
                <w:szCs w:val="18"/>
              </w:rPr>
              <w:t>Omnichannel</w:t>
            </w:r>
            <w:proofErr w:type="spellEnd"/>
            <w:r>
              <w:rPr>
                <w:sz w:val="18"/>
                <w:szCs w:val="18"/>
              </w:rPr>
              <w:t xml:space="preserve"> built as both/and proposition; CEO explicitly manages agility-vision paradox; high integration mechanism scores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R-O02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Retail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proofErr w:type="spellStart"/>
            <w:r>
              <w:rPr>
                <w:sz w:val="18"/>
                <w:szCs w:val="18"/>
              </w:rPr>
              <w:t>Omnichannel</w:t>
            </w:r>
            <w:proofErr w:type="spellEnd"/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N. America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VS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Long-term digital-physical integration roadmap; core brand capability protected; deliberate approach to channel agility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R-O03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Retail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proofErr w:type="spellStart"/>
            <w:r>
              <w:rPr>
                <w:sz w:val="18"/>
                <w:szCs w:val="18"/>
              </w:rPr>
              <w:t>Omnichannel</w:t>
            </w:r>
            <w:proofErr w:type="spellEnd"/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N. America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BF8F0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 xml:space="preserve">Fast channel additions and exits; highly responsive operations; limited multi-year strategic </w:t>
            </w:r>
            <w:proofErr w:type="spellStart"/>
            <w:r>
              <w:rPr>
                <w:sz w:val="18"/>
                <w:szCs w:val="18"/>
              </w:rPr>
              <w:t>programme</w:t>
            </w:r>
            <w:proofErr w:type="spellEnd"/>
            <w:r>
              <w:rPr>
                <w:sz w:val="18"/>
                <w:szCs w:val="18"/>
              </w:rPr>
              <w:t xml:space="preserve"> language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R-O04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Retail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proofErr w:type="spellStart"/>
            <w:r>
              <w:rPr>
                <w:sz w:val="18"/>
                <w:szCs w:val="18"/>
              </w:rPr>
              <w:t>Omnichannel</w:t>
            </w:r>
            <w:proofErr w:type="spellEnd"/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N. America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Both dimensions above threshold; real-time portfolio rebalancing; above-average innovation performance indicators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R-O05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Retail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proofErr w:type="spellStart"/>
            <w:r>
              <w:rPr>
                <w:sz w:val="18"/>
                <w:szCs w:val="18"/>
              </w:rPr>
              <w:t>Omnichannel</w:t>
            </w:r>
            <w:proofErr w:type="spellEnd"/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Europe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VS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Consistent multi-channel strategy; core customer experience competency protected; deliberate adaptation pace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R-O06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Retail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proofErr w:type="spellStart"/>
            <w:r>
              <w:rPr>
                <w:sz w:val="18"/>
                <w:szCs w:val="18"/>
              </w:rPr>
              <w:t>Omnichannel</w:t>
            </w:r>
            <w:proofErr w:type="spellEnd"/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Europe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Dynamic channel management; integration mechanism language in strategy documents; balanced capability scores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R-O07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Retail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proofErr w:type="spellStart"/>
            <w:r>
              <w:rPr>
                <w:sz w:val="18"/>
                <w:szCs w:val="18"/>
              </w:rPr>
              <w:t>Omnichannel</w:t>
            </w:r>
            <w:proofErr w:type="spellEnd"/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Europe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BF8F0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Highly agile channel strategy; multiple format pivots; limited long-term commitment documentation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R-O08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Retail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proofErr w:type="spellStart"/>
            <w:r>
              <w:rPr>
                <w:sz w:val="18"/>
                <w:szCs w:val="18"/>
              </w:rPr>
              <w:t>Omnichannel</w:t>
            </w:r>
            <w:proofErr w:type="spellEnd"/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Asia-Pac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AI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DDEE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Both capabilities balanced; paradoxical leadership evidence; above-average new product/service revenue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R-O09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Retail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proofErr w:type="spellStart"/>
            <w:r>
              <w:rPr>
                <w:sz w:val="18"/>
                <w:szCs w:val="18"/>
              </w:rPr>
              <w:t>Omnichannel</w:t>
            </w:r>
            <w:proofErr w:type="spellEnd"/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Asia-Pac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VS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Long-horizon channel integration roadmap; strategic intent consistent; capability preservation prominent</w:t>
            </w:r>
          </w:p>
        </w:tc>
      </w:tr>
      <w:tr w:rsidR="00976DA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R-O10</w:t>
            </w:r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Retail</w:t>
            </w:r>
          </w:p>
        </w:tc>
        <w:tc>
          <w:tcPr>
            <w:tcW w:w="12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proofErr w:type="spellStart"/>
            <w:r>
              <w:rPr>
                <w:sz w:val="18"/>
                <w:szCs w:val="18"/>
              </w:rPr>
              <w:t>Omnichannel</w:t>
            </w:r>
            <w:proofErr w:type="spellEnd"/>
          </w:p>
        </w:tc>
        <w:tc>
          <w:tcPr>
            <w:tcW w:w="10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proofErr w:type="spellStart"/>
            <w:r>
              <w:rPr>
                <w:sz w:val="18"/>
                <w:szCs w:val="18"/>
              </w:rPr>
              <w:t>RoW</w:t>
            </w:r>
            <w:proofErr w:type="spellEnd"/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5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BF8F0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6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26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6DA7" w:rsidRDefault="0058593E">
            <w:pPr>
              <w:spacing w:before="20" w:after="20"/>
            </w:pPr>
            <w:r>
              <w:rPr>
                <w:sz w:val="18"/>
                <w:szCs w:val="18"/>
              </w:rPr>
              <w:t>Fast channel responsiveness; multiple model iterations; moderate long-term commitment evidence</w:t>
            </w:r>
          </w:p>
        </w:tc>
      </w:tr>
    </w:tbl>
    <w:p w:rsidR="00976DA7" w:rsidRDefault="00976DA7">
      <w:pPr>
        <w:spacing w:before="160" w:after="160"/>
      </w:pPr>
    </w:p>
    <w:p w:rsidR="00976DA7" w:rsidRDefault="00976DA7">
      <w:pPr>
        <w:pBdr>
          <w:top w:val="single" w:sz="6" w:space="4" w:color="1F4E79"/>
        </w:pBdr>
        <w:spacing w:before="200" w:after="100"/>
      </w:pPr>
    </w:p>
    <w:p w:rsidR="00976DA7" w:rsidRDefault="0058593E">
      <w:pPr>
        <w:spacing w:before="80" w:after="80"/>
        <w:jc w:val="center"/>
      </w:pPr>
      <w:r>
        <w:rPr>
          <w:b/>
          <w:bCs/>
        </w:rPr>
        <w:t xml:space="preserve">Document Information: </w:t>
      </w:r>
      <w:r w:rsidR="002F7537">
        <w:t>Supplementary File 2</w:t>
      </w:r>
      <w:r>
        <w:t xml:space="preserve"> Case Study Materials  |  120 </w:t>
      </w:r>
      <w:proofErr w:type="spellStart"/>
      <w:r>
        <w:t>Anonymized</w:t>
      </w:r>
      <w:proofErr w:type="spellEnd"/>
      <w:r>
        <w:t xml:space="preserve"> Firm Profiles  |  14-Dimension Codebook  |  IRR κ = 0.84  |  [</w:t>
      </w:r>
      <w:proofErr w:type="spellStart"/>
      <w:r>
        <w:t>Anonymized</w:t>
      </w:r>
      <w:proofErr w:type="spellEnd"/>
      <w:r>
        <w:t xml:space="preserve"> for Peer Review]  |  Submission ID: a8887652-1bc8-4192-9e41-7f3691ad0983</w:t>
      </w:r>
    </w:p>
    <w:p w:rsidR="00976DA7" w:rsidRDefault="0058593E">
      <w:pPr>
        <w:spacing w:before="80" w:after="80"/>
        <w:jc w:val="center"/>
      </w:pPr>
      <w:r>
        <w:rPr>
          <w:b/>
          <w:bCs/>
        </w:rPr>
        <w:t xml:space="preserve">References: </w:t>
      </w:r>
      <w:r>
        <w:rPr>
          <w:i/>
          <w:iCs/>
        </w:rPr>
        <w:t>Landis, J.R., &amp; Koch, G.G. (1977). The measurement of observer agreement for categorical data. Biometrics, 33(1), 159–174.</w:t>
      </w:r>
    </w:p>
    <w:sectPr w:rsidR="00976DA7">
      <w:headerReference w:type="default" r:id="rId7"/>
      <w:footerReference w:type="default" r:id="rId8"/>
      <w:pgSz w:w="15840" w:h="122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B41" w:rsidRDefault="00087B41">
      <w:r>
        <w:separator/>
      </w:r>
    </w:p>
  </w:endnote>
  <w:endnote w:type="continuationSeparator" w:id="0">
    <w:p w:rsidR="00087B41" w:rsidRDefault="0008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93E" w:rsidRDefault="0058593E">
    <w:pPr>
      <w:pBdr>
        <w:top w:val="single" w:sz="4" w:space="4" w:color="CCCCCC"/>
      </w:pBdr>
      <w:jc w:val="center"/>
    </w:pPr>
    <w:r>
      <w:rPr>
        <w:color w:val="888888"/>
        <w:sz w:val="18"/>
        <w:szCs w:val="18"/>
      </w:rPr>
      <w:t xml:space="preserve">Page </w:t>
    </w:r>
    <w:r>
      <w:rPr>
        <w:color w:val="888888"/>
        <w:sz w:val="18"/>
        <w:szCs w:val="18"/>
      </w:rPr>
      <w:fldChar w:fldCharType="begin"/>
    </w:r>
    <w:r>
      <w:rPr>
        <w:color w:val="888888"/>
        <w:sz w:val="18"/>
        <w:szCs w:val="18"/>
      </w:rPr>
      <w:instrText>PAGE</w:instrText>
    </w:r>
    <w:r>
      <w:rPr>
        <w:color w:val="888888"/>
        <w:sz w:val="18"/>
        <w:szCs w:val="18"/>
      </w:rPr>
      <w:fldChar w:fldCharType="separate"/>
    </w:r>
    <w:r w:rsidR="002F7537">
      <w:rPr>
        <w:noProof/>
        <w:color w:val="888888"/>
        <w:sz w:val="18"/>
        <w:szCs w:val="18"/>
      </w:rPr>
      <w:t>18</w:t>
    </w:r>
    <w:r>
      <w:rPr>
        <w:color w:val="888888"/>
        <w:sz w:val="18"/>
        <w:szCs w:val="18"/>
      </w:rPr>
      <w:fldChar w:fldCharType="end"/>
    </w:r>
    <w:r>
      <w:rPr>
        <w:color w:val="888888"/>
        <w:sz w:val="18"/>
        <w:szCs w:val="18"/>
      </w:rPr>
      <w:t xml:space="preserve"> of </w:t>
    </w:r>
    <w:r>
      <w:rPr>
        <w:color w:val="888888"/>
        <w:sz w:val="18"/>
        <w:szCs w:val="18"/>
      </w:rPr>
      <w:fldChar w:fldCharType="begin"/>
    </w:r>
    <w:r>
      <w:rPr>
        <w:color w:val="888888"/>
        <w:sz w:val="18"/>
        <w:szCs w:val="18"/>
      </w:rPr>
      <w:instrText>NUMPAGES</w:instrText>
    </w:r>
    <w:r>
      <w:rPr>
        <w:color w:val="888888"/>
        <w:sz w:val="18"/>
        <w:szCs w:val="18"/>
      </w:rPr>
      <w:fldChar w:fldCharType="separate"/>
    </w:r>
    <w:r w:rsidR="002F7537">
      <w:rPr>
        <w:noProof/>
        <w:color w:val="888888"/>
        <w:sz w:val="18"/>
        <w:szCs w:val="18"/>
      </w:rPr>
      <w:t>19</w:t>
    </w:r>
    <w:r>
      <w:rPr>
        <w:color w:val="888888"/>
        <w:sz w:val="18"/>
        <w:szCs w:val="18"/>
      </w:rPr>
      <w:fldChar w:fldCharType="end"/>
    </w:r>
    <w:r>
      <w:rPr>
        <w:color w:val="888888"/>
        <w:sz w:val="18"/>
        <w:szCs w:val="18"/>
      </w:rPr>
      <w:t xml:space="preserve">    |    Balancing Flexibility and Foresight — Phase 1 Case Study Materials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B41" w:rsidRDefault="00087B41">
      <w:r>
        <w:separator/>
      </w:r>
    </w:p>
  </w:footnote>
  <w:footnote w:type="continuationSeparator" w:id="0">
    <w:p w:rsidR="00087B41" w:rsidRDefault="00087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93E" w:rsidRDefault="0058593E">
    <w:pPr>
      <w:pBdr>
        <w:bottom w:val="single" w:sz="4" w:space="4" w:color="CCCCCC"/>
      </w:pBdr>
    </w:pPr>
    <w:r>
      <w:rPr>
        <w:color w:val="888888"/>
        <w:sz w:val="18"/>
        <w:szCs w:val="18"/>
      </w:rPr>
      <w:t xml:space="preserve">Supplementary File 2 — Case Study </w:t>
    </w:r>
    <w:proofErr w:type="gramStart"/>
    <w:r>
      <w:rPr>
        <w:color w:val="888888"/>
        <w:sz w:val="18"/>
        <w:szCs w:val="18"/>
      </w:rPr>
      <w:t>Materials  |</w:t>
    </w:r>
    <w:proofErr w:type="gramEnd"/>
    <w:r>
      <w:rPr>
        <w:color w:val="888888"/>
        <w:sz w:val="18"/>
        <w:szCs w:val="18"/>
      </w:rPr>
      <w:t xml:space="preserve">  [</w:t>
    </w:r>
    <w:proofErr w:type="spellStart"/>
    <w:r>
      <w:rPr>
        <w:color w:val="888888"/>
        <w:sz w:val="18"/>
        <w:szCs w:val="18"/>
      </w:rPr>
      <w:t>Anonymized</w:t>
    </w:r>
    <w:proofErr w:type="spellEnd"/>
    <w:r>
      <w:rPr>
        <w:color w:val="888888"/>
        <w:sz w:val="18"/>
        <w:szCs w:val="18"/>
      </w:rPr>
      <w:t xml:space="preserve"> for Peer Review]  |  Submission ID: a8887652-1bc8-4192-9e41-7f3691ad0983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B77DBF"/>
    <w:multiLevelType w:val="hybridMultilevel"/>
    <w:tmpl w:val="B02E42B2"/>
    <w:lvl w:ilvl="0" w:tplc="FC9C774E">
      <w:start w:val="1"/>
      <w:numFmt w:val="bullet"/>
      <w:lvlText w:val="●"/>
      <w:lvlJc w:val="left"/>
      <w:pPr>
        <w:ind w:left="720" w:hanging="360"/>
      </w:pPr>
    </w:lvl>
    <w:lvl w:ilvl="1" w:tplc="8F16B862">
      <w:start w:val="1"/>
      <w:numFmt w:val="bullet"/>
      <w:lvlText w:val="○"/>
      <w:lvlJc w:val="left"/>
      <w:pPr>
        <w:ind w:left="1440" w:hanging="360"/>
      </w:pPr>
    </w:lvl>
    <w:lvl w:ilvl="2" w:tplc="1DF81548">
      <w:start w:val="1"/>
      <w:numFmt w:val="bullet"/>
      <w:lvlText w:val="■"/>
      <w:lvlJc w:val="left"/>
      <w:pPr>
        <w:ind w:left="2160" w:hanging="360"/>
      </w:pPr>
    </w:lvl>
    <w:lvl w:ilvl="3" w:tplc="AD4846A2">
      <w:start w:val="1"/>
      <w:numFmt w:val="bullet"/>
      <w:lvlText w:val="●"/>
      <w:lvlJc w:val="left"/>
      <w:pPr>
        <w:ind w:left="2880" w:hanging="360"/>
      </w:pPr>
    </w:lvl>
    <w:lvl w:ilvl="4" w:tplc="2BD28E26">
      <w:start w:val="1"/>
      <w:numFmt w:val="bullet"/>
      <w:lvlText w:val="○"/>
      <w:lvlJc w:val="left"/>
      <w:pPr>
        <w:ind w:left="3600" w:hanging="360"/>
      </w:pPr>
    </w:lvl>
    <w:lvl w:ilvl="5" w:tplc="C81453D2">
      <w:start w:val="1"/>
      <w:numFmt w:val="bullet"/>
      <w:lvlText w:val="■"/>
      <w:lvlJc w:val="left"/>
      <w:pPr>
        <w:ind w:left="4320" w:hanging="360"/>
      </w:pPr>
    </w:lvl>
    <w:lvl w:ilvl="6" w:tplc="167E4E0E">
      <w:start w:val="1"/>
      <w:numFmt w:val="bullet"/>
      <w:lvlText w:val="●"/>
      <w:lvlJc w:val="left"/>
      <w:pPr>
        <w:ind w:left="5040" w:hanging="360"/>
      </w:pPr>
    </w:lvl>
    <w:lvl w:ilvl="7" w:tplc="E8B29152">
      <w:start w:val="1"/>
      <w:numFmt w:val="bullet"/>
      <w:lvlText w:val="●"/>
      <w:lvlJc w:val="left"/>
      <w:pPr>
        <w:ind w:left="5760" w:hanging="360"/>
      </w:pPr>
    </w:lvl>
    <w:lvl w:ilvl="8" w:tplc="781685F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zMDQwMjEyNTI0NTZU0lEKTi0uzszPAykwrAUA+5lSSywAAAA="/>
  </w:docVars>
  <w:rsids>
    <w:rsidRoot w:val="00976DA7"/>
    <w:rsid w:val="00087B41"/>
    <w:rsid w:val="002F7537"/>
    <w:rsid w:val="0058593E"/>
    <w:rsid w:val="0097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483087-B970-4FC1-85EF-E072A2C1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19</Pages>
  <Words>5435</Words>
  <Characters>30986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MAL.RABIU</cp:lastModifiedBy>
  <cp:revision>2</cp:revision>
  <dcterms:created xsi:type="dcterms:W3CDTF">2026-03-10T03:36:00Z</dcterms:created>
  <dcterms:modified xsi:type="dcterms:W3CDTF">2026-03-10T07:43:00Z</dcterms:modified>
</cp:coreProperties>
</file>