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5C37" w14:textId="6DBE14B0" w:rsidR="001267CD" w:rsidRDefault="001267CD" w:rsidP="00177BBC">
      <w:r>
        <w:rPr>
          <w:noProof/>
        </w:rPr>
        <w:drawing>
          <wp:inline distT="0" distB="0" distL="0" distR="0" wp14:anchorId="302CA2A4" wp14:editId="600C48E9">
            <wp:extent cx="5274310" cy="4520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66BA8" w14:textId="310BF96C" w:rsidR="00177BBC" w:rsidRDefault="001267CD" w:rsidP="001267CD">
      <w:r>
        <w:t>Fig. S1</w:t>
      </w:r>
      <w:r w:rsidR="00177BBC">
        <w:rPr>
          <w:rFonts w:hint="eastAsia"/>
        </w:rPr>
        <w:t xml:space="preserve"> </w:t>
      </w:r>
      <w:proofErr w:type="spellStart"/>
      <w:r w:rsidR="00177BBC">
        <w:t>Genecloud</w:t>
      </w:r>
      <w:proofErr w:type="spellEnd"/>
      <w:r w:rsidR="00177BBC">
        <w:t xml:space="preserve"> plot showed mutation information of genes in </w:t>
      </w:r>
      <w:r w:rsidR="00177BBC">
        <w:rPr>
          <w:rFonts w:hint="eastAsia"/>
        </w:rPr>
        <w:t>CSCC</w:t>
      </w:r>
      <w:r w:rsidR="00177BBC">
        <w:t xml:space="preserve">. </w:t>
      </w:r>
    </w:p>
    <w:p w14:paraId="336C8232" w14:textId="64CB8976" w:rsidR="001267CD" w:rsidRDefault="001267CD" w:rsidP="001267CD"/>
    <w:p w14:paraId="6F6550C7" w14:textId="1CD8C520" w:rsidR="001267CD" w:rsidRDefault="001267CD" w:rsidP="001267CD"/>
    <w:p w14:paraId="430F2694" w14:textId="3747E052" w:rsidR="001267CD" w:rsidRDefault="001267CD" w:rsidP="001267CD"/>
    <w:p w14:paraId="5B757A7C" w14:textId="44E8D8F0" w:rsidR="001267CD" w:rsidRDefault="001267CD" w:rsidP="001267CD"/>
    <w:p w14:paraId="33D74CA0" w14:textId="65A35D01" w:rsidR="001267CD" w:rsidRDefault="001267CD" w:rsidP="001267CD"/>
    <w:p w14:paraId="4733E91F" w14:textId="2D832A79" w:rsidR="001267CD" w:rsidRDefault="001267CD" w:rsidP="001267CD"/>
    <w:p w14:paraId="1C012021" w14:textId="77777777" w:rsidR="001267CD" w:rsidRDefault="001267CD" w:rsidP="001267CD">
      <w:pPr>
        <w:rPr>
          <w:rFonts w:hint="eastAsia"/>
        </w:rPr>
      </w:pPr>
    </w:p>
    <w:p w14:paraId="47078F94" w14:textId="1E06D033" w:rsidR="001267CD" w:rsidRPr="00F67E86" w:rsidRDefault="001267CD" w:rsidP="00177BBC">
      <w:r>
        <w:rPr>
          <w:noProof/>
        </w:rPr>
        <w:lastRenderedPageBreak/>
        <w:drawing>
          <wp:inline distT="0" distB="0" distL="0" distR="0" wp14:anchorId="066DF87E" wp14:editId="634033B1">
            <wp:extent cx="5274310" cy="27368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7BD77" w14:textId="5C94F050" w:rsidR="00177BBC" w:rsidRPr="00177BBC" w:rsidRDefault="00177BBC">
      <w:pPr>
        <w:rPr>
          <w:rFonts w:hint="eastAsia"/>
        </w:rPr>
      </w:pPr>
      <w:r>
        <w:rPr>
          <w:rFonts w:hint="eastAsia"/>
        </w:rPr>
        <w:t xml:space="preserve">Fig. S2. </w:t>
      </w:r>
      <w:r>
        <w:t xml:space="preserve">The Kaplan-Meier survival curve of </w:t>
      </w:r>
      <w:r>
        <w:rPr>
          <w:rFonts w:hint="eastAsia"/>
        </w:rPr>
        <w:t>some significative immune cells</w:t>
      </w:r>
      <w:r>
        <w:t xml:space="preserve"> in </w:t>
      </w:r>
      <w:r>
        <w:rPr>
          <w:rFonts w:hint="eastAsia"/>
        </w:rPr>
        <w:t>CSCC</w:t>
      </w:r>
      <w:r>
        <w:t xml:space="preserve">. Patients with high </w:t>
      </w:r>
      <w:r>
        <w:rPr>
          <w:rFonts w:hint="eastAsia"/>
        </w:rPr>
        <w:t>T cells CD4 memory activated, NK cells resting and</w:t>
      </w:r>
      <w:r>
        <w:t xml:space="preserve"> T cells</w:t>
      </w:r>
      <w:r>
        <w:rPr>
          <w:rFonts w:hint="eastAsia"/>
        </w:rPr>
        <w:t xml:space="preserve"> </w:t>
      </w:r>
      <w:r>
        <w:t xml:space="preserve">CD8 fraction had a higher overall survival whereas </w:t>
      </w:r>
      <w:r>
        <w:rPr>
          <w:rFonts w:hint="eastAsia"/>
        </w:rPr>
        <w:t>T cells CD4 memory resting, Mast cells activated, NK cells activated and Eosinophils</w:t>
      </w:r>
      <w:r>
        <w:t xml:space="preserve"> were associated with poor prognosis.</w:t>
      </w:r>
    </w:p>
    <w:sectPr w:rsidR="00177BBC" w:rsidRPr="00177BBC" w:rsidSect="001267C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2420" w14:textId="77777777" w:rsidR="0022649D" w:rsidRDefault="0022649D" w:rsidP="00177BBC">
      <w:r>
        <w:separator/>
      </w:r>
    </w:p>
  </w:endnote>
  <w:endnote w:type="continuationSeparator" w:id="0">
    <w:p w14:paraId="461E88F7" w14:textId="77777777" w:rsidR="0022649D" w:rsidRDefault="0022649D" w:rsidP="001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9575073"/>
      <w:docPartObj>
        <w:docPartGallery w:val="Page Numbers (Bottom of Page)"/>
        <w:docPartUnique/>
      </w:docPartObj>
    </w:sdtPr>
    <w:sdtEndPr/>
    <w:sdtContent>
      <w:p w14:paraId="44D5465E" w14:textId="77777777" w:rsidR="00C96793" w:rsidRDefault="00367B3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F96AE0" w14:textId="77777777" w:rsidR="00C96793" w:rsidRDefault="002264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E22F" w14:textId="77777777" w:rsidR="0022649D" w:rsidRDefault="0022649D" w:rsidP="00177BBC">
      <w:r>
        <w:separator/>
      </w:r>
    </w:p>
  </w:footnote>
  <w:footnote w:type="continuationSeparator" w:id="0">
    <w:p w14:paraId="66245430" w14:textId="77777777" w:rsidR="0022649D" w:rsidRDefault="0022649D" w:rsidP="00177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17"/>
    <w:rsid w:val="000C29CB"/>
    <w:rsid w:val="001267CD"/>
    <w:rsid w:val="00177BBC"/>
    <w:rsid w:val="0022649D"/>
    <w:rsid w:val="00367B33"/>
    <w:rsid w:val="003A05F4"/>
    <w:rsid w:val="00A84017"/>
    <w:rsid w:val="00C9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6509F"/>
  <w15:chartTrackingRefBased/>
  <w15:docId w15:val="{0375D5F0-6FC3-485F-8A00-6CA77188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B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B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B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B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BB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7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EA846-3805-48A3-B54D-5DB9ED18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彪</dc:creator>
  <cp:keywords/>
  <dc:description/>
  <cp:lastModifiedBy>宁 彪</cp:lastModifiedBy>
  <cp:revision>4</cp:revision>
  <dcterms:created xsi:type="dcterms:W3CDTF">2021-08-06T12:26:00Z</dcterms:created>
  <dcterms:modified xsi:type="dcterms:W3CDTF">2021-08-07T01:28:00Z</dcterms:modified>
</cp:coreProperties>
</file>