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37407" w14:textId="77777777" w:rsidR="00755632" w:rsidRDefault="00755632" w:rsidP="00755632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F95EEAB" wp14:editId="2FFBAF88">
            <wp:extent cx="5974227" cy="3360420"/>
            <wp:effectExtent l="0" t="0" r="7620" b="0"/>
            <wp:docPr id="404188800" name="Picture 2" descr="A graph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88800" name="Picture 2" descr="A graph of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77" cy="336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E213" w14:textId="67D6EEC9" w:rsidR="00F1785B" w:rsidRPr="00755632" w:rsidRDefault="00755632" w:rsidP="007556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632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 w:rsidRPr="00755632">
        <w:rPr>
          <w:rFonts w:ascii="Times New Roman" w:hAnsi="Times New Roman" w:cs="Times New Roman"/>
          <w:sz w:val="24"/>
          <w:szCs w:val="24"/>
        </w:rPr>
        <w:t xml:space="preserve"> Rarefaction curves of bacterial and fungal communities. Rarefaction plots show the accumulation of observed OTUs with increasing sequencing depth for bacteria (16S rRNA gene; left) and fungi (ITS; right). Each coloured curve represents an individual sample. Curves approaching a plateau indicate that additional sequencing would yield relatively few new OTUs, whereas non-plateauing curves suggest incomplete sampling of richness in some samples.</w:t>
      </w:r>
    </w:p>
    <w:sectPr w:rsidR="00F1785B" w:rsidRPr="00755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E1"/>
    <w:rsid w:val="00755632"/>
    <w:rsid w:val="00DE54E1"/>
    <w:rsid w:val="00F1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46E6"/>
  <w15:chartTrackingRefBased/>
  <w15:docId w15:val="{CCF2DAE2-CBE9-4935-8000-BE13935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 Katlav</dc:creator>
  <cp:keywords/>
  <dc:description/>
  <cp:lastModifiedBy>Alihan Katlav</cp:lastModifiedBy>
  <cp:revision>2</cp:revision>
  <dcterms:created xsi:type="dcterms:W3CDTF">2026-02-14T12:23:00Z</dcterms:created>
  <dcterms:modified xsi:type="dcterms:W3CDTF">2026-02-14T12:25:00Z</dcterms:modified>
</cp:coreProperties>
</file>