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34FD" w14:textId="4966338D" w:rsidR="002B6524" w:rsidRPr="002B6524" w:rsidRDefault="002B6524" w:rsidP="00270E17">
      <w:pPr>
        <w:pStyle w:val="BodyText"/>
        <w:spacing w:line="480" w:lineRule="auto"/>
        <w:jc w:val="center"/>
        <w:rPr>
          <w:b/>
          <w:bCs/>
        </w:rPr>
      </w:pPr>
      <w:bookmarkStart w:id="0" w:name="_Hlk138846716"/>
      <w:r>
        <w:rPr>
          <w:b/>
          <w:bCs/>
        </w:rPr>
        <w:t>SUPPLEMENTARY INFORMATION</w:t>
      </w:r>
    </w:p>
    <w:p w14:paraId="7B64FF00" w14:textId="77777777" w:rsidR="002B6524" w:rsidRDefault="002B6524" w:rsidP="00270E17">
      <w:pPr>
        <w:pStyle w:val="BodyText"/>
        <w:spacing w:line="480" w:lineRule="auto"/>
        <w:jc w:val="center"/>
      </w:pPr>
    </w:p>
    <w:p w14:paraId="060E5979" w14:textId="35336F95" w:rsidR="00270E17" w:rsidRDefault="00270E17" w:rsidP="00270E17">
      <w:pPr>
        <w:pStyle w:val="BodyText"/>
        <w:spacing w:line="480" w:lineRule="auto"/>
        <w:jc w:val="center"/>
      </w:pPr>
      <w:r w:rsidRPr="00D94C73">
        <w:t xml:space="preserve">Bone Marrow Mesenchymal Stem Cell Extracellular Vesicle Treatment of Respiratory Failure from COVID-19: </w:t>
      </w:r>
      <w:r w:rsidR="00C22A16">
        <w:t>En</w:t>
      </w:r>
      <w:r w:rsidRPr="00D94C73">
        <w:t xml:space="preserve">dpoint Analysis of Expanded Access </w:t>
      </w:r>
      <w:r w:rsidR="00A0636D">
        <w:t xml:space="preserve">Safety </w:t>
      </w:r>
      <w:r w:rsidRPr="00D94C73">
        <w:t>Trial</w:t>
      </w:r>
    </w:p>
    <w:p w14:paraId="6F8B3C6A" w14:textId="77777777" w:rsidR="00270E17" w:rsidRDefault="00270E17" w:rsidP="00270E17">
      <w:pPr>
        <w:pStyle w:val="BodyText"/>
        <w:spacing w:line="480" w:lineRule="auto"/>
        <w:jc w:val="center"/>
      </w:pPr>
    </w:p>
    <w:p w14:paraId="4B99ADF3" w14:textId="77777777" w:rsidR="00270E17" w:rsidRPr="00576638" w:rsidRDefault="00270E17" w:rsidP="00270E17"/>
    <w:p w14:paraId="61B33325" w14:textId="210158C7" w:rsidR="00270E17" w:rsidRPr="007F39F9" w:rsidRDefault="00270E17" w:rsidP="00270E17">
      <w:r>
        <w:t>Vikram Sengupta MD</w:t>
      </w:r>
      <w:r>
        <w:rPr>
          <w:vertAlign w:val="superscript"/>
        </w:rPr>
        <w:t>1</w:t>
      </w:r>
      <w:r>
        <w:t>,</w:t>
      </w:r>
      <w:r w:rsidRPr="000119C4">
        <w:t xml:space="preserve"> </w:t>
      </w:r>
      <w:r>
        <w:t>Sascha Qian MD</w:t>
      </w:r>
      <w:r>
        <w:rPr>
          <w:vertAlign w:val="superscript"/>
        </w:rPr>
        <w:t>1</w:t>
      </w:r>
      <w:r>
        <w:t>, John T. Ransom PhD</w:t>
      </w:r>
      <w:r>
        <w:rPr>
          <w:vertAlign w:val="superscript"/>
        </w:rPr>
        <w:t>1</w:t>
      </w:r>
      <w:r>
        <w:t>, Sam Suzuki MS MBA</w:t>
      </w:r>
      <w:r>
        <w:rPr>
          <w:vertAlign w:val="superscript"/>
        </w:rPr>
        <w:t>1</w:t>
      </w:r>
      <w:r>
        <w:t>, David J. Park MD</w:t>
      </w:r>
      <w:r>
        <w:rPr>
          <w:vertAlign w:val="superscript"/>
        </w:rPr>
        <w:t>2</w:t>
      </w:r>
      <w:r>
        <w:t>, Timothy I. Melson MD</w:t>
      </w:r>
      <w:r>
        <w:rPr>
          <w:vertAlign w:val="superscript"/>
        </w:rPr>
        <w:t>3</w:t>
      </w:r>
      <w:r>
        <w:t>, Brian P. Williams MD</w:t>
      </w:r>
      <w:r>
        <w:rPr>
          <w:vertAlign w:val="superscript"/>
        </w:rPr>
        <w:t>4</w:t>
      </w:r>
      <w:r>
        <w:t>, James J. Walsh MD</w:t>
      </w:r>
      <w:r>
        <w:rPr>
          <w:vertAlign w:val="superscript"/>
        </w:rPr>
        <w:t>5</w:t>
      </w:r>
      <w:r>
        <w:t>, Mustafa Awili MD</w:t>
      </w:r>
      <w:r>
        <w:rPr>
          <w:vertAlign w:val="superscript"/>
        </w:rPr>
        <w:t>6</w:t>
      </w:r>
      <w:r>
        <w:t>, Jack M. Mann MD</w:t>
      </w:r>
      <w:r w:rsidR="004A65D1">
        <w:rPr>
          <w:vertAlign w:val="superscript"/>
        </w:rPr>
        <w:t>7</w:t>
      </w:r>
      <w:r w:rsidR="004A65D1">
        <w:t>, Timothy A. Moseley PhD</w:t>
      </w:r>
      <w:r w:rsidR="004A65D1">
        <w:rPr>
          <w:vertAlign w:val="superscript"/>
        </w:rPr>
        <w:t>1</w:t>
      </w:r>
    </w:p>
    <w:p w14:paraId="32BDF38D" w14:textId="77777777" w:rsidR="00270E17" w:rsidRDefault="00270E17" w:rsidP="00270E17"/>
    <w:p w14:paraId="3C352B49" w14:textId="77777777" w:rsidR="00270E17" w:rsidRDefault="00270E17" w:rsidP="00270E17">
      <w:r>
        <w:rPr>
          <w:vertAlign w:val="superscript"/>
        </w:rPr>
        <w:t>1</w:t>
      </w:r>
      <w:r>
        <w:t>Direct Biologics, LLC, 5301 Southwest Pkwy, Austin TX 78745</w:t>
      </w:r>
    </w:p>
    <w:p w14:paraId="5ECA58CC" w14:textId="77777777" w:rsidR="00270E17" w:rsidRDefault="00270E17" w:rsidP="00270E17">
      <w:proofErr w:type="gramStart"/>
      <w:r>
        <w:rPr>
          <w:vertAlign w:val="superscript"/>
        </w:rPr>
        <w:t>2</w:t>
      </w:r>
      <w:r>
        <w:t>St</w:t>
      </w:r>
      <w:proofErr w:type="gramEnd"/>
      <w:r>
        <w:t>. Joseph Hospital Heritage, Fullerton, CA</w:t>
      </w:r>
    </w:p>
    <w:p w14:paraId="13BD7CAE" w14:textId="77777777" w:rsidR="00270E17" w:rsidRDefault="00270E17" w:rsidP="00270E17">
      <w:r>
        <w:rPr>
          <w:vertAlign w:val="superscript"/>
        </w:rPr>
        <w:t>3</w:t>
      </w:r>
      <w:r>
        <w:t>Helen Keller Hospital, Sheffield, AL</w:t>
      </w:r>
    </w:p>
    <w:p w14:paraId="6764C845" w14:textId="77777777" w:rsidR="00270E17" w:rsidRDefault="00270E17" w:rsidP="00270E17">
      <w:r>
        <w:rPr>
          <w:vertAlign w:val="superscript"/>
        </w:rPr>
        <w:t>4</w:t>
      </w:r>
      <w:r>
        <w:t>Covenant Health, Lubbock, TX</w:t>
      </w:r>
    </w:p>
    <w:p w14:paraId="2063ED96" w14:textId="77777777" w:rsidR="00270E17" w:rsidRDefault="00270E17" w:rsidP="00270E17">
      <w:r>
        <w:rPr>
          <w:vertAlign w:val="superscript"/>
        </w:rPr>
        <w:t>5</w:t>
      </w:r>
      <w:r>
        <w:t>Donald Guthrie Foundation, Sayre, PA</w:t>
      </w:r>
    </w:p>
    <w:p w14:paraId="349E6A43" w14:textId="77777777" w:rsidR="00270E17" w:rsidRDefault="00270E17" w:rsidP="00270E17">
      <w:r>
        <w:rPr>
          <w:vertAlign w:val="superscript"/>
        </w:rPr>
        <w:t>6</w:t>
      </w:r>
      <w:r>
        <w:t>PRX Research, Mesquite, TX</w:t>
      </w:r>
    </w:p>
    <w:p w14:paraId="3C5F4CDB" w14:textId="77777777" w:rsidR="00270E17" w:rsidRPr="007B6EE1" w:rsidRDefault="00270E17" w:rsidP="00270E17">
      <w:r>
        <w:rPr>
          <w:vertAlign w:val="superscript"/>
        </w:rPr>
        <w:t>7</w:t>
      </w:r>
      <w:r>
        <w:t>New York-Presbyterian Queens, NY</w:t>
      </w:r>
    </w:p>
    <w:p w14:paraId="2F143019" w14:textId="77777777" w:rsidR="00270E17" w:rsidRDefault="00270E17" w:rsidP="00270E17"/>
    <w:p w14:paraId="110645F7" w14:textId="77777777" w:rsidR="00270E17" w:rsidRDefault="00270E17" w:rsidP="00270E17"/>
    <w:p w14:paraId="38B6E188" w14:textId="77777777" w:rsidR="00270E17" w:rsidRDefault="00270E17" w:rsidP="00270E17">
      <w:r>
        <w:t>Corresponding author:</w:t>
      </w:r>
    </w:p>
    <w:p w14:paraId="5AF6FF36" w14:textId="6C16AAEB" w:rsidR="00270E17" w:rsidRDefault="008F34CD" w:rsidP="00155633">
      <w:pPr>
        <w:spacing w:after="0" w:line="240" w:lineRule="auto"/>
      </w:pPr>
      <w:r>
        <w:rPr>
          <w:b/>
          <w:bCs/>
        </w:rPr>
        <w:t>Timothy A. Moseley, PhD</w:t>
      </w:r>
      <w:r w:rsidR="00270E17">
        <w:br/>
        <w:t xml:space="preserve">Chief </w:t>
      </w:r>
      <w:r>
        <w:t xml:space="preserve">Scientific </w:t>
      </w:r>
      <w:r w:rsidR="00270E17">
        <w:t>Officer</w:t>
      </w:r>
    </w:p>
    <w:p w14:paraId="50A9AE88" w14:textId="77777777" w:rsidR="00270E17" w:rsidRDefault="00270E17" w:rsidP="00155633">
      <w:pPr>
        <w:spacing w:after="0" w:line="240" w:lineRule="auto"/>
      </w:pPr>
      <w:r>
        <w:t>Direct Biologics, LLC</w:t>
      </w:r>
    </w:p>
    <w:p w14:paraId="1899712C" w14:textId="77777777" w:rsidR="00270E17" w:rsidRDefault="00270E17" w:rsidP="00155633">
      <w:pPr>
        <w:spacing w:after="0" w:line="240" w:lineRule="auto"/>
      </w:pPr>
      <w:r>
        <w:t>5301 Southwest Pkwy</w:t>
      </w:r>
    </w:p>
    <w:p w14:paraId="51976FB0" w14:textId="77777777" w:rsidR="00270E17" w:rsidRDefault="00270E17" w:rsidP="00155633">
      <w:pPr>
        <w:spacing w:after="0" w:line="240" w:lineRule="auto"/>
      </w:pPr>
      <w:r>
        <w:t>Austin TX 78745</w:t>
      </w:r>
    </w:p>
    <w:p w14:paraId="39A49073" w14:textId="77777777" w:rsidR="00270E17" w:rsidRDefault="00270E17" w:rsidP="00155633">
      <w:pPr>
        <w:spacing w:after="0" w:line="240" w:lineRule="auto"/>
      </w:pPr>
      <w:r>
        <w:t>Phone: 617-901-9915</w:t>
      </w:r>
    </w:p>
    <w:p w14:paraId="794659A0" w14:textId="43E08FEA" w:rsidR="00270E17" w:rsidRDefault="00270E17" w:rsidP="00155633">
      <w:pPr>
        <w:spacing w:after="0" w:line="240" w:lineRule="auto"/>
      </w:pPr>
      <w:r>
        <w:t xml:space="preserve">E-mail: </w:t>
      </w:r>
      <w:hyperlink r:id="rId5" w:history="1">
        <w:r w:rsidR="009248AE" w:rsidRPr="00E856F3">
          <w:rPr>
            <w:rStyle w:val="Hyperlink"/>
          </w:rPr>
          <w:t>tmoseley@directbiologics.com</w:t>
        </w:r>
      </w:hyperlink>
    </w:p>
    <w:p w14:paraId="1AE944C4" w14:textId="5741D178" w:rsidR="00270E17" w:rsidRDefault="00270E17" w:rsidP="00155633">
      <w:pPr>
        <w:spacing w:after="0" w:line="240" w:lineRule="auto"/>
      </w:pPr>
      <w:r>
        <w:t xml:space="preserve">ORCID: </w:t>
      </w:r>
      <w:r w:rsidRPr="00EA0A79">
        <w:t>0000-000</w:t>
      </w:r>
      <w:r w:rsidR="009248AE">
        <w:t>3-1352-6610</w:t>
      </w:r>
    </w:p>
    <w:p w14:paraId="034B97E2" w14:textId="77777777" w:rsidR="00270E17" w:rsidRDefault="00270E17">
      <w:r>
        <w:br w:type="page"/>
      </w:r>
    </w:p>
    <w:p w14:paraId="1A0A86EA" w14:textId="13906FF7" w:rsidR="00C55633" w:rsidRDefault="00270E17" w:rsidP="00B44B89">
      <w:r w:rsidRPr="00270E17">
        <w:lastRenderedPageBreak/>
        <w:t>Online Resource</w:t>
      </w:r>
      <w:r>
        <w:t xml:space="preserve"> </w:t>
      </w:r>
      <w:r w:rsidR="00B44B89">
        <w:t xml:space="preserve">Table </w:t>
      </w:r>
      <w:bookmarkEnd w:id="0"/>
      <w:r>
        <w:t>6</w:t>
      </w:r>
      <w:r w:rsidR="00B44B89">
        <w:t xml:space="preserve">. </w:t>
      </w:r>
      <w:r w:rsidR="0053506C">
        <w:t>IP</w:t>
      </w:r>
      <w:r w:rsidR="00B44B89">
        <w:t xml:space="preserve"> Administration and Disposition (Safety Analysis Set).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1913"/>
        <w:gridCol w:w="3190"/>
      </w:tblGrid>
      <w:tr w:rsidR="00B44B89" w:rsidRPr="00B44B89" w14:paraId="5ED5BE09" w14:textId="77777777" w:rsidTr="00754E4D">
        <w:trPr>
          <w:cantSplit/>
          <w:tblHeader/>
          <w:jc w:val="center"/>
        </w:trPr>
        <w:tc>
          <w:tcPr>
            <w:tcW w:w="4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6A19DFBA" w14:textId="77777777" w:rsidR="00B44B89" w:rsidRPr="00B44B89" w:rsidRDefault="00B44B89" w:rsidP="00B44B8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bookmarkStart w:id="1" w:name="IDX"/>
            <w:bookmarkEnd w:id="1"/>
          </w:p>
        </w:tc>
        <w:tc>
          <w:tcPr>
            <w:tcW w:w="1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7DA8C4DF" w14:textId="77777777" w:rsidR="00B44B89" w:rsidRPr="00B44B89" w:rsidRDefault="00B44B89" w:rsidP="00B44B8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Statistics</w:t>
            </w:r>
          </w:p>
        </w:tc>
        <w:tc>
          <w:tcPr>
            <w:tcW w:w="3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4E95AB34" w14:textId="123FB57A" w:rsidR="00B44B89" w:rsidRPr="00B44B89" w:rsidRDefault="00B44B89" w:rsidP="00B44B8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(</w:t>
            </w:r>
            <w:r w:rsidR="0053506C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IP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 15 mL up to 3 Doses)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br/>
              <w:t>(N=103)</w:t>
            </w:r>
          </w:p>
        </w:tc>
      </w:tr>
      <w:tr w:rsidR="00B44B89" w:rsidRPr="00B44B89" w14:paraId="47B909EB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DBD56D7" w14:textId="350FA6F8" w:rsidR="00B44B89" w:rsidRPr="00B44B89" w:rsidRDefault="0053506C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IP</w:t>
            </w:r>
            <w:r w:rsidR="00B44B89"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 </w:t>
            </w:r>
            <w:proofErr w:type="spellStart"/>
            <w:r w:rsidR="00B44B89"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IP</w:t>
            </w:r>
            <w:proofErr w:type="spellEnd"/>
            <w:r w:rsidR="00B44B89"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 15 mL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3B96752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BDA03D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792655CE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0BE5A55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Received 1 Dose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19C402D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256DB43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103 (100)</w:t>
            </w:r>
          </w:p>
        </w:tc>
      </w:tr>
      <w:tr w:rsidR="00B44B89" w:rsidRPr="00B44B89" w14:paraId="0412E464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EB6B01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Received 2 Doses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18DCD0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7FE5BC1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75 (72.8)</w:t>
            </w:r>
          </w:p>
        </w:tc>
      </w:tr>
      <w:tr w:rsidR="00B44B89" w:rsidRPr="00B44B89" w14:paraId="554FA3EA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3D08BAB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Received 3 Doses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28B19E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D6E8E23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52 (50.5)</w:t>
            </w:r>
          </w:p>
        </w:tc>
      </w:tr>
      <w:tr w:rsidR="00B44B89" w:rsidRPr="00B44B89" w14:paraId="7C26B3E3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B50219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42477825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3D017A7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Days from Date of Hospitalization to Dose 1 (n=103)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1285C2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Median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4650396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2.13</w:t>
            </w:r>
          </w:p>
        </w:tc>
      </w:tr>
      <w:tr w:rsidR="00B44B89" w:rsidRPr="00B44B89" w14:paraId="7361FE30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AD8F77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0994EEB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(1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st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, 3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rd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 Quartiles)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4754EF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(1.31, 5.19)</w:t>
            </w:r>
          </w:p>
        </w:tc>
      </w:tr>
      <w:tr w:rsidR="00B44B89" w:rsidRPr="00B44B89" w14:paraId="20CB3246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1617B3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3C02A38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Min, Max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E20864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0.4, 42.5</w:t>
            </w:r>
          </w:p>
        </w:tc>
      </w:tr>
      <w:tr w:rsidR="00B44B89" w:rsidRPr="00B44B89" w14:paraId="76D6D4F0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E5465EC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789EE908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B402F6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Days from Dose 1 to Dose 2 (n=75)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6E24FF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Median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3218959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2.94</w:t>
            </w:r>
          </w:p>
        </w:tc>
      </w:tr>
      <w:tr w:rsidR="00B44B89" w:rsidRPr="00B44B89" w14:paraId="3876E1D8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35EBF9C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4E98622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(1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st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, 3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rd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 Quartiles)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DCBA49C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(2.80, 3.04)</w:t>
            </w:r>
          </w:p>
        </w:tc>
      </w:tr>
      <w:tr w:rsidR="00B44B89" w:rsidRPr="00B44B89" w14:paraId="11AEFA0E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3C2E7F8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74A0065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Min, Max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CFDDA5D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2.6, 3.7</w:t>
            </w:r>
          </w:p>
        </w:tc>
      </w:tr>
      <w:tr w:rsidR="00B44B89" w:rsidRPr="00B44B89" w14:paraId="38968DCC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0BB9D8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1BDD37E7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A9179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Days from Dose 1 to Dose 3 (n=52)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03B7D0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Median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538B74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5.95</w:t>
            </w:r>
          </w:p>
        </w:tc>
      </w:tr>
      <w:tr w:rsidR="00B44B89" w:rsidRPr="00B44B89" w14:paraId="4854303F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0B66978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0F8DE2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(1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st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, 3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rd</w:t>
            </w: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 Quartiles)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67096C1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(5.84, 6.03)</w:t>
            </w:r>
          </w:p>
        </w:tc>
      </w:tr>
      <w:tr w:rsidR="00B44B89" w:rsidRPr="00B44B89" w14:paraId="1DB9B2DC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0CBBB53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DE4236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Min, Max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39ECA0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5.7, 7.0</w:t>
            </w:r>
          </w:p>
        </w:tc>
      </w:tr>
      <w:tr w:rsidR="00B44B89" w:rsidRPr="00B44B89" w14:paraId="0228FAC1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80F688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5C3739F2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9286227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#Subjects Who Did Not Receive </w:t>
            </w:r>
            <w:proofErr w:type="gramStart"/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A</w:t>
            </w:r>
            <w:proofErr w:type="gramEnd"/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 xml:space="preserve"> Full Dose at Any Dose (Dose 1, 2, or 3)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D4A5A2C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8721909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1 (1.0)</w:t>
            </w:r>
          </w:p>
        </w:tc>
      </w:tr>
      <w:tr w:rsidR="00B44B89" w:rsidRPr="00B44B89" w14:paraId="7C60A985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DB6E449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6E505FD3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3544DD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Reason for Not Receiving All 3 Doses [1]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43A70E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109C17C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51 (49.5)</w:t>
            </w:r>
          </w:p>
        </w:tc>
      </w:tr>
      <w:tr w:rsidR="00B44B89" w:rsidRPr="00B44B89" w14:paraId="6B2BDE5D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C79212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Discharge from the Hospital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DFACCE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994C3E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38 (36.9)</w:t>
            </w:r>
          </w:p>
        </w:tc>
      </w:tr>
      <w:tr w:rsidR="00B44B89" w:rsidRPr="00B44B89" w14:paraId="628F8F5E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CFE7C2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Adverse Event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9ED295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A5824FB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1 (1.0)</w:t>
            </w:r>
          </w:p>
        </w:tc>
      </w:tr>
      <w:tr w:rsidR="00B44B89" w:rsidRPr="00B44B89" w14:paraId="4CA503FF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87BEF5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Death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59A203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4D3CE7B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8 (7.8)</w:t>
            </w:r>
          </w:p>
        </w:tc>
      </w:tr>
      <w:tr w:rsidR="00B44B89" w:rsidRPr="00B44B89" w14:paraId="1BC33358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1973A21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Unknown or Not Reaching Day 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19E04C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62A9C8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4 (3.9)</w:t>
            </w:r>
          </w:p>
        </w:tc>
      </w:tr>
      <w:tr w:rsidR="00B44B89" w:rsidRPr="00B44B89" w14:paraId="44F87CDB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958412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07F49A8D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BDAC0F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Subjects Who Completed Study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22A852C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443CBF8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63 (61.2)</w:t>
            </w:r>
          </w:p>
        </w:tc>
      </w:tr>
      <w:tr w:rsidR="00B44B89" w:rsidRPr="00B44B89" w14:paraId="35FC1A76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DD9C23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6696AE55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38FE4FB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Subjects Who Are Being Followed on Study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25028E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83F11B2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5 (4.9)</w:t>
            </w:r>
          </w:p>
        </w:tc>
      </w:tr>
      <w:tr w:rsidR="00B44B89" w:rsidRPr="00B44B89" w14:paraId="5DF22FB4" w14:textId="77777777" w:rsidTr="00754E4D">
        <w:trPr>
          <w:cantSplit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DAAD676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B44B89" w:rsidRPr="00B44B89" w14:paraId="03D09531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F1CE721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Reason for Discontinuation from Study Early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DBB58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1D0D6E3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35 (34.0)</w:t>
            </w:r>
          </w:p>
        </w:tc>
      </w:tr>
      <w:tr w:rsidR="00B44B89" w:rsidRPr="00B44B89" w14:paraId="2C1E6E72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3F8314B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AE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38808C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4C6725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</w:t>
            </w:r>
          </w:p>
        </w:tc>
      </w:tr>
      <w:tr w:rsidR="00B44B89" w:rsidRPr="00B44B89" w14:paraId="62F63CFC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67FCD47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SAE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F2E9AC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4FB2CE5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</w:t>
            </w:r>
          </w:p>
        </w:tc>
      </w:tr>
      <w:tr w:rsidR="00B44B89" w:rsidRPr="00B44B89" w14:paraId="3014E359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B8E69B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Death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1794C1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56A0A2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28 (27.2)</w:t>
            </w:r>
          </w:p>
        </w:tc>
      </w:tr>
      <w:tr w:rsidR="00B44B89" w:rsidRPr="00B44B89" w14:paraId="47E31338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C628B0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Lost to Follow-up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B7B4548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31DC389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1 (1.0)</w:t>
            </w:r>
          </w:p>
        </w:tc>
      </w:tr>
      <w:tr w:rsidR="00B44B89" w:rsidRPr="00B44B89" w14:paraId="529E3CAB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D652AE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Physician Decision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D2AC3E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CAAE19E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</w:t>
            </w:r>
          </w:p>
        </w:tc>
      </w:tr>
      <w:tr w:rsidR="00B44B89" w:rsidRPr="00B44B89" w14:paraId="01A9973C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B8A56E5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Protocol Deviation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53462D0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5BF944F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</w:t>
            </w:r>
          </w:p>
        </w:tc>
      </w:tr>
      <w:tr w:rsidR="00B44B89" w:rsidRPr="00B44B89" w14:paraId="6E6D496B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21B87ED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Withdrawal by Subject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53A729A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E4B6BA4" w14:textId="77777777" w:rsidR="00B44B89" w:rsidRPr="00B44B89" w:rsidRDefault="00B44B89" w:rsidP="00B44B8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6 (5.8)</w:t>
            </w:r>
          </w:p>
        </w:tc>
      </w:tr>
      <w:tr w:rsidR="00B44B89" w:rsidRPr="00B44B89" w14:paraId="5F9CCBF2" w14:textId="77777777" w:rsidTr="00754E4D">
        <w:trPr>
          <w:cantSplit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1A67BB7" w14:textId="77777777" w:rsidR="00B44B89" w:rsidRPr="00B44B89" w:rsidRDefault="00B44B89" w:rsidP="00B44B8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Other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AE50069" w14:textId="77777777" w:rsidR="00B44B89" w:rsidRPr="00B44B89" w:rsidRDefault="00B44B89" w:rsidP="00B44B8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n (%)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E4D8965" w14:textId="77777777" w:rsidR="00B44B89" w:rsidRPr="00B44B89" w:rsidRDefault="00B44B89" w:rsidP="00B44B8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4B89">
              <w:rPr>
                <w:rFonts w:eastAsiaTheme="minorEastAsia" w:cstheme="minorHAnsi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</w:t>
            </w:r>
          </w:p>
        </w:tc>
      </w:tr>
    </w:tbl>
    <w:p w14:paraId="214CE677" w14:textId="1BB113F1" w:rsidR="00B44B89" w:rsidRDefault="00B44B89" w:rsidP="00B44B8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[1]</w:t>
      </w:r>
      <w:r w:rsidR="00D6527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Categorize the reason by the order: 1. Discharge occurred prior to the third dose, 2. AE.AEACN = 'Study Drug Withdrawn' occurring prior to the third dose, 3. Death prior to the third dose, 4. None of the above, but did not receive 3 doses.</w:t>
      </w:r>
    </w:p>
    <w:p w14:paraId="2F11C0CE" w14:textId="77777777" w:rsidR="00B44B89" w:rsidRDefault="00B44B89" w:rsidP="00B44B89">
      <w:pPr>
        <w:sectPr w:rsidR="00B44B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1CB94E" w14:textId="46FAAFD3" w:rsidR="00B424F5" w:rsidRDefault="00270E17" w:rsidP="00B424F5">
      <w:r w:rsidRPr="00270E17">
        <w:lastRenderedPageBreak/>
        <w:t>Online Resource</w:t>
      </w:r>
      <w:r>
        <w:t xml:space="preserve"> </w:t>
      </w:r>
      <w:r w:rsidR="00B424F5" w:rsidRPr="00B424F5">
        <w:t>Table</w:t>
      </w:r>
      <w:r w:rsidR="00B424F5">
        <w:t xml:space="preserve"> </w:t>
      </w:r>
      <w:r>
        <w:t>7</w:t>
      </w:r>
      <w:r w:rsidR="00B424F5">
        <w:t>. Overall Summary of Safety by Number of Doses Received (Safety Analysis Set).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1525"/>
        <w:gridCol w:w="1525"/>
        <w:gridCol w:w="1525"/>
      </w:tblGrid>
      <w:tr w:rsidR="00A650F9" w:rsidRPr="00A650F9" w14:paraId="0C2272EB" w14:textId="77777777" w:rsidTr="00142E21">
        <w:trPr>
          <w:cantSplit/>
          <w:tblHeader/>
          <w:jc w:val="center"/>
        </w:trPr>
        <w:tc>
          <w:tcPr>
            <w:tcW w:w="47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75D8FFFE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20E1A923" w14:textId="3B20782F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(</w:t>
            </w:r>
            <w:r w:rsidR="0053506C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 xml:space="preserve"> 15 mL up to 3 Doses)</w:t>
            </w:r>
          </w:p>
        </w:tc>
      </w:tr>
      <w:tr w:rsidR="00A650F9" w:rsidRPr="00A650F9" w14:paraId="29495CC1" w14:textId="77777777" w:rsidTr="00142E21">
        <w:trPr>
          <w:cantSplit/>
          <w:tblHeader/>
          <w:jc w:val="center"/>
        </w:trPr>
        <w:tc>
          <w:tcPr>
            <w:tcW w:w="474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209F54A0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Safety Parameter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1B7E3AE5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Received 1 Dose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(N=28)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n (%)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54A62294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Received 2 Doses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(N=23)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n (%)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04897B3C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Received 3 Doses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(N=52)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n (%)</w:t>
            </w:r>
          </w:p>
        </w:tc>
      </w:tr>
      <w:tr w:rsidR="00A650F9" w:rsidRPr="00A650F9" w14:paraId="5FD160F9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E78152D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5C987048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E821395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Any TEAEs [1]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F36473E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0580923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C6367F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3494E095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F18562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Any Grade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3AE8B8F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18 (64.3)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A2CC1E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15 (65.2)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2182D76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43 (82.7)</w:t>
            </w:r>
          </w:p>
        </w:tc>
      </w:tr>
      <w:tr w:rsidR="00A650F9" w:rsidRPr="00A650F9" w14:paraId="00FA00FA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E78905D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Grade 3 or 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4730A2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5 (17.9)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021591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 (8.7)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A63C7F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7 (13.5)</w:t>
            </w:r>
          </w:p>
        </w:tc>
      </w:tr>
      <w:tr w:rsidR="00A650F9" w:rsidRPr="00A650F9" w14:paraId="43A3E51F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2042248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21F12036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199A7C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Serious TEAEs [1]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EC5257F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C3C748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64FE42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08E35A64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A6D823F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Any Grade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62A816F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7 (25.0)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7B42AEE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9 (39.1)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5DFE1B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25 (48.1)</w:t>
            </w:r>
          </w:p>
        </w:tc>
      </w:tr>
      <w:tr w:rsidR="00A650F9" w:rsidRPr="00A650F9" w14:paraId="01DDF135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50F5C3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Grade 3 or 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9505736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5 (17.9)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A2E67D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 (8.7)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151956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6 (11.5)</w:t>
            </w:r>
          </w:p>
        </w:tc>
      </w:tr>
      <w:tr w:rsidR="00A650F9" w:rsidRPr="00A650F9" w14:paraId="22BCA9C8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A7B2EB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0C13D35B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ACA3313" w14:textId="742A7541" w:rsidR="00A650F9" w:rsidRPr="00A650F9" w:rsidRDefault="0053506C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="00A650F9"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-Related TEAEs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A163C7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2197B0A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 (4.3)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6920D44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6874FAF0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A001E1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33DF7784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ACBC019" w14:textId="224F0732" w:rsidR="00A650F9" w:rsidRPr="00A650F9" w:rsidRDefault="0053506C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="00A650F9"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-Related Serious TEAEs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595630A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53618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5F93127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4A106261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EF8CE55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029E1428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19AF25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TEAEs That Led to Dose Interruption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050AC6E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1F3DF4A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 (4.3)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3C9DFDD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 (1.9)</w:t>
            </w:r>
          </w:p>
        </w:tc>
      </w:tr>
      <w:tr w:rsidR="00A650F9" w:rsidRPr="00A650F9" w14:paraId="6303807B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577E11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10ACB081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864DDF2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TEAEs That Led to Missing Dose or Discontinued the Treatment Early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0A34D5A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3DB57A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 (4.3)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0BD7E8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2027889A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BFC1111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5327ABB6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7B0441A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TEAEs That Led to Death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0317037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 (7.1)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3AAAE7E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7 (30.4)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5F500A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19 (36.5)</w:t>
            </w:r>
          </w:p>
        </w:tc>
      </w:tr>
      <w:tr w:rsidR="00A650F9" w:rsidRPr="00A650F9" w14:paraId="180D744C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3F34E3E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678D5DAE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7333DEE" w14:textId="43E3A9D8" w:rsidR="00A650F9" w:rsidRPr="00A650F9" w:rsidRDefault="0053506C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="00A650F9"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 xml:space="preserve"> Infusion Reaction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3DBC7BF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18AE6FF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8CC7ABC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510FFF7A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54FCA48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24CFE0" w14:textId="77777777" w:rsidR="00A650F9" w:rsidRPr="00A650F9" w:rsidRDefault="00A650F9" w:rsidP="00A650F9">
      <w:pPr>
        <w:spacing w:after="0"/>
        <w:rPr>
          <w:sz w:val="18"/>
          <w:szCs w:val="18"/>
        </w:rPr>
      </w:pPr>
      <w:r w:rsidRPr="00A650F9">
        <w:rPr>
          <w:sz w:val="18"/>
          <w:szCs w:val="18"/>
        </w:rPr>
        <w:t>TEAE = Treatment-Emergent Adverse Events, are defined as any adverse event that started between the first dose date and 30 days post the last dose date, inclusively.</w:t>
      </w:r>
    </w:p>
    <w:p w14:paraId="62477E4B" w14:textId="75C49689" w:rsidR="00A650F9" w:rsidRPr="00A650F9" w:rsidRDefault="00A650F9" w:rsidP="00A650F9">
      <w:pPr>
        <w:spacing w:after="0"/>
        <w:rPr>
          <w:sz w:val="18"/>
          <w:szCs w:val="18"/>
        </w:rPr>
      </w:pPr>
      <w:r w:rsidRPr="00A650F9">
        <w:rPr>
          <w:sz w:val="18"/>
          <w:szCs w:val="18"/>
        </w:rPr>
        <w:t>[1]</w:t>
      </w:r>
      <w:r>
        <w:rPr>
          <w:sz w:val="18"/>
          <w:szCs w:val="18"/>
        </w:rPr>
        <w:t xml:space="preserve"> </w:t>
      </w:r>
      <w:r w:rsidRPr="00A650F9">
        <w:rPr>
          <w:sz w:val="18"/>
          <w:szCs w:val="18"/>
        </w:rPr>
        <w:t>Toxicity grades of adverse events are evaluated based on criteria of NCI-CTCAE v5.0. Each subject is counted once to the worst grade at subject-level.</w:t>
      </w:r>
    </w:p>
    <w:p w14:paraId="044C743A" w14:textId="6BC4ECBE" w:rsidR="00B424F5" w:rsidRPr="00A650F9" w:rsidRDefault="00A650F9" w:rsidP="00A650F9">
      <w:pPr>
        <w:spacing w:after="0"/>
        <w:rPr>
          <w:sz w:val="18"/>
          <w:szCs w:val="18"/>
        </w:rPr>
      </w:pPr>
      <w:r w:rsidRPr="00A650F9">
        <w:rPr>
          <w:sz w:val="18"/>
          <w:szCs w:val="18"/>
        </w:rPr>
        <w:t>Note: Related = Definitely, Probably, or Potentially Related.</w:t>
      </w:r>
    </w:p>
    <w:p w14:paraId="471027F1" w14:textId="77777777" w:rsidR="00B424F5" w:rsidRDefault="00B424F5" w:rsidP="00B44B89"/>
    <w:p w14:paraId="65E2EDE4" w14:textId="77777777" w:rsidR="00B424F5" w:rsidRDefault="00B424F5" w:rsidP="00B44B89">
      <w:pPr>
        <w:sectPr w:rsidR="00B424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BD6544" w14:textId="4847E294" w:rsidR="00B424F5" w:rsidRDefault="00270E17" w:rsidP="00A650F9">
      <w:r w:rsidRPr="00270E17">
        <w:lastRenderedPageBreak/>
        <w:t>Online Resource</w:t>
      </w:r>
      <w:r>
        <w:t xml:space="preserve"> </w:t>
      </w:r>
      <w:r w:rsidR="00B424F5">
        <w:t xml:space="preserve">Table </w:t>
      </w:r>
      <w:r>
        <w:t>8</w:t>
      </w:r>
      <w:r w:rsidR="00B424F5">
        <w:t xml:space="preserve">. </w:t>
      </w:r>
      <w:r w:rsidR="00A650F9">
        <w:t>Overall Summary of Safety by Number of Doses Received (Safety Analysis Set - Subjects Who Died or Were Hospitalized up to Day 10).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1525"/>
        <w:gridCol w:w="1525"/>
        <w:gridCol w:w="1525"/>
      </w:tblGrid>
      <w:tr w:rsidR="00A650F9" w:rsidRPr="00A650F9" w14:paraId="5BC0D95C" w14:textId="77777777" w:rsidTr="00142E21">
        <w:trPr>
          <w:cantSplit/>
          <w:tblHeader/>
          <w:jc w:val="center"/>
        </w:trPr>
        <w:tc>
          <w:tcPr>
            <w:tcW w:w="47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03CA091F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78CC96C4" w14:textId="183A5CD0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(</w:t>
            </w:r>
            <w:r w:rsidR="0053506C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 xml:space="preserve"> 15 mL up to 3 Doses)</w:t>
            </w:r>
          </w:p>
        </w:tc>
      </w:tr>
      <w:tr w:rsidR="00A650F9" w:rsidRPr="00A650F9" w14:paraId="174008B6" w14:textId="77777777" w:rsidTr="00142E21">
        <w:trPr>
          <w:cantSplit/>
          <w:tblHeader/>
          <w:jc w:val="center"/>
        </w:trPr>
        <w:tc>
          <w:tcPr>
            <w:tcW w:w="474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105F7784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Safety Parameter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3978B54E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Received 1 Dose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(N=5)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n (%)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66D04D92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Received 2 Doses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(N=7)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n (%)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  <w:vAlign w:val="bottom"/>
          </w:tcPr>
          <w:p w14:paraId="603CCAE1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Received 3 Doses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(N=40)</w:t>
            </w: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br/>
              <w:t>n (%)</w:t>
            </w:r>
          </w:p>
        </w:tc>
      </w:tr>
      <w:tr w:rsidR="00A650F9" w:rsidRPr="00A650F9" w14:paraId="66DBB53E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E9AE1F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2B9E50DD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5C4F6A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Any TEAEs [1]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037F495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DAED8A3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7B9BD41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12548F6E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390F7A3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Any Grade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B7921C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5 (100)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1108E35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7 (100)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32C375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35 (87.5)</w:t>
            </w:r>
          </w:p>
        </w:tc>
      </w:tr>
      <w:tr w:rsidR="00A650F9" w:rsidRPr="00A650F9" w14:paraId="0F5DED8F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10F1B9E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Grade 3 or 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BA36021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 (40.0)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5ABA2C3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48FE556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6 (15.0)</w:t>
            </w:r>
          </w:p>
        </w:tc>
      </w:tr>
      <w:tr w:rsidR="00A650F9" w:rsidRPr="00A650F9" w14:paraId="46181721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16F4E35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732F75AA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53C1898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Serious TEAEs [1]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D883D43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EA2F61A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CC81738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62CEB19F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EC1EF0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Any Grade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0FC759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4 (80.0)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038717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7 (100)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066621D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24 (60.0)</w:t>
            </w:r>
          </w:p>
        </w:tc>
      </w:tr>
      <w:tr w:rsidR="00A650F9" w:rsidRPr="00A650F9" w14:paraId="078A5C49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E811EB8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ind w:left="200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Grade 3 or 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84394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 (40.0)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D966117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D177257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5 (12.5)</w:t>
            </w:r>
          </w:p>
        </w:tc>
      </w:tr>
      <w:tr w:rsidR="00A650F9" w:rsidRPr="00A650F9" w14:paraId="291F4B9B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203068D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2A6334B0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0A440DE" w14:textId="06FDE6B4" w:rsidR="00A650F9" w:rsidRPr="00A650F9" w:rsidRDefault="0053506C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="00A650F9"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-Related TEAEs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8594A0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479F664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5EE19DE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1A64E146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AE91203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6577882B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B22E84A" w14:textId="3C63EB60" w:rsidR="00A650F9" w:rsidRPr="00A650F9" w:rsidRDefault="0053506C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="00A650F9"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-Related Serious TEAEs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53618A6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75C9A3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695A212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349AD877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5AFCEB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719AA6FD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36F22BA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TEAEs That Led to Dose Interruption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993F6B6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C6C8659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 (14.3)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A6AE33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 (2.5)</w:t>
            </w:r>
          </w:p>
        </w:tc>
      </w:tr>
      <w:tr w:rsidR="00A650F9" w:rsidRPr="00A650F9" w14:paraId="4315CFFE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505302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4BCCC59C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6D90C1B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TEAEs That Led to Missing Dose or Discontinued the Treatment Early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FB23090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1FDEC77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 (14.3)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5655723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07590D05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9C5E118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6BE58485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E552E3D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TEAEs That Led to Death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4DBC78F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2 (40.0)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E8373EC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7 (100)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402D657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19 (47.5)</w:t>
            </w:r>
          </w:p>
        </w:tc>
      </w:tr>
      <w:tr w:rsidR="00A650F9" w:rsidRPr="00A650F9" w14:paraId="7D33CF95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F19D601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650F9" w:rsidRPr="00A650F9" w14:paraId="648E7DD8" w14:textId="77777777" w:rsidTr="00142E21">
        <w:trPr>
          <w:cantSplit/>
          <w:jc w:val="center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7AF848F" w14:textId="085BFDCD" w:rsidR="00A650F9" w:rsidRPr="00A650F9" w:rsidRDefault="0053506C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IP</w:t>
            </w:r>
            <w:r w:rsidR="00A650F9"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 xml:space="preserve"> Infusion Reaction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37D3E7D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6D30166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7E9848A" w14:textId="77777777" w:rsidR="00A650F9" w:rsidRPr="00A650F9" w:rsidRDefault="00A650F9" w:rsidP="00A650F9">
            <w:pPr>
              <w:keepNext/>
              <w:autoSpaceDE w:val="0"/>
              <w:autoSpaceDN w:val="0"/>
              <w:adjustRightInd w:val="0"/>
              <w:spacing w:before="14" w:after="29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  <w:r w:rsidRPr="00A650F9"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650F9" w:rsidRPr="00A650F9" w14:paraId="1BE20FA6" w14:textId="77777777" w:rsidTr="00142E21">
        <w:trPr>
          <w:cantSplit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97EADE5" w14:textId="77777777" w:rsidR="00A650F9" w:rsidRPr="00A650F9" w:rsidRDefault="00A650F9" w:rsidP="00A6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047F646" w14:textId="77777777" w:rsidR="00A650F9" w:rsidRPr="00A650F9" w:rsidRDefault="00A650F9" w:rsidP="00A650F9">
      <w:pPr>
        <w:spacing w:after="0"/>
        <w:rPr>
          <w:sz w:val="18"/>
          <w:szCs w:val="18"/>
        </w:rPr>
      </w:pPr>
      <w:r w:rsidRPr="00A650F9">
        <w:rPr>
          <w:sz w:val="18"/>
          <w:szCs w:val="18"/>
        </w:rPr>
        <w:t>TEAE = Treatment-Emergent Adverse Events, are defined as any adverse event that started between the first dose date and 30 days post the last dose date, inclusively.</w:t>
      </w:r>
    </w:p>
    <w:p w14:paraId="43BFC4DB" w14:textId="5E7011EE" w:rsidR="00A650F9" w:rsidRPr="00A650F9" w:rsidRDefault="00A650F9" w:rsidP="00A650F9">
      <w:pPr>
        <w:spacing w:after="0"/>
        <w:rPr>
          <w:sz w:val="18"/>
          <w:szCs w:val="18"/>
        </w:rPr>
      </w:pPr>
      <w:r w:rsidRPr="00A650F9">
        <w:rPr>
          <w:sz w:val="18"/>
          <w:szCs w:val="18"/>
        </w:rPr>
        <w:t>[1]</w:t>
      </w:r>
      <w:r>
        <w:rPr>
          <w:sz w:val="18"/>
          <w:szCs w:val="18"/>
        </w:rPr>
        <w:t xml:space="preserve"> </w:t>
      </w:r>
      <w:r w:rsidRPr="00A650F9">
        <w:rPr>
          <w:sz w:val="18"/>
          <w:szCs w:val="18"/>
        </w:rPr>
        <w:t>Toxicity grades of adverse events are evaluated based on criteria of NCI-CTCAE v5.0. Each subject is counted once to the worst grade at subject-level.</w:t>
      </w:r>
    </w:p>
    <w:p w14:paraId="7D46C6EC" w14:textId="2EEFCED7" w:rsidR="00A650F9" w:rsidRPr="00A650F9" w:rsidRDefault="00A650F9" w:rsidP="00A650F9">
      <w:pPr>
        <w:spacing w:after="0"/>
        <w:rPr>
          <w:sz w:val="18"/>
          <w:szCs w:val="18"/>
        </w:rPr>
      </w:pPr>
      <w:r w:rsidRPr="00A650F9">
        <w:rPr>
          <w:sz w:val="18"/>
          <w:szCs w:val="18"/>
        </w:rPr>
        <w:t>Note: Related = Definitely, Probably, or Potentially Related.</w:t>
      </w:r>
    </w:p>
    <w:p w14:paraId="7526F1DE" w14:textId="77777777" w:rsidR="00B424F5" w:rsidRDefault="00B424F5" w:rsidP="00B44B89"/>
    <w:p w14:paraId="0323DB54" w14:textId="77777777" w:rsidR="00B424F5" w:rsidRDefault="00B424F5" w:rsidP="00B44B89">
      <w:pPr>
        <w:sectPr w:rsidR="00B424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8F6491" w14:textId="5F637550" w:rsidR="00B44B89" w:rsidRDefault="00270E17" w:rsidP="00B44B89">
      <w:r w:rsidRPr="00270E17">
        <w:lastRenderedPageBreak/>
        <w:t>Online Resource</w:t>
      </w:r>
      <w:r>
        <w:t xml:space="preserve"> </w:t>
      </w:r>
      <w:r w:rsidR="00B44B89" w:rsidRPr="00835394">
        <w:t xml:space="preserve">Figure </w:t>
      </w:r>
      <w:r>
        <w:t>3</w:t>
      </w:r>
      <w:r w:rsidR="00B44B89" w:rsidRPr="00835394">
        <w:t xml:space="preserve">. </w:t>
      </w:r>
      <w:r w:rsidR="008B4383" w:rsidRPr="00835394">
        <w:t>Decline of Acute Phase Biomarkers Throughout the Study</w:t>
      </w:r>
      <w:r w:rsidR="00973062">
        <w:t xml:space="preserve"> for patients remaining hospitalized</w:t>
      </w:r>
      <w:r w:rsidR="008B4383" w:rsidRPr="00835394">
        <w:t xml:space="preserve">. Serum levels of ferritin, </w:t>
      </w:r>
      <w:r w:rsidR="00983A7B">
        <w:t>n</w:t>
      </w:r>
      <w:r w:rsidR="008B4383" w:rsidRPr="00835394">
        <w:t>eutrophils, C-reactive protein (CRP), and D-Dimer were measured by ELISA at Baseline and on days 4, 7, 10, 15, 29 and 61.</w:t>
      </w:r>
      <w:r w:rsidR="00983A7B">
        <w:t xml:space="preserve"> </w:t>
      </w:r>
      <w:r w:rsidR="00835394">
        <w:t xml:space="preserve">Mean values for each biomarker were normalized to baseline (100%). </w:t>
      </w:r>
      <w:r w:rsidR="003B1B66">
        <w:t xml:space="preserve">On </w:t>
      </w:r>
      <w:r w:rsidR="003B1B66" w:rsidRPr="00835394">
        <w:t xml:space="preserve">days </w:t>
      </w:r>
      <w:r w:rsidR="003B1B66">
        <w:t xml:space="preserve">0, </w:t>
      </w:r>
      <w:r w:rsidR="003B1B66" w:rsidRPr="00835394">
        <w:t>4, 7, 10, 15, 29</w:t>
      </w:r>
      <w:r w:rsidR="003B1B66">
        <w:t xml:space="preserve">, </w:t>
      </w:r>
      <w:r w:rsidR="003B1B66" w:rsidRPr="00835394">
        <w:t>61</w:t>
      </w:r>
      <w:r w:rsidR="003B1B66">
        <w:t xml:space="preserve">, respectively, the number of remaining hospitalized patients with information available for each marker are: CRP 102, 96, 76, 56, 44, 34, 15; Ferritin 102, 95, 76, </w:t>
      </w:r>
      <w:r w:rsidR="00BB098F">
        <w:t>54, 44, 34, 15; D-dimer 102, 95, 75, 56, 43, 33, 15; Neutrophils 99, 93, 69, 51, 43, 34, 15.</w:t>
      </w:r>
    </w:p>
    <w:p w14:paraId="61949D80" w14:textId="77777777" w:rsidR="008B4383" w:rsidRDefault="008B4383" w:rsidP="00B44B89"/>
    <w:p w14:paraId="31A16FF7" w14:textId="6C8A17E9" w:rsidR="008B4383" w:rsidRDefault="00835394" w:rsidP="00B44B89">
      <w:r w:rsidRPr="00835394">
        <w:t xml:space="preserve"> </w:t>
      </w:r>
      <w:r>
        <w:rPr>
          <w:noProof/>
        </w:rPr>
        <w:drawing>
          <wp:inline distT="0" distB="0" distL="0" distR="0" wp14:anchorId="45589C52" wp14:editId="31F35C78">
            <wp:extent cx="5218981" cy="3652944"/>
            <wp:effectExtent l="0" t="0" r="0" b="0"/>
            <wp:docPr id="1693584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85" cy="367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243"/>
    <w:multiLevelType w:val="multilevel"/>
    <w:tmpl w:val="9BC439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365F69"/>
    <w:multiLevelType w:val="multilevel"/>
    <w:tmpl w:val="EDF8E57E"/>
    <w:name w:val="Heading"/>
    <w:lvl w:ilvl="0">
      <w:start w:val="1"/>
      <w:numFmt w:val="decimal"/>
      <w:lvlText w:val="%1"/>
      <w:lvlJc w:val="left"/>
      <w:pPr>
        <w:tabs>
          <w:tab w:val="num" w:pos="6"/>
        </w:tabs>
        <w:ind w:left="6" w:hanging="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"/>
        </w:tabs>
        <w:ind w:left="10" w:hanging="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"/>
        </w:tabs>
        <w:ind w:left="15" w:hanging="15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0"/>
        </w:tabs>
        <w:ind w:left="20" w:hanging="2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tabs>
          <w:tab w:val="num" w:pos="25"/>
        </w:tabs>
        <w:ind w:left="25" w:hanging="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"/>
        </w:tabs>
        <w:ind w:left="30" w:hanging="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"/>
        </w:tabs>
        <w:ind w:left="35" w:hanging="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"/>
        </w:tabs>
        <w:ind w:left="40" w:hanging="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"/>
        </w:tabs>
        <w:ind w:left="45" w:hanging="45"/>
      </w:pPr>
      <w:rPr>
        <w:rFonts w:hint="default"/>
      </w:rPr>
    </w:lvl>
  </w:abstractNum>
  <w:num w:numId="1" w16cid:durableId="1733189671">
    <w:abstractNumId w:val="1"/>
  </w:num>
  <w:num w:numId="2" w16cid:durableId="135700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89"/>
    <w:rsid w:val="00047B10"/>
    <w:rsid w:val="00050235"/>
    <w:rsid w:val="000874AD"/>
    <w:rsid w:val="00155633"/>
    <w:rsid w:val="00260737"/>
    <w:rsid w:val="00270E17"/>
    <w:rsid w:val="002B6524"/>
    <w:rsid w:val="003B1B66"/>
    <w:rsid w:val="00470148"/>
    <w:rsid w:val="004A65D1"/>
    <w:rsid w:val="0053506C"/>
    <w:rsid w:val="005A2F8D"/>
    <w:rsid w:val="005E6A99"/>
    <w:rsid w:val="00673B36"/>
    <w:rsid w:val="006A0741"/>
    <w:rsid w:val="0083129E"/>
    <w:rsid w:val="00835394"/>
    <w:rsid w:val="008B4383"/>
    <w:rsid w:val="008F34CD"/>
    <w:rsid w:val="009248AE"/>
    <w:rsid w:val="00973062"/>
    <w:rsid w:val="00983A7B"/>
    <w:rsid w:val="009E1A89"/>
    <w:rsid w:val="009E3A54"/>
    <w:rsid w:val="00A0636D"/>
    <w:rsid w:val="00A650F9"/>
    <w:rsid w:val="00B424F5"/>
    <w:rsid w:val="00B44B89"/>
    <w:rsid w:val="00BB098F"/>
    <w:rsid w:val="00C045CA"/>
    <w:rsid w:val="00C22A16"/>
    <w:rsid w:val="00C55633"/>
    <w:rsid w:val="00CD511A"/>
    <w:rsid w:val="00D126A3"/>
    <w:rsid w:val="00D6527F"/>
    <w:rsid w:val="00E13012"/>
    <w:rsid w:val="00E62F2E"/>
    <w:rsid w:val="00E809D2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B8DE"/>
  <w15:chartTrackingRefBased/>
  <w15:docId w15:val="{823B750A-04CB-4E1A-A927-19075DE7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047B10"/>
    <w:pPr>
      <w:keepNext/>
      <w:keepLines/>
      <w:numPr>
        <w:numId w:val="2"/>
      </w:numPr>
      <w:tabs>
        <w:tab w:val="num" w:pos="6"/>
        <w:tab w:val="left" w:pos="432"/>
      </w:tabs>
      <w:spacing w:before="240" w:after="0" w:line="240" w:lineRule="auto"/>
      <w:ind w:left="6" w:hanging="6"/>
      <w:outlineLvl w:val="0"/>
    </w:pPr>
    <w:rPr>
      <w:rFonts w:ascii="Times New Roman" w:eastAsia="Arial" w:hAnsi="Times New Roman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B10"/>
    <w:rPr>
      <w:rFonts w:ascii="Times New Roman" w:eastAsia="Arial" w:hAnsi="Times New Roman" w:cs="Times New Roman"/>
      <w:b/>
      <w:caps/>
      <w:sz w:val="28"/>
      <w:szCs w:val="24"/>
    </w:rPr>
  </w:style>
  <w:style w:type="paragraph" w:styleId="Revision">
    <w:name w:val="Revision"/>
    <w:hidden/>
    <w:uiPriority w:val="99"/>
    <w:semiHidden/>
    <w:rsid w:val="00983A7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70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70E17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270E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moseley@directbiolog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781</Words>
  <Characters>4530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 Ransom</dc:creator>
  <cp:keywords/>
  <dc:description/>
  <cp:lastModifiedBy>Tim Moseley</cp:lastModifiedBy>
  <cp:revision>10</cp:revision>
  <dcterms:created xsi:type="dcterms:W3CDTF">2024-01-11T01:32:00Z</dcterms:created>
  <dcterms:modified xsi:type="dcterms:W3CDTF">2026-02-09T16:34:00Z</dcterms:modified>
</cp:coreProperties>
</file>