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F334B0" w14:textId="77777777" w:rsidR="00242990" w:rsidRDefault="00242990" w:rsidP="00242990">
      <w:pPr>
        <w:spacing w:line="480" w:lineRule="auto"/>
        <w:ind w:leftChars="63" w:left="132"/>
        <w:rPr>
          <w:rFonts w:ascii="Times New Roman" w:hAnsi="Times New Roman" w:cs="Times New Roman"/>
          <w:b/>
          <w:bCs/>
          <w:sz w:val="28"/>
          <w:szCs w:val="36"/>
        </w:rPr>
      </w:pPr>
      <w:bookmarkStart w:id="0" w:name="OLE_LINK9"/>
      <w:r>
        <w:rPr>
          <w:rFonts w:ascii="Times New Roman" w:hAnsi="Times New Roman" w:cs="Times New Roman"/>
          <w:b/>
          <w:bCs/>
          <w:sz w:val="28"/>
          <w:szCs w:val="36"/>
        </w:rPr>
        <w:t>Supplementary figures</w:t>
      </w:r>
      <w:bookmarkEnd w:id="0"/>
    </w:p>
    <w:p w14:paraId="0138F40C" w14:textId="77777777" w:rsidR="00242990" w:rsidRDefault="00242990" w:rsidP="00242990">
      <w:pPr>
        <w:spacing w:line="480" w:lineRule="auto"/>
        <w:ind w:leftChars="63" w:left="132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ascii="Times New Roman" w:hAnsi="Times New Roman" w:cs="Times New Roman"/>
          <w:b/>
          <w:bCs/>
          <w:noProof/>
          <w:sz w:val="28"/>
          <w:szCs w:val="36"/>
        </w:rPr>
        <w:drawing>
          <wp:inline distT="0" distB="0" distL="0" distR="0" wp14:anchorId="4240C1D0" wp14:editId="495813DD">
            <wp:extent cx="4991735" cy="4681855"/>
            <wp:effectExtent l="0" t="0" r="0" b="4445"/>
            <wp:docPr id="1916888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688804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b="33612"/>
                    <a:stretch>
                      <a:fillRect/>
                    </a:stretch>
                  </pic:blipFill>
                  <pic:spPr>
                    <a:xfrm>
                      <a:off x="0" y="0"/>
                      <a:ext cx="5013481" cy="470217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F71501" w14:textId="77777777" w:rsidR="00242990" w:rsidRDefault="00242990" w:rsidP="00242990">
      <w:pPr>
        <w:spacing w:line="480" w:lineRule="auto"/>
        <w:ind w:leftChars="63" w:left="132"/>
        <w:rPr>
          <w:rFonts w:ascii="Times New Roman" w:hAnsi="Times New Roman" w:cs="Times New Roman"/>
          <w:b/>
          <w:bCs/>
          <w:sz w:val="22"/>
          <w:szCs w:val="28"/>
        </w:rPr>
      </w:pPr>
      <w:r>
        <w:rPr>
          <w:rFonts w:ascii="Times New Roman" w:hAnsi="Times New Roman" w:cs="Times New Roman"/>
          <w:b/>
          <w:bCs/>
          <w:sz w:val="22"/>
          <w:szCs w:val="28"/>
        </w:rPr>
        <w:t xml:space="preserve">Supplementary </w:t>
      </w:r>
      <w:r>
        <w:rPr>
          <w:rFonts w:ascii="Times New Roman" w:hAnsi="Times New Roman" w:cs="Times New Roman" w:hint="eastAsia"/>
          <w:b/>
          <w:bCs/>
          <w:sz w:val="22"/>
          <w:szCs w:val="28"/>
        </w:rPr>
        <w:t xml:space="preserve">figure1 </w:t>
      </w:r>
      <w:r>
        <w:rPr>
          <w:rFonts w:ascii="Times New Roman" w:hAnsi="Times New Roman" w:cs="Times New Roman"/>
          <w:b/>
          <w:bCs/>
          <w:sz w:val="22"/>
          <w:szCs w:val="28"/>
        </w:rPr>
        <w:t>Magnetic bead mixing and analytical workflow on-AM-DMF. a,</w:t>
      </w:r>
      <w:r>
        <w:rPr>
          <w:rFonts w:ascii="Times New Roman" w:hAnsi="Times New Roman" w:cs="Times New Roman"/>
          <w:sz w:val="22"/>
          <w:szCs w:val="28"/>
        </w:rPr>
        <w:t xml:space="preserve"> Images captured from a video recording, illustrating the active mixing process of SPRI beads within a reagent droplet via programmed electrode actuation;</w:t>
      </w:r>
      <w:r>
        <w:rPr>
          <w:rFonts w:ascii="Times New Roman" w:hAnsi="Times New Roman" w:cs="Times New Roman" w:hint="eastAsia"/>
          <w:b/>
          <w:bCs/>
          <w:sz w:val="22"/>
          <w:szCs w:val="28"/>
        </w:rPr>
        <w:t xml:space="preserve"> b</w:t>
      </w:r>
      <w:r>
        <w:rPr>
          <w:rFonts w:ascii="Times New Roman" w:hAnsi="Times New Roman" w:cs="Times New Roman"/>
          <w:b/>
          <w:bCs/>
          <w:sz w:val="22"/>
          <w:szCs w:val="28"/>
        </w:rPr>
        <w:t>,</w:t>
      </w:r>
      <w:r>
        <w:rPr>
          <w:rFonts w:ascii="Times New Roman" w:hAnsi="Times New Roman" w:cs="Times New Roman"/>
          <w:sz w:val="22"/>
          <w:szCs w:val="28"/>
        </w:rPr>
        <w:t xml:space="preserve"> Sequential images demonstrating the efficient magnetic separation and collection of beads at a designated chip location following the wash steps.</w:t>
      </w:r>
    </w:p>
    <w:p w14:paraId="21ED7406" w14:textId="77777777" w:rsidR="00242990" w:rsidRDefault="00242990" w:rsidP="00242990">
      <w:pPr>
        <w:spacing w:line="480" w:lineRule="auto"/>
        <w:ind w:leftChars="63" w:left="132"/>
        <w:rPr>
          <w:rFonts w:ascii="Times New Roman" w:hAnsi="Times New Roman" w:cs="Times New Roman"/>
          <w:b/>
          <w:bCs/>
          <w:sz w:val="22"/>
          <w:szCs w:val="28"/>
        </w:rPr>
      </w:pPr>
      <w:r>
        <w:rPr>
          <w:rFonts w:ascii="Times New Roman" w:hAnsi="Times New Roman" w:cs="Times New Roman"/>
          <w:b/>
          <w:bCs/>
          <w:noProof/>
          <w:sz w:val="22"/>
          <w:szCs w:val="28"/>
        </w:rPr>
        <w:lastRenderedPageBreak/>
        <w:drawing>
          <wp:inline distT="0" distB="0" distL="0" distR="0" wp14:anchorId="52FEF42E" wp14:editId="19EA5BF5">
            <wp:extent cx="5274310" cy="3482975"/>
            <wp:effectExtent l="0" t="0" r="0" b="0"/>
            <wp:docPr id="128323199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231994" name="图片 5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327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342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88D30C" w14:textId="77777777" w:rsidR="00242990" w:rsidRDefault="00242990" w:rsidP="00242990">
      <w:pPr>
        <w:spacing w:line="480" w:lineRule="auto"/>
        <w:ind w:leftChars="63" w:left="242" w:hangingChars="50" w:hanging="110"/>
        <w:rPr>
          <w:rFonts w:ascii="Times New Roman" w:hAnsi="Times New Roman" w:cs="Times New Roman"/>
          <w:b/>
          <w:bCs/>
          <w:sz w:val="22"/>
          <w:szCs w:val="28"/>
        </w:rPr>
      </w:pPr>
      <w:r>
        <w:rPr>
          <w:rFonts w:ascii="Times New Roman" w:hAnsi="Times New Roman" w:cs="Times New Roman"/>
          <w:b/>
          <w:bCs/>
          <w:sz w:val="22"/>
          <w:szCs w:val="28"/>
        </w:rPr>
        <w:t xml:space="preserve">Supplementary </w:t>
      </w:r>
      <w:r>
        <w:rPr>
          <w:rFonts w:ascii="Times New Roman" w:hAnsi="Times New Roman" w:cs="Times New Roman" w:hint="eastAsia"/>
          <w:b/>
          <w:bCs/>
          <w:sz w:val="22"/>
          <w:szCs w:val="28"/>
        </w:rPr>
        <w:t>figure2</w:t>
      </w:r>
      <w:r>
        <w:rPr>
          <w:rFonts w:ascii="Times New Roman" w:hAnsi="Times New Roman" w:cs="Times New Roman"/>
          <w:b/>
          <w:bCs/>
          <w:sz w:val="22"/>
          <w:szCs w:val="28"/>
        </w:rPr>
        <w:t xml:space="preserve"> Optimization of PCR cycling parameters for AM-DMF library preparation. </w:t>
      </w:r>
      <w:proofErr w:type="gramStart"/>
      <w:r>
        <w:rPr>
          <w:rFonts w:ascii="Times New Roman" w:hAnsi="Times New Roman" w:cs="Times New Roman"/>
          <w:b/>
          <w:bCs/>
          <w:sz w:val="22"/>
          <w:szCs w:val="28"/>
        </w:rPr>
        <w:t>a,</w:t>
      </w:r>
      <w:proofErr w:type="gramEnd"/>
      <w:r>
        <w:rPr>
          <w:rFonts w:ascii="Times New Roman" w:hAnsi="Times New Roman" w:cs="Times New Roman"/>
          <w:b/>
          <w:bCs/>
          <w:sz w:val="22"/>
          <w:szCs w:val="28"/>
        </w:rPr>
        <w:t xml:space="preserve"> </w:t>
      </w:r>
      <w:r>
        <w:rPr>
          <w:rFonts w:ascii="Times New Roman" w:hAnsi="Times New Roman" w:cs="Times New Roman"/>
          <w:sz w:val="22"/>
          <w:szCs w:val="28"/>
        </w:rPr>
        <w:t>Fragment size distribution of libraries amplified from 5 ng of Promega human male gDNA under different PCR cycle numbers. Over-amplification artifacts are observed at 10 and 12 cycles;</w:t>
      </w:r>
      <w:r>
        <w:rPr>
          <w:rFonts w:ascii="Times New Roman" w:hAnsi="Times New Roman" w:cs="Times New Roman"/>
          <w:b/>
          <w:bCs/>
          <w:sz w:val="22"/>
          <w:szCs w:val="28"/>
        </w:rPr>
        <w:t xml:space="preserve"> b,</w:t>
      </w:r>
      <w:r>
        <w:rPr>
          <w:rFonts w:ascii="Times New Roman" w:hAnsi="Times New Roman" w:cs="Times New Roman"/>
          <w:sz w:val="22"/>
          <w:szCs w:val="28"/>
        </w:rPr>
        <w:t xml:space="preserve"> Library concentration corresponding to different cycle numbers using 5 ng of Promega human male gDNA as input;</w:t>
      </w:r>
      <w:r>
        <w:rPr>
          <w:rFonts w:ascii="Times New Roman" w:hAnsi="Times New Roman" w:cs="Times New Roman"/>
          <w:b/>
          <w:bCs/>
          <w:sz w:val="22"/>
          <w:szCs w:val="28"/>
        </w:rPr>
        <w:t xml:space="preserve"> c,</w:t>
      </w:r>
      <w:r>
        <w:rPr>
          <w:rFonts w:ascii="Times New Roman" w:hAnsi="Times New Roman" w:cs="Times New Roman"/>
          <w:sz w:val="22"/>
          <w:szCs w:val="28"/>
        </w:rPr>
        <w:t xml:space="preserve"> Concentration of fragments in the 300–400 bp region for libraries prepared with 5 ng of Promega human male gDNA across different PCR cycles.</w:t>
      </w:r>
    </w:p>
    <w:p w14:paraId="75153BC6" w14:textId="77777777" w:rsidR="00242990" w:rsidRDefault="00242990" w:rsidP="00242990">
      <w:pPr>
        <w:spacing w:line="480" w:lineRule="auto"/>
        <w:ind w:leftChars="63" w:left="132"/>
        <w:rPr>
          <w:rFonts w:ascii="Times New Roman" w:hAnsi="Times New Roman" w:cs="Times New Roman"/>
          <w:b/>
          <w:bCs/>
          <w:sz w:val="22"/>
          <w:szCs w:val="28"/>
        </w:rPr>
      </w:pPr>
      <w:r>
        <w:rPr>
          <w:rFonts w:ascii="Times New Roman" w:hAnsi="Times New Roman" w:cs="Times New Roman"/>
          <w:b/>
          <w:bCs/>
          <w:noProof/>
          <w:sz w:val="22"/>
          <w:szCs w:val="28"/>
        </w:rPr>
        <w:lastRenderedPageBreak/>
        <w:drawing>
          <wp:inline distT="0" distB="0" distL="0" distR="0" wp14:anchorId="4ED69846" wp14:editId="199CA035">
            <wp:extent cx="5274310" cy="4658995"/>
            <wp:effectExtent l="0" t="0" r="0" b="1905"/>
            <wp:docPr id="142419984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199847" name="图片 6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50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5908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A31D44" w14:textId="77777777" w:rsidR="00242990" w:rsidRDefault="00242990" w:rsidP="00242990">
      <w:pPr>
        <w:spacing w:line="480" w:lineRule="auto"/>
        <w:ind w:leftChars="63" w:left="132"/>
        <w:rPr>
          <w:rFonts w:ascii="Times New Roman" w:hAnsi="Times New Roman" w:cs="Times New Roman"/>
          <w:sz w:val="22"/>
          <w:szCs w:val="28"/>
        </w:rPr>
      </w:pPr>
      <w:r>
        <w:rPr>
          <w:rFonts w:ascii="Times New Roman" w:hAnsi="Times New Roman" w:cs="Times New Roman"/>
          <w:b/>
          <w:bCs/>
          <w:sz w:val="22"/>
          <w:szCs w:val="28"/>
        </w:rPr>
        <w:t xml:space="preserve">Supplementary </w:t>
      </w:r>
      <w:r>
        <w:rPr>
          <w:rFonts w:ascii="Times New Roman" w:hAnsi="Times New Roman" w:cs="Times New Roman" w:hint="eastAsia"/>
          <w:b/>
          <w:bCs/>
          <w:sz w:val="22"/>
          <w:szCs w:val="28"/>
        </w:rPr>
        <w:t>figure3</w:t>
      </w:r>
      <w:r>
        <w:rPr>
          <w:rFonts w:ascii="Times New Roman" w:hAnsi="Times New Roman" w:cs="Times New Roman"/>
          <w:b/>
          <w:bCs/>
          <w:sz w:val="22"/>
          <w:szCs w:val="28"/>
        </w:rPr>
        <w:t xml:space="preserve"> Performance evaluation of the AM-DMF platform at 3 ng and 5 ng inputs. a, </w:t>
      </w:r>
      <w:r>
        <w:rPr>
          <w:rFonts w:ascii="Times New Roman" w:hAnsi="Times New Roman" w:cs="Times New Roman"/>
          <w:sz w:val="22"/>
          <w:szCs w:val="28"/>
        </w:rPr>
        <w:t>A 2 × 2 contingency table comparing pathogen detection outcomes between on-AM-DMF libraries prepared from 3 ng and 5 ng inputs. Sensitivity (SEN) and specificity (SPN) were calculated as SEN = TP / (TP + FN) and SPN = TN / (TN + FP), where TP is true positive, FN false negative, TN true negative, and FP false positive.</w:t>
      </w:r>
      <w:r>
        <w:rPr>
          <w:rFonts w:ascii="Times New Roman" w:hAnsi="Times New Roman" w:cs="Times New Roman"/>
          <w:b/>
          <w:bCs/>
          <w:sz w:val="22"/>
          <w:szCs w:val="28"/>
        </w:rPr>
        <w:t xml:space="preserve"> b, </w:t>
      </w:r>
      <w:proofErr w:type="gramStart"/>
      <w:r>
        <w:rPr>
          <w:rFonts w:ascii="Times New Roman" w:hAnsi="Times New Roman" w:cs="Times New Roman"/>
          <w:sz w:val="22"/>
          <w:szCs w:val="28"/>
        </w:rPr>
        <w:t>Paired t‑</w:t>
      </w:r>
      <w:proofErr w:type="gramEnd"/>
      <w:r>
        <w:rPr>
          <w:rFonts w:ascii="Times New Roman" w:hAnsi="Times New Roman" w:cs="Times New Roman"/>
          <w:sz w:val="22"/>
          <w:szCs w:val="28"/>
        </w:rPr>
        <w:t xml:space="preserve">test comparison of the duplication rate (left) and uniquely mapped read rate (right) for libraries from 10 clinical samples prepared on-AM-DMF at 3 ng versus 5 ng inputs. </w:t>
      </w:r>
      <w:r>
        <w:rPr>
          <w:rFonts w:ascii="Times New Roman" w:hAnsi="Times New Roman" w:cs="Times New Roman"/>
          <w:b/>
          <w:bCs/>
          <w:sz w:val="22"/>
          <w:szCs w:val="28"/>
        </w:rPr>
        <w:t>c,</w:t>
      </w:r>
      <w:r>
        <w:rPr>
          <w:rFonts w:ascii="Times New Roman" w:hAnsi="Times New Roman" w:cs="Times New Roman"/>
          <w:sz w:val="22"/>
          <w:szCs w:val="28"/>
        </w:rPr>
        <w:t xml:space="preserve"> Bland–Altman plots assessing the agreement of log₁₀‑transformed pathogen RPM values between on-AM-DMF libraries (3 ng input, left; 5 ng input, right) and their matched off-AM-DMF (manual) counterparts. The central solid line indicates the mean difference (bias), and the dashed lines represent the 95% limits of agreement.</w:t>
      </w:r>
    </w:p>
    <w:p w14:paraId="6EA6A55F" w14:textId="77777777" w:rsidR="00242990" w:rsidRDefault="00242990" w:rsidP="00242990">
      <w:pPr>
        <w:spacing w:line="480" w:lineRule="auto"/>
        <w:ind w:leftChars="63" w:left="132"/>
        <w:rPr>
          <w:rFonts w:ascii="Times New Roman" w:hAnsi="Times New Roman" w:cs="Times New Roman"/>
          <w:sz w:val="22"/>
          <w:szCs w:val="28"/>
        </w:rPr>
      </w:pPr>
    </w:p>
    <w:p w14:paraId="0A232E64" w14:textId="77777777" w:rsidR="00242990" w:rsidRDefault="00242990" w:rsidP="00242990">
      <w:pPr>
        <w:spacing w:line="480" w:lineRule="auto"/>
        <w:ind w:leftChars="63" w:left="132"/>
        <w:rPr>
          <w:rFonts w:ascii="Times New Roman" w:hAnsi="Times New Roman" w:cs="Times New Roman"/>
          <w:sz w:val="22"/>
          <w:szCs w:val="28"/>
        </w:rPr>
      </w:pPr>
      <w:bookmarkStart w:id="1" w:name="OLE_LINK10"/>
      <w:r>
        <w:rPr>
          <w:rFonts w:ascii="Times New Roman" w:hAnsi="Times New Roman" w:cs="Times New Roman"/>
          <w:b/>
          <w:bCs/>
          <w:sz w:val="28"/>
          <w:szCs w:val="36"/>
        </w:rPr>
        <w:t>Supplementary Table</w:t>
      </w:r>
    </w:p>
    <w:bookmarkEnd w:id="1"/>
    <w:p w14:paraId="02B775FE" w14:textId="77777777" w:rsidR="00242990" w:rsidRDefault="00242990" w:rsidP="00242990">
      <w:pPr>
        <w:spacing w:line="480" w:lineRule="auto"/>
        <w:ind w:leftChars="63" w:left="132"/>
        <w:rPr>
          <w:rFonts w:ascii="Times New Roman" w:hAnsi="Times New Roman" w:cs="Times New Roman"/>
          <w:b/>
          <w:bCs/>
          <w:sz w:val="22"/>
          <w:szCs w:val="28"/>
        </w:rPr>
      </w:pPr>
      <w:r>
        <w:rPr>
          <w:rFonts w:ascii="Times New Roman" w:hAnsi="Times New Roman" w:cs="Times New Roman"/>
          <w:b/>
          <w:bCs/>
          <w:sz w:val="22"/>
          <w:szCs w:val="28"/>
        </w:rPr>
        <w:lastRenderedPageBreak/>
        <w:t>Table1</w:t>
      </w:r>
    </w:p>
    <w:tbl>
      <w:tblPr>
        <w:tblW w:w="8232" w:type="dxa"/>
        <w:tblLook w:val="04A0" w:firstRow="1" w:lastRow="0" w:firstColumn="1" w:lastColumn="0" w:noHBand="0" w:noVBand="1"/>
      </w:tblPr>
      <w:tblGrid>
        <w:gridCol w:w="2239"/>
        <w:gridCol w:w="2167"/>
        <w:gridCol w:w="1831"/>
        <w:gridCol w:w="1995"/>
      </w:tblGrid>
      <w:tr w:rsidR="00242990" w14:paraId="64A5ECF0" w14:textId="77777777" w:rsidTr="00FD42D6">
        <w:trPr>
          <w:trHeight w:val="542"/>
        </w:trPr>
        <w:tc>
          <w:tcPr>
            <w:tcW w:w="223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3364593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Steps</w:t>
            </w:r>
          </w:p>
        </w:tc>
        <w:tc>
          <w:tcPr>
            <w:tcW w:w="21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417EA00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Component</w:t>
            </w:r>
          </w:p>
        </w:tc>
        <w:tc>
          <w:tcPr>
            <w:tcW w:w="18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478EB6E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Manual Protocol</w:t>
            </w:r>
          </w:p>
        </w:tc>
        <w:tc>
          <w:tcPr>
            <w:tcW w:w="19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2DEC7DE1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AM-DMF Protocol</w:t>
            </w:r>
          </w:p>
        </w:tc>
      </w:tr>
      <w:tr w:rsidR="00242990" w14:paraId="5AEE0F0C" w14:textId="77777777" w:rsidTr="00FD42D6">
        <w:trPr>
          <w:trHeight w:val="321"/>
        </w:trPr>
        <w:tc>
          <w:tcPr>
            <w:tcW w:w="223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FA8F9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Fragmentation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246FA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Input DNA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9BB97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5-20 ng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E505E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1-25 ng</w:t>
            </w:r>
          </w:p>
        </w:tc>
      </w:tr>
      <w:tr w:rsidR="00242990" w14:paraId="437FFA26" w14:textId="77777777" w:rsidTr="00FD42D6">
        <w:trPr>
          <w:trHeight w:val="321"/>
        </w:trPr>
        <w:tc>
          <w:tcPr>
            <w:tcW w:w="22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42496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C778A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Reaction mix-1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2DC72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10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μL</w:t>
            </w:r>
            <w:proofErr w:type="spellEnd"/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FF03D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μL</w:t>
            </w:r>
            <w:proofErr w:type="spellEnd"/>
          </w:p>
        </w:tc>
      </w:tr>
      <w:tr w:rsidR="00242990" w14:paraId="0C61AFC0" w14:textId="77777777" w:rsidTr="00FD42D6">
        <w:trPr>
          <w:trHeight w:val="321"/>
        </w:trPr>
        <w:tc>
          <w:tcPr>
            <w:tcW w:w="22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C612B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86E89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Nuclease-Free Water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55549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To 60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μL</w:t>
            </w:r>
            <w:proofErr w:type="spellEnd"/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5B15B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To 6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μL</w:t>
            </w:r>
            <w:proofErr w:type="spellEnd"/>
          </w:p>
        </w:tc>
      </w:tr>
      <w:tr w:rsidR="00242990" w14:paraId="11139097" w14:textId="77777777" w:rsidTr="00FD42D6">
        <w:trPr>
          <w:trHeight w:val="321"/>
        </w:trPr>
        <w:tc>
          <w:tcPr>
            <w:tcW w:w="22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01B5D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6849F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Total Volume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A8654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60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μL</w:t>
            </w:r>
            <w:proofErr w:type="spellEnd"/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011B1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6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μL</w:t>
            </w:r>
            <w:proofErr w:type="spellEnd"/>
          </w:p>
        </w:tc>
      </w:tr>
      <w:tr w:rsidR="00242990" w14:paraId="1CF9D4C6" w14:textId="77777777" w:rsidTr="00FD42D6">
        <w:trPr>
          <w:trHeight w:val="321"/>
        </w:trPr>
        <w:tc>
          <w:tcPr>
            <w:tcW w:w="223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EA9CD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Adapter Ligation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4F91B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Reaction mix-2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586A2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35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μL</w:t>
            </w:r>
            <w:proofErr w:type="spellEnd"/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AB837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3.5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μL</w:t>
            </w:r>
            <w:proofErr w:type="spellEnd"/>
          </w:p>
        </w:tc>
      </w:tr>
      <w:tr w:rsidR="00242990" w14:paraId="7764D931" w14:textId="77777777" w:rsidTr="00FD42D6">
        <w:trPr>
          <w:trHeight w:val="321"/>
        </w:trPr>
        <w:tc>
          <w:tcPr>
            <w:tcW w:w="22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46BA6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2903B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adapter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3E182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5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μL</w:t>
            </w:r>
            <w:proofErr w:type="spellEnd"/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EE2F0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μL</w:t>
            </w:r>
            <w:proofErr w:type="spellEnd"/>
          </w:p>
        </w:tc>
      </w:tr>
      <w:tr w:rsidR="00242990" w14:paraId="2758E4CB" w14:textId="77777777" w:rsidTr="00FD42D6">
        <w:trPr>
          <w:trHeight w:val="321"/>
        </w:trPr>
        <w:tc>
          <w:tcPr>
            <w:tcW w:w="22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D1BFE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7CE65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Total Volume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5BA8D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100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μL</w:t>
            </w:r>
            <w:proofErr w:type="spellEnd"/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2A677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10.5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μL</w:t>
            </w:r>
            <w:proofErr w:type="spellEnd"/>
          </w:p>
        </w:tc>
      </w:tr>
      <w:tr w:rsidR="00242990" w14:paraId="1766C8FC" w14:textId="77777777" w:rsidTr="00FD42D6">
        <w:trPr>
          <w:trHeight w:val="321"/>
        </w:trPr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E171D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Bead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noBreakHyphen/>
              <w:t>Based Cleanup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98570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SPRI Beads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0BB41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80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μL</w:t>
            </w:r>
            <w:proofErr w:type="spellEnd"/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C94D8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8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μL</w:t>
            </w:r>
            <w:proofErr w:type="spellEnd"/>
          </w:p>
        </w:tc>
      </w:tr>
      <w:tr w:rsidR="00242990" w14:paraId="7C116719" w14:textId="77777777" w:rsidTr="00FD42D6">
        <w:trPr>
          <w:trHeight w:val="321"/>
        </w:trPr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92CF5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Washing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EA2CB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80% Ethanol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84640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200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μL</w:t>
            </w:r>
            <w:proofErr w:type="spellEnd"/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BCC83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10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μL</w:t>
            </w:r>
            <w:proofErr w:type="spellEnd"/>
          </w:p>
        </w:tc>
      </w:tr>
      <w:tr w:rsidR="00242990" w14:paraId="1943AB64" w14:textId="77777777" w:rsidTr="00FD42D6">
        <w:trPr>
          <w:trHeight w:val="321"/>
        </w:trPr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D1C0C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Elution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9DCD8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Nuclease-Free Water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9EDD6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23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μL</w:t>
            </w:r>
            <w:proofErr w:type="spellEnd"/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5FA64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2.5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μL</w:t>
            </w:r>
            <w:proofErr w:type="spellEnd"/>
          </w:p>
        </w:tc>
      </w:tr>
      <w:tr w:rsidR="00242990" w14:paraId="51E855A9" w14:textId="77777777" w:rsidTr="00FD42D6">
        <w:trPr>
          <w:trHeight w:val="321"/>
        </w:trPr>
        <w:tc>
          <w:tcPr>
            <w:tcW w:w="223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2E5BB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PCR Amplification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41EEE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PCR mix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39528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25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μL</w:t>
            </w:r>
            <w:proofErr w:type="spellEnd"/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E13BF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2.5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μL</w:t>
            </w:r>
            <w:proofErr w:type="spellEnd"/>
          </w:p>
        </w:tc>
      </w:tr>
      <w:tr w:rsidR="00242990" w14:paraId="1940C8E5" w14:textId="77777777" w:rsidTr="00FD42D6">
        <w:trPr>
          <w:trHeight w:val="321"/>
        </w:trPr>
        <w:tc>
          <w:tcPr>
            <w:tcW w:w="22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B14FA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099D4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UDI Primer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A4025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4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μL</w:t>
            </w:r>
            <w:proofErr w:type="spellEnd"/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B9505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0.4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μL</w:t>
            </w:r>
            <w:proofErr w:type="spellEnd"/>
          </w:p>
        </w:tc>
      </w:tr>
      <w:tr w:rsidR="00242990" w14:paraId="1012A248" w14:textId="77777777" w:rsidTr="00FD42D6">
        <w:trPr>
          <w:trHeight w:val="321"/>
        </w:trPr>
        <w:tc>
          <w:tcPr>
            <w:tcW w:w="223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7B834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299E0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Total Volume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6114B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50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μL</w:t>
            </w:r>
            <w:proofErr w:type="spellEnd"/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F2722B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5.4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μL</w:t>
            </w:r>
            <w:proofErr w:type="spellEnd"/>
          </w:p>
        </w:tc>
      </w:tr>
      <w:tr w:rsidR="00242990" w14:paraId="61E1B332" w14:textId="77777777" w:rsidTr="00FD42D6">
        <w:trPr>
          <w:trHeight w:val="321"/>
        </w:trPr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862A6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Beads Clean-up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D4084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Beads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0C300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63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μL</w:t>
            </w:r>
            <w:proofErr w:type="spellEnd"/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58F93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4.5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μL</w:t>
            </w:r>
            <w:proofErr w:type="spellEnd"/>
          </w:p>
        </w:tc>
      </w:tr>
      <w:tr w:rsidR="00242990" w14:paraId="1B45CFAB" w14:textId="77777777" w:rsidTr="00FD42D6">
        <w:trPr>
          <w:trHeight w:val="321"/>
        </w:trPr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4793B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Washing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B8DC6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80% Ethanol</w:t>
            </w:r>
          </w:p>
        </w:tc>
        <w:tc>
          <w:tcPr>
            <w:tcW w:w="18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AA764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200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μL</w:t>
            </w:r>
            <w:proofErr w:type="spellEnd"/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48596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10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μL</w:t>
            </w:r>
            <w:proofErr w:type="spellEnd"/>
          </w:p>
        </w:tc>
      </w:tr>
      <w:tr w:rsidR="00242990" w14:paraId="00B81AD7" w14:textId="77777777" w:rsidTr="00FD42D6">
        <w:trPr>
          <w:trHeight w:val="321"/>
        </w:trPr>
        <w:tc>
          <w:tcPr>
            <w:tcW w:w="223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03C967B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Elution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F65D1D7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Nuclease-Free Water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02FE0D3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20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μL</w:t>
            </w:r>
            <w:proofErr w:type="spellEnd"/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7D0CF93" w14:textId="77777777" w:rsidR="00242990" w:rsidRDefault="00242990" w:rsidP="00FD42D6">
            <w:pPr>
              <w:widowControl/>
              <w:spacing w:line="480" w:lineRule="auto"/>
              <w:ind w:left="63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10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μL</w:t>
            </w:r>
            <w:proofErr w:type="spellEnd"/>
          </w:p>
        </w:tc>
      </w:tr>
    </w:tbl>
    <w:p w14:paraId="31EA54D1" w14:textId="77777777" w:rsidR="00242990" w:rsidRDefault="00242990" w:rsidP="00242990">
      <w:pPr>
        <w:spacing w:line="480" w:lineRule="auto"/>
        <w:ind w:leftChars="63" w:left="132"/>
        <w:rPr>
          <w:rFonts w:ascii="Times New Roman" w:hAnsi="Times New Roman" w:cs="Times New Roman"/>
          <w:b/>
          <w:bCs/>
          <w:sz w:val="22"/>
          <w:szCs w:val="28"/>
        </w:rPr>
      </w:pPr>
      <w:bookmarkStart w:id="2" w:name="OLE_LINK11"/>
      <w:r>
        <w:rPr>
          <w:rFonts w:ascii="Times New Roman" w:hAnsi="Times New Roman" w:cs="Times New Roman"/>
          <w:b/>
          <w:bCs/>
          <w:sz w:val="22"/>
          <w:szCs w:val="28"/>
        </w:rPr>
        <w:t>Supplementary Table 1</w:t>
      </w:r>
      <w:bookmarkEnd w:id="2"/>
      <w:r>
        <w:rPr>
          <w:rFonts w:ascii="Times New Roman" w:hAnsi="Times New Roman" w:cs="Times New Roman"/>
          <w:b/>
          <w:bCs/>
          <w:sz w:val="22"/>
          <w:szCs w:val="28"/>
        </w:rPr>
        <w:t>. Reagent consumption comparison between manual and on‑AM‑DMF library preparation protocols.</w:t>
      </w:r>
    </w:p>
    <w:p w14:paraId="05C49DF0" w14:textId="77777777" w:rsidR="00242990" w:rsidRDefault="00242990" w:rsidP="00242990">
      <w:pPr>
        <w:spacing w:line="480" w:lineRule="auto"/>
        <w:ind w:leftChars="63" w:left="132"/>
        <w:rPr>
          <w:rFonts w:ascii="Times New Roman" w:hAnsi="Times New Roman" w:cs="Times New Roman"/>
          <w:sz w:val="22"/>
          <w:szCs w:val="28"/>
        </w:rPr>
      </w:pPr>
    </w:p>
    <w:p w14:paraId="62EBAE27" w14:textId="77777777" w:rsidR="00242990" w:rsidRDefault="00242990" w:rsidP="00242990">
      <w:pPr>
        <w:spacing w:line="480" w:lineRule="auto"/>
        <w:ind w:leftChars="63" w:left="132"/>
        <w:rPr>
          <w:rFonts w:ascii="Times New Roman" w:hAnsi="Times New Roman" w:cs="Times New Roman"/>
          <w:sz w:val="22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36"/>
        </w:rPr>
        <w:t>Supplementary Videos</w:t>
      </w:r>
    </w:p>
    <w:p w14:paraId="06850BF0" w14:textId="77777777" w:rsidR="00242990" w:rsidRDefault="00242990" w:rsidP="00242990">
      <w:pPr>
        <w:spacing w:line="480" w:lineRule="auto"/>
        <w:ind w:leftChars="63" w:left="132"/>
        <w:rPr>
          <w:rFonts w:ascii="Times New Roman" w:hAnsi="Times New Roman" w:cs="Times New Roman"/>
          <w:b/>
          <w:bCs/>
          <w:sz w:val="22"/>
          <w:szCs w:val="28"/>
        </w:rPr>
      </w:pPr>
      <w:bookmarkStart w:id="3" w:name="OLE_LINK23"/>
      <w:r>
        <w:rPr>
          <w:rFonts w:ascii="Times New Roman" w:hAnsi="Times New Roman" w:cs="Times New Roman"/>
          <w:b/>
          <w:bCs/>
          <w:sz w:val="22"/>
          <w:szCs w:val="28"/>
        </w:rPr>
        <w:t xml:space="preserve">Supplementary Video 1: </w:t>
      </w:r>
      <w:bookmarkEnd w:id="3"/>
      <w:r>
        <w:rPr>
          <w:rFonts w:ascii="Times New Roman" w:hAnsi="Times New Roman" w:cs="Times New Roman"/>
          <w:b/>
          <w:bCs/>
          <w:sz w:val="22"/>
          <w:szCs w:val="28"/>
        </w:rPr>
        <w:t>Automated droplet manipulation and library preparation on the AM‑DMF chip.</w:t>
      </w:r>
    </w:p>
    <w:p w14:paraId="3927B86D" w14:textId="77777777" w:rsidR="00242990" w:rsidRDefault="00242990" w:rsidP="00242990">
      <w:pPr>
        <w:spacing w:line="480" w:lineRule="auto"/>
        <w:ind w:leftChars="63" w:left="132"/>
        <w:rPr>
          <w:rFonts w:ascii="Times New Roman" w:hAnsi="Times New Roman" w:cs="Times New Roman"/>
          <w:b/>
          <w:bCs/>
          <w:sz w:val="22"/>
          <w:szCs w:val="28"/>
        </w:rPr>
      </w:pPr>
    </w:p>
    <w:p w14:paraId="43DAF6F4" w14:textId="77777777" w:rsidR="00242990" w:rsidRDefault="00242990" w:rsidP="00242990">
      <w:pPr>
        <w:spacing w:line="480" w:lineRule="auto"/>
        <w:ind w:leftChars="63" w:left="132"/>
        <w:rPr>
          <w:rFonts w:ascii="Times New Roman" w:hAnsi="Times New Roman" w:cs="Times New Roman"/>
          <w:sz w:val="22"/>
          <w:szCs w:val="28"/>
        </w:rPr>
      </w:pPr>
    </w:p>
    <w:p w14:paraId="6BE87BFD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990"/>
    <w:rsid w:val="000E2EDD"/>
    <w:rsid w:val="00242990"/>
    <w:rsid w:val="00A91650"/>
    <w:rsid w:val="00B35E45"/>
    <w:rsid w:val="00E559FE"/>
    <w:rsid w:val="00E633FC"/>
    <w:rsid w:val="00F55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AD463"/>
  <w15:chartTrackingRefBased/>
  <w15:docId w15:val="{5ACBA417-17D9-4BCB-BDAA-E212DB9DA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2990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299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299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2990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2990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2990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2990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2990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2990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2990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29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29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29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29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29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29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29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29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29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299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429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2990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429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2990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429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2990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429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299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29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299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435</Words>
  <Characters>2274</Characters>
  <Application>Microsoft Office Word</Application>
  <DocSecurity>0</DocSecurity>
  <Lines>103</Lines>
  <Paragraphs>70</Paragraphs>
  <ScaleCrop>false</ScaleCrop>
  <Company/>
  <LinksUpToDate>false</LinksUpToDate>
  <CharactersWithSpaces>2637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2026-03-03T14:28:00Z</dcterms:created>
  <dcterms:modified xsi:type="dcterms:W3CDTF">2026-03-03T14:29:00Z</dcterms:modified>
</cp:coreProperties>
</file>