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5B365" w14:textId="77777777" w:rsidR="005339E5" w:rsidRPr="00695669" w:rsidRDefault="005339E5" w:rsidP="005339E5">
      <w:pPr>
        <w:jc w:val="both"/>
        <w:rPr>
          <w:rFonts w:asciiTheme="majorHAnsi" w:hAnsiTheme="majorHAnsi"/>
          <w:b/>
          <w:bCs/>
          <w:sz w:val="32"/>
          <w:szCs w:val="32"/>
        </w:rPr>
      </w:pPr>
      <w:r w:rsidRPr="00695669">
        <w:rPr>
          <w:rFonts w:asciiTheme="majorHAnsi" w:hAnsiTheme="majorHAnsi"/>
          <w:b/>
          <w:bCs/>
          <w:sz w:val="32"/>
          <w:szCs w:val="32"/>
        </w:rPr>
        <w:t>Balancing Power Harvesting and Data Reception in Inverted Perovskite SLIPT Receivers</w:t>
      </w:r>
    </w:p>
    <w:p w14:paraId="370FF332" w14:textId="77777777" w:rsidR="005339E5" w:rsidRPr="00867BBE" w:rsidRDefault="005339E5" w:rsidP="005339E5">
      <w:pPr>
        <w:jc w:val="both"/>
        <w:rPr>
          <w:rFonts w:asciiTheme="majorHAnsi" w:hAnsiTheme="majorHAnsi"/>
          <w:vertAlign w:val="superscript"/>
        </w:rPr>
      </w:pPr>
      <w:r w:rsidRPr="00867BBE">
        <w:rPr>
          <w:rFonts w:asciiTheme="majorHAnsi" w:hAnsiTheme="majorHAnsi"/>
        </w:rPr>
        <w:t>Himal Muwanwella</w:t>
      </w:r>
      <w:r w:rsidRPr="00867BBE">
        <w:rPr>
          <w:rFonts w:asciiTheme="majorHAnsi" w:hAnsiTheme="majorHAnsi"/>
          <w:vertAlign w:val="superscript"/>
        </w:rPr>
        <w:t>1</w:t>
      </w:r>
      <w:r w:rsidRPr="00867BBE">
        <w:rPr>
          <w:rFonts w:asciiTheme="majorHAnsi" w:hAnsiTheme="majorHAnsi"/>
        </w:rPr>
        <w:t>, Matthew Anderson</w:t>
      </w:r>
      <w:r w:rsidRPr="00867BBE">
        <w:rPr>
          <w:rFonts w:asciiTheme="majorHAnsi" w:hAnsiTheme="majorHAnsi"/>
          <w:vertAlign w:val="superscript"/>
        </w:rPr>
        <w:t>2</w:t>
      </w:r>
      <w:r w:rsidRPr="00867BBE" w:rsidDel="0082602E">
        <w:rPr>
          <w:rFonts w:asciiTheme="majorHAnsi" w:hAnsiTheme="majorHAnsi"/>
        </w:rPr>
        <w:t xml:space="preserve">, </w:t>
      </w:r>
      <w:r w:rsidRPr="00867BBE">
        <w:rPr>
          <w:rFonts w:asciiTheme="majorHAnsi" w:hAnsiTheme="majorHAnsi"/>
        </w:rPr>
        <w:t>Antonio J. Riquelme</w:t>
      </w:r>
      <w:r w:rsidRPr="00867BBE">
        <w:rPr>
          <w:rFonts w:asciiTheme="majorHAnsi" w:hAnsiTheme="majorHAnsi"/>
          <w:vertAlign w:val="superscript"/>
        </w:rPr>
        <w:t>3</w:t>
      </w:r>
      <w:r w:rsidRPr="00867BBE">
        <w:rPr>
          <w:rFonts w:asciiTheme="majorHAnsi" w:hAnsiTheme="majorHAnsi"/>
        </w:rPr>
        <w:t>, Bahattin Bademci</w:t>
      </w:r>
      <w:r w:rsidRPr="00867BBE">
        <w:rPr>
          <w:rFonts w:asciiTheme="majorHAnsi" w:hAnsiTheme="majorHAnsi"/>
          <w:vertAlign w:val="superscript"/>
        </w:rPr>
        <w:t>1</w:t>
      </w:r>
      <w:r w:rsidRPr="00867BBE">
        <w:rPr>
          <w:rFonts w:asciiTheme="majorHAnsi" w:hAnsiTheme="majorHAnsi"/>
        </w:rPr>
        <w:t>, Huiming Luo</w:t>
      </w:r>
      <w:r w:rsidRPr="00867BBE">
        <w:rPr>
          <w:rFonts w:asciiTheme="majorHAnsi" w:hAnsiTheme="majorHAnsi"/>
          <w:vertAlign w:val="superscript"/>
        </w:rPr>
        <w:t>4</w:t>
      </w:r>
      <w:r w:rsidRPr="00867BBE">
        <w:rPr>
          <w:rFonts w:asciiTheme="majorHAnsi" w:hAnsiTheme="majorHAnsi"/>
        </w:rPr>
        <w:t>, Siming Huang</w:t>
      </w:r>
      <w:r w:rsidRPr="00867BBE">
        <w:rPr>
          <w:rFonts w:asciiTheme="majorHAnsi" w:hAnsiTheme="majorHAnsi"/>
          <w:vertAlign w:val="superscript"/>
        </w:rPr>
        <w:t>4</w:t>
      </w:r>
      <w:r w:rsidRPr="00867BBE">
        <w:rPr>
          <w:rFonts w:asciiTheme="majorHAnsi" w:hAnsiTheme="majorHAnsi"/>
        </w:rPr>
        <w:t>, Jonathon Harwell</w:t>
      </w:r>
      <w:r w:rsidRPr="00867BBE">
        <w:rPr>
          <w:rFonts w:asciiTheme="majorHAnsi" w:hAnsiTheme="majorHAnsi"/>
          <w:vertAlign w:val="superscript"/>
        </w:rPr>
        <w:t>5</w:t>
      </w:r>
      <w:r w:rsidRPr="00867BBE">
        <w:rPr>
          <w:rFonts w:asciiTheme="majorHAnsi" w:hAnsiTheme="majorHAnsi"/>
        </w:rPr>
        <w:t>, John Buckeridge</w:t>
      </w:r>
      <w:r w:rsidRPr="00867BBE">
        <w:rPr>
          <w:rFonts w:asciiTheme="majorHAnsi" w:hAnsiTheme="majorHAnsi"/>
          <w:vertAlign w:val="superscript"/>
        </w:rPr>
        <w:t>1</w:t>
      </w:r>
      <w:r w:rsidRPr="00867BBE">
        <w:rPr>
          <w:rFonts w:asciiTheme="majorHAnsi" w:hAnsiTheme="majorHAnsi"/>
        </w:rPr>
        <w:t>, Steven Dunn</w:t>
      </w:r>
      <w:r w:rsidRPr="00867BBE">
        <w:rPr>
          <w:rFonts w:asciiTheme="majorHAnsi" w:hAnsiTheme="majorHAnsi"/>
          <w:vertAlign w:val="superscript"/>
        </w:rPr>
        <w:t>1</w:t>
      </w:r>
      <w:r w:rsidRPr="00867BBE" w:rsidDel="0082602E">
        <w:rPr>
          <w:rFonts w:asciiTheme="majorHAnsi" w:hAnsiTheme="majorHAnsi"/>
        </w:rPr>
        <w:t xml:space="preserve">, </w:t>
      </w:r>
      <w:r>
        <w:rPr>
          <w:rFonts w:asciiTheme="majorHAnsi" w:hAnsiTheme="majorHAnsi"/>
        </w:rPr>
        <w:t>Harald Haas</w:t>
      </w:r>
      <w:r w:rsidRPr="0002033B">
        <w:rPr>
          <w:rFonts w:asciiTheme="majorHAnsi" w:hAnsiTheme="majorHAnsi"/>
          <w:vertAlign w:val="superscript"/>
        </w:rPr>
        <w:t>2</w:t>
      </w:r>
      <w:r>
        <w:rPr>
          <w:rFonts w:asciiTheme="majorHAnsi" w:hAnsiTheme="majorHAnsi"/>
        </w:rPr>
        <w:t xml:space="preserve">, </w:t>
      </w:r>
      <w:r w:rsidRPr="00867BBE">
        <w:rPr>
          <w:rFonts w:asciiTheme="majorHAnsi" w:hAnsiTheme="majorHAnsi"/>
        </w:rPr>
        <w:t>Mojtaba Abdi-Jalebi</w:t>
      </w:r>
      <w:r w:rsidRPr="00867BBE">
        <w:rPr>
          <w:rFonts w:asciiTheme="majorHAnsi" w:hAnsiTheme="majorHAnsi"/>
          <w:vertAlign w:val="superscript"/>
        </w:rPr>
        <w:t>4*</w:t>
      </w:r>
      <w:r w:rsidRPr="00867BBE">
        <w:rPr>
          <w:rFonts w:asciiTheme="majorHAnsi" w:hAnsiTheme="majorHAnsi"/>
        </w:rPr>
        <w:t>, Iman Tavakkolnia</w:t>
      </w:r>
      <w:r w:rsidRPr="00867BBE">
        <w:rPr>
          <w:rFonts w:asciiTheme="majorHAnsi" w:hAnsiTheme="majorHAnsi"/>
          <w:vertAlign w:val="superscript"/>
        </w:rPr>
        <w:t>2*</w:t>
      </w:r>
      <w:r w:rsidRPr="00867BBE">
        <w:rPr>
          <w:rFonts w:asciiTheme="majorHAnsi" w:hAnsiTheme="majorHAnsi"/>
        </w:rPr>
        <w:t>, Muhammad Tariq Sajjad</w:t>
      </w:r>
      <w:r w:rsidRPr="00867BBE">
        <w:rPr>
          <w:rFonts w:asciiTheme="majorHAnsi" w:hAnsiTheme="majorHAnsi"/>
          <w:vertAlign w:val="superscript"/>
        </w:rPr>
        <w:t>1*</w:t>
      </w:r>
    </w:p>
    <w:p w14:paraId="79F1A645" w14:textId="117BEF63" w:rsidR="005339E5" w:rsidRPr="00867BBE" w:rsidRDefault="005339E5" w:rsidP="005339E5">
      <w:pPr>
        <w:jc w:val="both"/>
        <w:rPr>
          <w:rFonts w:asciiTheme="majorHAnsi" w:hAnsiTheme="majorHAnsi"/>
        </w:rPr>
      </w:pPr>
      <w:r w:rsidRPr="00867BBE">
        <w:rPr>
          <w:rFonts w:asciiTheme="majorHAnsi" w:hAnsiTheme="majorHAnsi"/>
          <w:vertAlign w:val="superscript"/>
        </w:rPr>
        <w:t>1</w:t>
      </w:r>
      <w:r w:rsidRPr="00867BBE">
        <w:rPr>
          <w:rFonts w:asciiTheme="majorHAnsi" w:hAnsiTheme="majorHAnsi"/>
        </w:rPr>
        <w:t>School of Engineering and Design</w:t>
      </w:r>
      <w:r w:rsidR="00E74B65">
        <w:rPr>
          <w:rFonts w:asciiTheme="majorHAnsi" w:hAnsiTheme="majorHAnsi"/>
        </w:rPr>
        <w:t>,</w:t>
      </w:r>
      <w:r w:rsidRPr="00867BBE">
        <w:rPr>
          <w:rFonts w:asciiTheme="majorHAnsi" w:hAnsiTheme="majorHAnsi"/>
        </w:rPr>
        <w:t xml:space="preserve"> London South Bank University</w:t>
      </w:r>
      <w:r w:rsidR="00E74B65">
        <w:rPr>
          <w:rFonts w:asciiTheme="majorHAnsi" w:hAnsiTheme="majorHAnsi"/>
        </w:rPr>
        <w:t>,</w:t>
      </w:r>
      <w:r w:rsidRPr="00867BBE">
        <w:rPr>
          <w:rFonts w:asciiTheme="majorHAnsi" w:hAnsiTheme="majorHAnsi"/>
        </w:rPr>
        <w:t xml:space="preserve"> 103 Borough Road, London</w:t>
      </w:r>
      <w:r w:rsidR="00E74B65">
        <w:rPr>
          <w:rFonts w:asciiTheme="majorHAnsi" w:hAnsiTheme="majorHAnsi"/>
        </w:rPr>
        <w:t>,</w:t>
      </w:r>
      <w:r w:rsidRPr="00867BBE">
        <w:rPr>
          <w:rFonts w:asciiTheme="majorHAnsi" w:hAnsiTheme="majorHAnsi"/>
        </w:rPr>
        <w:t xml:space="preserve"> SE1 0AA, UK</w:t>
      </w:r>
    </w:p>
    <w:p w14:paraId="46848E7E" w14:textId="77777777" w:rsidR="005339E5" w:rsidRDefault="005339E5" w:rsidP="005339E5">
      <w:pPr>
        <w:jc w:val="both"/>
        <w:rPr>
          <w:rFonts w:asciiTheme="majorHAnsi" w:hAnsiTheme="majorHAnsi"/>
        </w:rPr>
      </w:pPr>
      <w:r>
        <w:rPr>
          <w:rFonts w:asciiTheme="majorHAnsi" w:hAnsiTheme="majorHAnsi"/>
        </w:rPr>
        <w:t xml:space="preserve">Email: </w:t>
      </w:r>
      <w:hyperlink r:id="rId8" w:history="1">
        <w:r w:rsidRPr="001310DB">
          <w:rPr>
            <w:rStyle w:val="Hyperlink"/>
            <w:rFonts w:asciiTheme="majorHAnsi" w:hAnsiTheme="majorHAnsi"/>
          </w:rPr>
          <w:t>sajjadt@lsbu.ac.uk</w:t>
        </w:r>
      </w:hyperlink>
      <w:r>
        <w:rPr>
          <w:rFonts w:asciiTheme="majorHAnsi" w:hAnsiTheme="majorHAnsi"/>
        </w:rPr>
        <w:t>;</w:t>
      </w:r>
      <w:r w:rsidRPr="003E79AB">
        <w:rPr>
          <w:rFonts w:asciiTheme="majorHAnsi" w:hAnsiTheme="majorHAnsi"/>
        </w:rPr>
        <w:t xml:space="preserve"> </w:t>
      </w:r>
      <w:r w:rsidRPr="00867BBE">
        <w:rPr>
          <w:rFonts w:asciiTheme="majorHAnsi" w:hAnsiTheme="majorHAnsi"/>
        </w:rPr>
        <w:t>web: tariq-lab.com</w:t>
      </w:r>
    </w:p>
    <w:p w14:paraId="665B4120" w14:textId="77777777" w:rsidR="005339E5" w:rsidRDefault="005339E5" w:rsidP="005339E5">
      <w:pPr>
        <w:jc w:val="both"/>
        <w:rPr>
          <w:rFonts w:asciiTheme="majorHAnsi" w:hAnsiTheme="majorHAnsi"/>
        </w:rPr>
      </w:pPr>
      <w:r w:rsidRPr="00867BBE">
        <w:rPr>
          <w:rFonts w:asciiTheme="majorHAnsi" w:hAnsiTheme="majorHAnsi"/>
          <w:vertAlign w:val="superscript"/>
        </w:rPr>
        <w:t>2</w:t>
      </w:r>
      <w:r w:rsidRPr="00867BBE">
        <w:rPr>
          <w:rFonts w:asciiTheme="majorHAnsi" w:hAnsiTheme="majorHAnsi"/>
        </w:rPr>
        <w:t xml:space="preserve">LiFi R&amp;D Centre, Electrical Engineering Department, University of Cambridge, Trumpington Street, CB2 1PZ, Cambridge, UK </w:t>
      </w:r>
    </w:p>
    <w:p w14:paraId="55DE6228" w14:textId="77777777" w:rsidR="005339E5" w:rsidRDefault="005339E5" w:rsidP="005339E5">
      <w:pPr>
        <w:jc w:val="both"/>
        <w:rPr>
          <w:rFonts w:asciiTheme="majorHAnsi" w:hAnsiTheme="majorHAnsi"/>
        </w:rPr>
      </w:pPr>
      <w:r>
        <w:rPr>
          <w:rFonts w:asciiTheme="majorHAnsi" w:hAnsiTheme="majorHAnsi"/>
        </w:rPr>
        <w:t xml:space="preserve">Email: </w:t>
      </w:r>
      <w:hyperlink r:id="rId9" w:history="1">
        <w:r w:rsidRPr="001310DB">
          <w:rPr>
            <w:rStyle w:val="Hyperlink"/>
            <w:rFonts w:asciiTheme="majorHAnsi" w:hAnsiTheme="majorHAnsi"/>
          </w:rPr>
          <w:t>it360@cam.ac.uk</w:t>
        </w:r>
      </w:hyperlink>
    </w:p>
    <w:p w14:paraId="4F688A32" w14:textId="77777777" w:rsidR="005339E5" w:rsidRPr="00867BBE" w:rsidRDefault="005339E5" w:rsidP="005339E5">
      <w:pPr>
        <w:jc w:val="both"/>
        <w:rPr>
          <w:rFonts w:asciiTheme="majorHAnsi" w:hAnsiTheme="majorHAnsi"/>
        </w:rPr>
      </w:pPr>
      <w:r w:rsidRPr="00867BBE">
        <w:rPr>
          <w:rFonts w:asciiTheme="majorHAnsi" w:hAnsiTheme="majorHAnsi"/>
          <w:vertAlign w:val="superscript"/>
        </w:rPr>
        <w:t>3</w:t>
      </w:r>
      <w:r w:rsidRPr="00867BBE">
        <w:rPr>
          <w:rFonts w:asciiTheme="majorHAnsi" w:hAnsiTheme="majorHAnsi"/>
        </w:rPr>
        <w:t>Université Grenoble Alpes, CEA, CNRS, Grenoble-INP, IRIG-</w:t>
      </w:r>
      <w:proofErr w:type="spellStart"/>
      <w:r w:rsidRPr="00867BBE">
        <w:rPr>
          <w:rFonts w:asciiTheme="majorHAnsi" w:hAnsiTheme="majorHAnsi"/>
        </w:rPr>
        <w:t>SyMMES</w:t>
      </w:r>
      <w:proofErr w:type="spellEnd"/>
      <w:r w:rsidRPr="00867BBE">
        <w:rPr>
          <w:rFonts w:asciiTheme="majorHAnsi" w:hAnsiTheme="majorHAnsi"/>
        </w:rPr>
        <w:t xml:space="preserve">, 17 avenue des Martyrs, Grenoble, 38000 France </w:t>
      </w:r>
    </w:p>
    <w:p w14:paraId="788A8F0E" w14:textId="77777777" w:rsidR="005339E5" w:rsidRPr="00867BBE" w:rsidRDefault="005339E5" w:rsidP="005339E5">
      <w:pPr>
        <w:jc w:val="both"/>
        <w:rPr>
          <w:rFonts w:asciiTheme="majorHAnsi" w:hAnsiTheme="majorHAnsi"/>
        </w:rPr>
      </w:pPr>
      <w:r w:rsidRPr="00867BBE">
        <w:rPr>
          <w:rFonts w:asciiTheme="majorHAnsi" w:hAnsiTheme="majorHAnsi"/>
          <w:vertAlign w:val="superscript"/>
        </w:rPr>
        <w:t>4</w:t>
      </w:r>
      <w:r w:rsidRPr="00867BBE">
        <w:rPr>
          <w:rFonts w:asciiTheme="majorHAnsi" w:hAnsiTheme="majorHAnsi"/>
        </w:rPr>
        <w:t xml:space="preserve">Institute for Materials Discovery, University College London, Malet Place, WC1E 7JE, London, UK </w:t>
      </w:r>
    </w:p>
    <w:p w14:paraId="769F05B1" w14:textId="77777777" w:rsidR="005339E5" w:rsidRPr="00867BBE" w:rsidRDefault="005339E5" w:rsidP="005339E5">
      <w:pPr>
        <w:jc w:val="both"/>
        <w:rPr>
          <w:rFonts w:asciiTheme="majorHAnsi" w:hAnsiTheme="majorHAnsi"/>
        </w:rPr>
      </w:pPr>
      <w:r w:rsidRPr="00867BBE">
        <w:rPr>
          <w:rFonts w:asciiTheme="majorHAnsi" w:hAnsiTheme="majorHAnsi"/>
        </w:rPr>
        <w:t>Email:</w:t>
      </w:r>
      <w:r>
        <w:rPr>
          <w:rFonts w:asciiTheme="majorHAnsi" w:hAnsiTheme="majorHAnsi"/>
        </w:rPr>
        <w:t xml:space="preserve"> </w:t>
      </w:r>
      <w:hyperlink r:id="rId10" w:history="1">
        <w:r w:rsidRPr="00C568A8">
          <w:rPr>
            <w:rStyle w:val="Hyperlink"/>
            <w:rFonts w:asciiTheme="majorHAnsi" w:hAnsiTheme="majorHAnsi"/>
          </w:rPr>
          <w:t>m.jalebi@ucl.ac.uk</w:t>
        </w:r>
      </w:hyperlink>
    </w:p>
    <w:p w14:paraId="4DAA5002" w14:textId="77777777" w:rsidR="005339E5" w:rsidRPr="00867BBE" w:rsidRDefault="005339E5" w:rsidP="005339E5">
      <w:pPr>
        <w:jc w:val="both"/>
        <w:rPr>
          <w:rFonts w:asciiTheme="majorHAnsi" w:hAnsiTheme="majorHAnsi"/>
        </w:rPr>
      </w:pPr>
      <w:r w:rsidRPr="00867BBE">
        <w:rPr>
          <w:rFonts w:asciiTheme="majorHAnsi" w:hAnsiTheme="majorHAnsi"/>
          <w:vertAlign w:val="superscript"/>
        </w:rPr>
        <w:t>5</w:t>
      </w:r>
      <w:r w:rsidRPr="00867BBE">
        <w:rPr>
          <w:rFonts w:asciiTheme="majorHAnsi" w:hAnsiTheme="majorHAnsi"/>
        </w:rPr>
        <w:t>James Watt School of Engineering, University of Glasgow, Glasgow, G12 8QQ, UK</w:t>
      </w:r>
    </w:p>
    <w:p w14:paraId="7EB09335" w14:textId="28EFD639" w:rsidR="00CB2047" w:rsidRPr="004D7F3A" w:rsidRDefault="00CB2047" w:rsidP="00E53B28">
      <w:pPr>
        <w:spacing w:line="360" w:lineRule="auto"/>
        <w:ind w:hanging="360"/>
        <w:jc w:val="both"/>
        <w:rPr>
          <w:rFonts w:asciiTheme="majorHAnsi" w:hAnsiTheme="majorHAnsi"/>
        </w:rPr>
      </w:pPr>
    </w:p>
    <w:p w14:paraId="7AEA39E7" w14:textId="77777777" w:rsidR="00EE351A" w:rsidRPr="004D7F3A" w:rsidRDefault="00EE351A" w:rsidP="00E53B28">
      <w:pPr>
        <w:spacing w:line="360" w:lineRule="auto"/>
        <w:ind w:hanging="360"/>
        <w:jc w:val="both"/>
        <w:rPr>
          <w:rFonts w:asciiTheme="majorHAnsi" w:hAnsiTheme="majorHAnsi"/>
        </w:rPr>
      </w:pPr>
    </w:p>
    <w:p w14:paraId="25AE4E43" w14:textId="77777777" w:rsidR="00623A0F" w:rsidRPr="004D7F3A" w:rsidRDefault="00623A0F" w:rsidP="00E53B28">
      <w:pPr>
        <w:spacing w:line="360" w:lineRule="auto"/>
        <w:ind w:hanging="360"/>
        <w:jc w:val="both"/>
        <w:rPr>
          <w:rFonts w:asciiTheme="majorHAnsi" w:hAnsiTheme="majorHAnsi"/>
        </w:rPr>
      </w:pPr>
    </w:p>
    <w:p w14:paraId="4D15C642" w14:textId="77777777" w:rsidR="00623A0F" w:rsidRPr="004D7F3A" w:rsidRDefault="00623A0F" w:rsidP="00E53B28">
      <w:pPr>
        <w:spacing w:line="360" w:lineRule="auto"/>
        <w:ind w:hanging="360"/>
        <w:jc w:val="both"/>
        <w:rPr>
          <w:rFonts w:asciiTheme="majorHAnsi" w:hAnsiTheme="majorHAnsi"/>
        </w:rPr>
      </w:pPr>
    </w:p>
    <w:p w14:paraId="24A0EFA9" w14:textId="77777777" w:rsidR="00623A0F" w:rsidRPr="004D7F3A" w:rsidRDefault="00623A0F" w:rsidP="00E53B28">
      <w:pPr>
        <w:spacing w:line="360" w:lineRule="auto"/>
        <w:ind w:hanging="360"/>
        <w:jc w:val="both"/>
        <w:rPr>
          <w:rFonts w:asciiTheme="majorHAnsi" w:hAnsiTheme="majorHAnsi"/>
        </w:rPr>
      </w:pPr>
    </w:p>
    <w:p w14:paraId="05823A35" w14:textId="77777777" w:rsidR="00623A0F" w:rsidRPr="004D7F3A" w:rsidRDefault="00623A0F" w:rsidP="00E53B28">
      <w:pPr>
        <w:spacing w:line="360" w:lineRule="auto"/>
        <w:ind w:hanging="360"/>
        <w:jc w:val="both"/>
        <w:rPr>
          <w:rFonts w:asciiTheme="majorHAnsi" w:hAnsiTheme="majorHAnsi"/>
        </w:rPr>
      </w:pPr>
    </w:p>
    <w:p w14:paraId="3F851BF1" w14:textId="77777777" w:rsidR="00623A0F" w:rsidRPr="004D7F3A" w:rsidRDefault="00623A0F" w:rsidP="00E53B28">
      <w:pPr>
        <w:spacing w:line="360" w:lineRule="auto"/>
        <w:ind w:hanging="360"/>
        <w:jc w:val="both"/>
        <w:rPr>
          <w:rFonts w:asciiTheme="majorHAnsi" w:hAnsiTheme="majorHAnsi"/>
        </w:rPr>
      </w:pPr>
    </w:p>
    <w:p w14:paraId="0B766B31" w14:textId="77777777" w:rsidR="00623A0F" w:rsidRPr="004D7F3A" w:rsidRDefault="00623A0F" w:rsidP="00E53B28">
      <w:pPr>
        <w:spacing w:line="360" w:lineRule="auto"/>
        <w:ind w:hanging="360"/>
        <w:jc w:val="both"/>
        <w:rPr>
          <w:rFonts w:asciiTheme="majorHAnsi" w:hAnsiTheme="majorHAnsi"/>
        </w:rPr>
      </w:pPr>
    </w:p>
    <w:p w14:paraId="688FC17E" w14:textId="77777777" w:rsidR="00EE351A" w:rsidRDefault="00EE351A" w:rsidP="00E53B28">
      <w:pPr>
        <w:spacing w:line="360" w:lineRule="auto"/>
        <w:ind w:hanging="360"/>
        <w:jc w:val="both"/>
        <w:rPr>
          <w:rFonts w:asciiTheme="majorHAnsi" w:hAnsiTheme="majorHAnsi"/>
        </w:rPr>
      </w:pPr>
    </w:p>
    <w:p w14:paraId="2A4184DE" w14:textId="77777777" w:rsidR="005339E5" w:rsidRPr="004D7F3A" w:rsidRDefault="005339E5" w:rsidP="00E53B28">
      <w:pPr>
        <w:spacing w:line="360" w:lineRule="auto"/>
        <w:ind w:hanging="360"/>
        <w:jc w:val="both"/>
        <w:rPr>
          <w:rFonts w:asciiTheme="majorHAnsi" w:hAnsiTheme="majorHAnsi"/>
        </w:rPr>
      </w:pPr>
    </w:p>
    <w:p w14:paraId="305770FC" w14:textId="77777777" w:rsidR="00CB2047" w:rsidRPr="004D7F3A" w:rsidRDefault="00CB2047" w:rsidP="00E53B28">
      <w:pPr>
        <w:pStyle w:val="ListParagraph"/>
        <w:spacing w:line="360" w:lineRule="auto"/>
        <w:ind w:left="0"/>
        <w:jc w:val="both"/>
        <w:rPr>
          <w:rFonts w:asciiTheme="majorHAnsi" w:hAnsiTheme="majorHAnsi" w:cs="Times New Roman"/>
          <w:b/>
          <w:bCs/>
          <w:u w:val="single"/>
        </w:rPr>
      </w:pPr>
    </w:p>
    <w:p w14:paraId="62F57503" w14:textId="77777777" w:rsidR="000E45CE" w:rsidRPr="004D7F3A" w:rsidRDefault="000E45CE" w:rsidP="00E53B28">
      <w:pPr>
        <w:pStyle w:val="ListParagraph"/>
        <w:spacing w:line="360" w:lineRule="auto"/>
        <w:ind w:left="0"/>
        <w:jc w:val="both"/>
        <w:rPr>
          <w:rFonts w:asciiTheme="majorHAnsi" w:hAnsiTheme="majorHAnsi" w:cs="Times New Roman"/>
          <w:b/>
          <w:bCs/>
          <w:u w:val="single"/>
        </w:rPr>
      </w:pPr>
    </w:p>
    <w:p w14:paraId="65C0990A" w14:textId="77777777" w:rsidR="009A077B" w:rsidRPr="008E5323" w:rsidRDefault="002604F6" w:rsidP="00E53B28">
      <w:pPr>
        <w:pStyle w:val="Caption"/>
        <w:numPr>
          <w:ilvl w:val="0"/>
          <w:numId w:val="5"/>
        </w:numPr>
        <w:spacing w:after="120" w:line="360" w:lineRule="auto"/>
        <w:rPr>
          <w:rFonts w:asciiTheme="majorHAnsi" w:hAnsiTheme="majorHAnsi" w:cs="Times New Roman"/>
          <w:b/>
          <w:bCs/>
          <w:i w:val="0"/>
          <w:iCs w:val="0"/>
          <w:color w:val="auto"/>
          <w:sz w:val="24"/>
          <w:szCs w:val="24"/>
        </w:rPr>
      </w:pPr>
      <w:r w:rsidRPr="008E5323">
        <w:rPr>
          <w:rFonts w:asciiTheme="majorHAnsi" w:hAnsiTheme="majorHAnsi" w:cs="Times New Roman"/>
          <w:b/>
          <w:bCs/>
          <w:i w:val="0"/>
          <w:iCs w:val="0"/>
          <w:color w:val="auto"/>
          <w:sz w:val="24"/>
          <w:szCs w:val="24"/>
        </w:rPr>
        <w:lastRenderedPageBreak/>
        <w:t>Parameters extracted from JV characterizations for solar cells under different illumination</w:t>
      </w:r>
      <w:bookmarkStart w:id="0" w:name="_Ref211610025"/>
      <w:bookmarkStart w:id="1" w:name="_Ref211603434"/>
      <w:r w:rsidR="009A077B" w:rsidRPr="008E5323">
        <w:rPr>
          <w:rFonts w:asciiTheme="majorHAnsi" w:hAnsiTheme="majorHAnsi" w:cs="Times New Roman"/>
          <w:b/>
          <w:bCs/>
          <w:i w:val="0"/>
          <w:iCs w:val="0"/>
          <w:color w:val="auto"/>
          <w:sz w:val="24"/>
          <w:szCs w:val="24"/>
        </w:rPr>
        <w:t xml:space="preserve"> </w:t>
      </w:r>
    </w:p>
    <w:p w14:paraId="22D2CA64" w14:textId="0DCC6E67" w:rsidR="00277B73" w:rsidRPr="002060C3" w:rsidRDefault="009A077B" w:rsidP="00E53B28">
      <w:pPr>
        <w:pStyle w:val="Caption"/>
        <w:spacing w:after="120" w:line="360" w:lineRule="auto"/>
        <w:jc w:val="both"/>
        <w:rPr>
          <w:rFonts w:asciiTheme="majorHAnsi" w:hAnsiTheme="majorHAnsi" w:cs="Times New Roman"/>
          <w:b/>
          <w:bCs/>
          <w:sz w:val="22"/>
          <w:szCs w:val="22"/>
          <w:u w:val="single"/>
        </w:rPr>
      </w:pPr>
      <w:r w:rsidRPr="002060C3">
        <w:rPr>
          <w:rFonts w:asciiTheme="majorHAnsi" w:hAnsiTheme="majorHAnsi"/>
          <w:b/>
          <w:bCs/>
          <w:sz w:val="22"/>
          <w:szCs w:val="22"/>
        </w:rPr>
        <w:t>Table S</w:t>
      </w:r>
      <w:r w:rsidRPr="002060C3">
        <w:rPr>
          <w:rFonts w:asciiTheme="majorHAnsi" w:hAnsiTheme="majorHAnsi"/>
          <w:b/>
          <w:bCs/>
          <w:sz w:val="22"/>
          <w:szCs w:val="22"/>
        </w:rPr>
        <w:fldChar w:fldCharType="begin"/>
      </w:r>
      <w:r w:rsidRPr="002060C3">
        <w:rPr>
          <w:rFonts w:asciiTheme="majorHAnsi" w:hAnsiTheme="majorHAnsi"/>
          <w:b/>
          <w:bCs/>
          <w:sz w:val="22"/>
          <w:szCs w:val="22"/>
        </w:rPr>
        <w:instrText xml:space="preserve"> SEQ Table \* ARABIC </w:instrText>
      </w:r>
      <w:r w:rsidRPr="002060C3">
        <w:rPr>
          <w:rFonts w:asciiTheme="majorHAnsi" w:hAnsiTheme="majorHAnsi"/>
          <w:b/>
          <w:bCs/>
          <w:sz w:val="22"/>
          <w:szCs w:val="22"/>
        </w:rPr>
        <w:fldChar w:fldCharType="separate"/>
      </w:r>
      <w:r w:rsidRPr="002060C3">
        <w:rPr>
          <w:rFonts w:asciiTheme="majorHAnsi" w:hAnsiTheme="majorHAnsi"/>
          <w:b/>
          <w:bCs/>
          <w:noProof/>
          <w:sz w:val="22"/>
          <w:szCs w:val="22"/>
        </w:rPr>
        <w:t>1</w:t>
      </w:r>
      <w:r w:rsidRPr="002060C3">
        <w:rPr>
          <w:rFonts w:asciiTheme="majorHAnsi" w:hAnsiTheme="majorHAnsi"/>
          <w:b/>
          <w:bCs/>
          <w:sz w:val="22"/>
          <w:szCs w:val="22"/>
        </w:rPr>
        <w:fldChar w:fldCharType="end"/>
      </w:r>
      <w:bookmarkEnd w:id="0"/>
      <w:r w:rsidRPr="002060C3">
        <w:rPr>
          <w:rFonts w:asciiTheme="majorHAnsi" w:hAnsiTheme="majorHAnsi"/>
          <w:b/>
          <w:bCs/>
          <w:sz w:val="22"/>
          <w:szCs w:val="22"/>
        </w:rPr>
        <w:t>:</w:t>
      </w:r>
      <w:r w:rsidRPr="002060C3">
        <w:rPr>
          <w:rFonts w:asciiTheme="majorHAnsi" w:hAnsiTheme="majorHAnsi"/>
          <w:sz w:val="22"/>
          <w:szCs w:val="22"/>
        </w:rPr>
        <w:t xml:space="preserve"> </w:t>
      </w:r>
      <w:bookmarkEnd w:id="1"/>
      <w:r w:rsidR="00F070DA" w:rsidRPr="002060C3">
        <w:rPr>
          <w:rFonts w:asciiTheme="majorHAnsi" w:hAnsiTheme="majorHAnsi"/>
          <w:sz w:val="22"/>
          <w:szCs w:val="22"/>
        </w:rPr>
        <w:t xml:space="preserve">Photovoltaic parameters extracted from J–V measurements of perovskite solar cells incorporating different HTLs under AM1.5G (100 </w:t>
      </w:r>
      <w:proofErr w:type="spellStart"/>
      <w:r w:rsidR="00F070DA" w:rsidRPr="002060C3">
        <w:rPr>
          <w:rFonts w:asciiTheme="majorHAnsi" w:hAnsiTheme="majorHAnsi"/>
          <w:sz w:val="22"/>
          <w:szCs w:val="22"/>
        </w:rPr>
        <w:t>mW</w:t>
      </w:r>
      <w:proofErr w:type="spellEnd"/>
      <w:r w:rsidR="00F070DA" w:rsidRPr="002060C3">
        <w:rPr>
          <w:rFonts w:asciiTheme="majorHAnsi" w:hAnsiTheme="majorHAnsi"/>
          <w:sz w:val="22"/>
          <w:szCs w:val="22"/>
        </w:rPr>
        <w:t xml:space="preserve"> cm</w:t>
      </w:r>
      <w:r w:rsidR="00F070DA" w:rsidRPr="002060C3">
        <w:rPr>
          <w:rFonts w:asciiTheme="majorHAnsi" w:hAnsiTheme="majorHAnsi" w:cs="Cambria Math"/>
          <w:sz w:val="22"/>
          <w:szCs w:val="22"/>
          <w:vertAlign w:val="superscript"/>
        </w:rPr>
        <w:t>-2</w:t>
      </w:r>
      <w:r w:rsidR="00F070DA" w:rsidRPr="002060C3">
        <w:rPr>
          <w:rFonts w:asciiTheme="majorHAnsi" w:hAnsiTheme="majorHAnsi"/>
          <w:sz w:val="22"/>
          <w:szCs w:val="22"/>
        </w:rPr>
        <w:t xml:space="preserve">), indoor illumination (1000 lux, 0.3 </w:t>
      </w:r>
      <w:proofErr w:type="spellStart"/>
      <w:r w:rsidR="00F070DA" w:rsidRPr="002060C3">
        <w:rPr>
          <w:rFonts w:asciiTheme="majorHAnsi" w:hAnsiTheme="majorHAnsi"/>
          <w:sz w:val="22"/>
          <w:szCs w:val="22"/>
        </w:rPr>
        <w:t>mW</w:t>
      </w:r>
      <w:proofErr w:type="spellEnd"/>
      <w:r w:rsidR="00F070DA" w:rsidRPr="002060C3">
        <w:rPr>
          <w:rFonts w:asciiTheme="majorHAnsi" w:hAnsiTheme="majorHAnsi"/>
          <w:sz w:val="22"/>
          <w:szCs w:val="22"/>
        </w:rPr>
        <w:t xml:space="preserve"> cm</w:t>
      </w:r>
      <w:r w:rsidR="00F070DA" w:rsidRPr="002060C3">
        <w:rPr>
          <w:rFonts w:asciiTheme="majorHAnsi" w:hAnsiTheme="majorHAnsi" w:cs="Cambria Math"/>
          <w:sz w:val="22"/>
          <w:szCs w:val="22"/>
          <w:vertAlign w:val="superscript"/>
        </w:rPr>
        <w:t>-2</w:t>
      </w:r>
      <w:r w:rsidR="00F070DA" w:rsidRPr="002060C3">
        <w:rPr>
          <w:rFonts w:asciiTheme="majorHAnsi" w:hAnsiTheme="majorHAnsi"/>
          <w:sz w:val="22"/>
          <w:szCs w:val="22"/>
        </w:rPr>
        <w:t xml:space="preserve">), and 650 nm laser excitation (16 </w:t>
      </w:r>
      <w:proofErr w:type="spellStart"/>
      <w:r w:rsidR="00F070DA" w:rsidRPr="002060C3">
        <w:rPr>
          <w:rFonts w:asciiTheme="majorHAnsi" w:hAnsiTheme="majorHAnsi"/>
          <w:sz w:val="22"/>
          <w:szCs w:val="22"/>
        </w:rPr>
        <w:t>mW</w:t>
      </w:r>
      <w:proofErr w:type="spellEnd"/>
      <w:r w:rsidR="00F070DA" w:rsidRPr="002060C3">
        <w:rPr>
          <w:rFonts w:asciiTheme="majorHAnsi" w:hAnsiTheme="majorHAnsi"/>
          <w:sz w:val="22"/>
          <w:szCs w:val="22"/>
        </w:rPr>
        <w:t xml:space="preserve"> cm</w:t>
      </w:r>
      <w:r w:rsidR="00F070DA" w:rsidRPr="002060C3">
        <w:rPr>
          <w:rFonts w:asciiTheme="majorHAnsi" w:hAnsiTheme="majorHAnsi" w:cs="Cambria Math"/>
          <w:sz w:val="22"/>
          <w:szCs w:val="22"/>
          <w:vertAlign w:val="superscript"/>
        </w:rPr>
        <w:t>-2</w:t>
      </w:r>
      <w:r w:rsidR="00F070DA" w:rsidRPr="002060C3">
        <w:rPr>
          <w:rFonts w:asciiTheme="majorHAnsi" w:hAnsiTheme="majorHAnsi"/>
          <w:sz w:val="22"/>
          <w:szCs w:val="22"/>
        </w:rPr>
        <w:t>).</w:t>
      </w:r>
    </w:p>
    <w:tbl>
      <w:tblPr>
        <w:tblStyle w:val="PlainTable4"/>
        <w:tblW w:w="11625" w:type="dxa"/>
        <w:tblInd w:w="-993" w:type="dxa"/>
        <w:tblLayout w:type="fixed"/>
        <w:tblLook w:val="04A0" w:firstRow="1" w:lastRow="0" w:firstColumn="1" w:lastColumn="0" w:noHBand="0" w:noVBand="1"/>
      </w:tblPr>
      <w:tblGrid>
        <w:gridCol w:w="1560"/>
        <w:gridCol w:w="709"/>
        <w:gridCol w:w="1021"/>
        <w:gridCol w:w="794"/>
        <w:gridCol w:w="671"/>
        <w:gridCol w:w="66"/>
        <w:gridCol w:w="708"/>
        <w:gridCol w:w="993"/>
        <w:gridCol w:w="738"/>
        <w:gridCol w:w="794"/>
        <w:gridCol w:w="168"/>
        <w:gridCol w:w="626"/>
        <w:gridCol w:w="1076"/>
        <w:gridCol w:w="850"/>
        <w:gridCol w:w="284"/>
        <w:gridCol w:w="567"/>
      </w:tblGrid>
      <w:tr w:rsidR="009A077B" w:rsidRPr="004D7F3A" w14:paraId="27715C69" w14:textId="77777777" w:rsidTr="00F070DA">
        <w:trPr>
          <w:gridAfter w:val="1"/>
          <w:cnfStyle w:val="100000000000" w:firstRow="1" w:lastRow="0" w:firstColumn="0" w:lastColumn="0" w:oddVBand="0" w:evenVBand="0" w:oddHBand="0" w:evenHBand="0" w:firstRowFirstColumn="0" w:firstRowLastColumn="0" w:lastRowFirstColumn="0" w:lastRowLastColumn="0"/>
          <w:wAfter w:w="567" w:type="dxa"/>
          <w:trHeight w:val="288"/>
        </w:trPr>
        <w:tc>
          <w:tcPr>
            <w:cnfStyle w:val="001000000000" w:firstRow="0" w:lastRow="0" w:firstColumn="1" w:lastColumn="0" w:oddVBand="0" w:evenVBand="0" w:oddHBand="0" w:evenHBand="0" w:firstRowFirstColumn="0" w:firstRowLastColumn="0" w:lastRowFirstColumn="0" w:lastRowLastColumn="0"/>
            <w:tcW w:w="1560" w:type="dxa"/>
            <w:vMerge w:val="restart"/>
            <w:noWrap/>
            <w:vAlign w:val="center"/>
            <w:hideMark/>
          </w:tcPr>
          <w:p w14:paraId="490D2A16" w14:textId="77777777" w:rsidR="009A077B" w:rsidRPr="004D7F3A" w:rsidRDefault="009A077B" w:rsidP="00E53B28">
            <w:pPr>
              <w:spacing w:after="120" w:line="360" w:lineRule="auto"/>
              <w:rPr>
                <w:rFonts w:asciiTheme="majorHAnsi" w:hAnsiTheme="majorHAnsi"/>
              </w:rPr>
            </w:pPr>
          </w:p>
          <w:p w14:paraId="19145DA5" w14:textId="77777777" w:rsidR="009A077B" w:rsidRPr="004D7F3A" w:rsidRDefault="009A077B" w:rsidP="00E53B28">
            <w:pPr>
              <w:pStyle w:val="SubHead"/>
              <w:spacing w:after="120" w:line="360" w:lineRule="auto"/>
              <w:jc w:val="center"/>
              <w:rPr>
                <w:rFonts w:asciiTheme="majorHAnsi" w:hAnsiTheme="majorHAnsi"/>
                <w:sz w:val="24"/>
                <w:szCs w:val="24"/>
                <w:lang w:val="en-GB"/>
              </w:rPr>
            </w:pPr>
            <w:r w:rsidRPr="004D7F3A">
              <w:rPr>
                <w:rFonts w:asciiTheme="majorHAnsi" w:hAnsiTheme="majorHAnsi"/>
                <w:sz w:val="24"/>
                <w:szCs w:val="24"/>
                <w:lang w:val="en-GB"/>
              </w:rPr>
              <w:t>HTL Type</w:t>
            </w:r>
          </w:p>
        </w:tc>
        <w:tc>
          <w:tcPr>
            <w:tcW w:w="3195" w:type="dxa"/>
            <w:gridSpan w:val="4"/>
            <w:noWrap/>
            <w:vAlign w:val="center"/>
            <w:hideMark/>
          </w:tcPr>
          <w:p w14:paraId="3D5939A4" w14:textId="77777777" w:rsidR="009A077B" w:rsidRPr="004D7F3A" w:rsidRDefault="009A077B" w:rsidP="00E53B28">
            <w:pPr>
              <w:pStyle w:val="SubHead"/>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lang w:val="en-GB"/>
              </w:rPr>
            </w:pPr>
            <w:r w:rsidRPr="004D7F3A">
              <w:rPr>
                <w:rFonts w:asciiTheme="majorHAnsi" w:hAnsiTheme="majorHAnsi"/>
                <w:sz w:val="24"/>
                <w:szCs w:val="24"/>
                <w:lang w:val="en-GB"/>
              </w:rPr>
              <w:t>1 sun AM1.5G (100mW/cm</w:t>
            </w:r>
            <w:r w:rsidRPr="004D7F3A">
              <w:rPr>
                <w:rFonts w:asciiTheme="majorHAnsi" w:hAnsiTheme="majorHAnsi"/>
                <w:sz w:val="24"/>
                <w:szCs w:val="24"/>
                <w:vertAlign w:val="superscript"/>
                <w:lang w:val="en-GB"/>
              </w:rPr>
              <w:t>2</w:t>
            </w:r>
            <w:r w:rsidRPr="004D7F3A">
              <w:rPr>
                <w:rFonts w:asciiTheme="majorHAnsi" w:hAnsiTheme="majorHAnsi"/>
                <w:sz w:val="24"/>
                <w:szCs w:val="24"/>
                <w:lang w:val="en-GB"/>
              </w:rPr>
              <w:t>)</w:t>
            </w:r>
          </w:p>
        </w:tc>
        <w:tc>
          <w:tcPr>
            <w:tcW w:w="3467" w:type="dxa"/>
            <w:gridSpan w:val="6"/>
            <w:noWrap/>
            <w:vAlign w:val="center"/>
            <w:hideMark/>
          </w:tcPr>
          <w:p w14:paraId="230512FC" w14:textId="77777777" w:rsidR="009A077B" w:rsidRPr="004D7F3A" w:rsidRDefault="009A077B" w:rsidP="00E53B28">
            <w:pPr>
              <w:pStyle w:val="SubHead"/>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lang w:val="en-GB"/>
              </w:rPr>
            </w:pPr>
            <w:r w:rsidRPr="004D7F3A">
              <w:rPr>
                <w:rFonts w:asciiTheme="majorHAnsi" w:hAnsiTheme="majorHAnsi"/>
                <w:sz w:val="24"/>
                <w:szCs w:val="24"/>
                <w:lang w:val="en-GB"/>
              </w:rPr>
              <w:t>Indoor Light (1000lux 0.3mW/cm</w:t>
            </w:r>
            <w:r w:rsidRPr="004D7F3A">
              <w:rPr>
                <w:rFonts w:asciiTheme="majorHAnsi" w:hAnsiTheme="majorHAnsi"/>
                <w:sz w:val="24"/>
                <w:szCs w:val="24"/>
                <w:vertAlign w:val="superscript"/>
                <w:lang w:val="en-GB"/>
              </w:rPr>
              <w:t>2</w:t>
            </w:r>
            <w:r w:rsidRPr="004D7F3A">
              <w:rPr>
                <w:rFonts w:asciiTheme="majorHAnsi" w:hAnsiTheme="majorHAnsi"/>
                <w:sz w:val="24"/>
                <w:szCs w:val="24"/>
                <w:lang w:val="en-GB"/>
              </w:rPr>
              <w:t>)</w:t>
            </w:r>
          </w:p>
        </w:tc>
        <w:tc>
          <w:tcPr>
            <w:tcW w:w="2836" w:type="dxa"/>
            <w:gridSpan w:val="4"/>
            <w:noWrap/>
            <w:vAlign w:val="center"/>
            <w:hideMark/>
          </w:tcPr>
          <w:p w14:paraId="14B60F30" w14:textId="77777777" w:rsidR="009A077B" w:rsidRPr="004D7F3A" w:rsidRDefault="009A077B" w:rsidP="00E53B28">
            <w:pPr>
              <w:pStyle w:val="SubHead"/>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lang w:val="en-GB"/>
              </w:rPr>
            </w:pPr>
            <w:r w:rsidRPr="004D7F3A">
              <w:rPr>
                <w:rFonts w:asciiTheme="majorHAnsi" w:hAnsiTheme="majorHAnsi"/>
                <w:sz w:val="24"/>
                <w:szCs w:val="24"/>
                <w:lang w:val="en-GB"/>
              </w:rPr>
              <w:t>650nm Laser (16mW/cm</w:t>
            </w:r>
            <w:r w:rsidRPr="004D7F3A">
              <w:rPr>
                <w:rFonts w:asciiTheme="majorHAnsi" w:hAnsiTheme="majorHAnsi"/>
                <w:sz w:val="24"/>
                <w:szCs w:val="24"/>
                <w:vertAlign w:val="superscript"/>
                <w:lang w:val="en-GB"/>
              </w:rPr>
              <w:t>2</w:t>
            </w:r>
            <w:r w:rsidRPr="004D7F3A">
              <w:rPr>
                <w:rFonts w:asciiTheme="majorHAnsi" w:hAnsiTheme="majorHAnsi"/>
                <w:sz w:val="24"/>
                <w:szCs w:val="24"/>
                <w:lang w:val="en-GB"/>
              </w:rPr>
              <w:t>)</w:t>
            </w:r>
          </w:p>
        </w:tc>
      </w:tr>
      <w:tr w:rsidR="009A077B" w:rsidRPr="004D7F3A" w14:paraId="3386CC38" w14:textId="77777777" w:rsidTr="005B6CB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hideMark/>
          </w:tcPr>
          <w:p w14:paraId="42F2F5EC" w14:textId="77777777" w:rsidR="009A077B" w:rsidRPr="004D7F3A" w:rsidRDefault="009A077B" w:rsidP="00E53B28">
            <w:pPr>
              <w:pStyle w:val="SubHead"/>
              <w:spacing w:after="120" w:line="360" w:lineRule="auto"/>
              <w:jc w:val="both"/>
              <w:rPr>
                <w:rFonts w:asciiTheme="majorHAnsi" w:hAnsiTheme="majorHAnsi"/>
                <w:sz w:val="24"/>
                <w:szCs w:val="24"/>
                <w:lang w:val="en-GB"/>
              </w:rPr>
            </w:pPr>
          </w:p>
        </w:tc>
        <w:tc>
          <w:tcPr>
            <w:tcW w:w="709" w:type="dxa"/>
            <w:tcBorders>
              <w:left w:val="single" w:sz="4" w:space="0" w:color="auto"/>
            </w:tcBorders>
            <w:noWrap/>
            <w:hideMark/>
          </w:tcPr>
          <w:p w14:paraId="7DD12709" w14:textId="77777777" w:rsidR="009A077B" w:rsidRPr="004D7F3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en-GB"/>
              </w:rPr>
            </w:pPr>
            <w:r w:rsidRPr="004D7F3A">
              <w:rPr>
                <w:rFonts w:asciiTheme="majorHAnsi" w:hAnsiTheme="majorHAnsi"/>
                <w:b/>
                <w:bCs/>
                <w:sz w:val="24"/>
                <w:szCs w:val="24"/>
                <w:lang w:val="en-GB"/>
              </w:rPr>
              <w:t xml:space="preserve">Voc </w:t>
            </w:r>
          </w:p>
          <w:p w14:paraId="5BD38F56"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val="en-GB"/>
              </w:rPr>
            </w:pPr>
            <w:r w:rsidRPr="00F070DA">
              <w:rPr>
                <w:rFonts w:asciiTheme="majorHAnsi" w:hAnsiTheme="majorHAnsi"/>
                <w:b/>
                <w:bCs/>
                <w:lang w:val="en-GB"/>
              </w:rPr>
              <w:t>V</w:t>
            </w:r>
          </w:p>
        </w:tc>
        <w:tc>
          <w:tcPr>
            <w:tcW w:w="1021" w:type="dxa"/>
            <w:noWrap/>
          </w:tcPr>
          <w:p w14:paraId="5E2EB4E0" w14:textId="77777777" w:rsidR="009A077B" w:rsidRPr="004D7F3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en-GB"/>
              </w:rPr>
            </w:pPr>
            <w:r w:rsidRPr="004D7F3A">
              <w:rPr>
                <w:rFonts w:asciiTheme="majorHAnsi" w:hAnsiTheme="majorHAnsi"/>
                <w:b/>
                <w:bCs/>
                <w:sz w:val="24"/>
                <w:szCs w:val="24"/>
                <w:lang w:val="en-GB"/>
              </w:rPr>
              <w:t xml:space="preserve">Jsc </w:t>
            </w:r>
            <w:r w:rsidRPr="00F070DA">
              <w:rPr>
                <w:rFonts w:asciiTheme="majorHAnsi" w:hAnsiTheme="majorHAnsi"/>
                <w:b/>
                <w:bCs/>
                <w:lang w:val="en-GB"/>
              </w:rPr>
              <w:t>mA/cm</w:t>
            </w:r>
            <w:r w:rsidRPr="00F070DA">
              <w:rPr>
                <w:rFonts w:asciiTheme="majorHAnsi" w:hAnsiTheme="majorHAnsi"/>
                <w:b/>
                <w:bCs/>
                <w:vertAlign w:val="superscript"/>
                <w:lang w:val="en-GB"/>
              </w:rPr>
              <w:t>2</w:t>
            </w:r>
          </w:p>
        </w:tc>
        <w:tc>
          <w:tcPr>
            <w:tcW w:w="794" w:type="dxa"/>
            <w:noWrap/>
            <w:hideMark/>
          </w:tcPr>
          <w:p w14:paraId="40DDDF06" w14:textId="77777777" w:rsidR="009A077B" w:rsidRPr="004D7F3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en-GB"/>
              </w:rPr>
            </w:pPr>
            <w:r w:rsidRPr="004D7F3A">
              <w:rPr>
                <w:rFonts w:asciiTheme="majorHAnsi" w:hAnsiTheme="majorHAnsi"/>
                <w:b/>
                <w:bCs/>
                <w:sz w:val="24"/>
                <w:szCs w:val="24"/>
                <w:lang w:val="en-GB"/>
              </w:rPr>
              <w:t xml:space="preserve">FF </w:t>
            </w:r>
          </w:p>
          <w:p w14:paraId="1AC1C75E"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val="en-GB"/>
              </w:rPr>
            </w:pPr>
            <w:r w:rsidRPr="00F070DA">
              <w:rPr>
                <w:rFonts w:asciiTheme="majorHAnsi" w:hAnsiTheme="majorHAnsi"/>
                <w:b/>
                <w:bCs/>
                <w:lang w:val="en-GB"/>
              </w:rPr>
              <w:t>%</w:t>
            </w:r>
          </w:p>
        </w:tc>
        <w:tc>
          <w:tcPr>
            <w:tcW w:w="737" w:type="dxa"/>
            <w:gridSpan w:val="2"/>
            <w:tcBorders>
              <w:right w:val="single" w:sz="4" w:space="0" w:color="auto"/>
            </w:tcBorders>
            <w:noWrap/>
            <w:hideMark/>
          </w:tcPr>
          <w:p w14:paraId="170A20FD" w14:textId="77777777" w:rsidR="009A077B" w:rsidRPr="004D7F3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en-GB"/>
              </w:rPr>
            </w:pPr>
            <w:r w:rsidRPr="004D7F3A">
              <w:rPr>
                <w:rFonts w:asciiTheme="majorHAnsi" w:hAnsiTheme="majorHAnsi"/>
                <w:b/>
                <w:bCs/>
                <w:sz w:val="24"/>
                <w:szCs w:val="24"/>
                <w:lang w:val="en-GB"/>
              </w:rPr>
              <w:t xml:space="preserve">PCE </w:t>
            </w:r>
          </w:p>
          <w:p w14:paraId="7AA05A74"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val="en-GB"/>
              </w:rPr>
            </w:pPr>
            <w:r w:rsidRPr="00F070DA">
              <w:rPr>
                <w:rFonts w:asciiTheme="majorHAnsi" w:hAnsiTheme="majorHAnsi"/>
                <w:b/>
                <w:bCs/>
                <w:lang w:val="en-GB"/>
              </w:rPr>
              <w:t>%</w:t>
            </w:r>
          </w:p>
        </w:tc>
        <w:tc>
          <w:tcPr>
            <w:tcW w:w="708" w:type="dxa"/>
            <w:tcBorders>
              <w:left w:val="single" w:sz="4" w:space="0" w:color="auto"/>
            </w:tcBorders>
            <w:noWrap/>
            <w:hideMark/>
          </w:tcPr>
          <w:p w14:paraId="74BB1E75" w14:textId="77777777" w:rsidR="009A077B" w:rsidRPr="004D7F3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en-GB"/>
              </w:rPr>
            </w:pPr>
            <w:r w:rsidRPr="004D7F3A">
              <w:rPr>
                <w:rFonts w:asciiTheme="majorHAnsi" w:hAnsiTheme="majorHAnsi"/>
                <w:b/>
                <w:bCs/>
                <w:sz w:val="24"/>
                <w:szCs w:val="24"/>
                <w:lang w:val="en-GB"/>
              </w:rPr>
              <w:t xml:space="preserve">Voc </w:t>
            </w:r>
          </w:p>
          <w:p w14:paraId="498C5455"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val="en-GB"/>
              </w:rPr>
            </w:pPr>
            <w:r w:rsidRPr="00F070DA">
              <w:rPr>
                <w:rFonts w:asciiTheme="majorHAnsi" w:hAnsiTheme="majorHAnsi"/>
                <w:b/>
                <w:bCs/>
                <w:lang w:val="en-GB"/>
              </w:rPr>
              <w:t>V</w:t>
            </w:r>
          </w:p>
        </w:tc>
        <w:tc>
          <w:tcPr>
            <w:tcW w:w="993" w:type="dxa"/>
            <w:noWrap/>
            <w:hideMark/>
          </w:tcPr>
          <w:p w14:paraId="278C1506" w14:textId="77777777" w:rsidR="009A077B" w:rsidRPr="004D7F3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en-GB"/>
              </w:rPr>
            </w:pPr>
            <w:r w:rsidRPr="004D7F3A">
              <w:rPr>
                <w:rFonts w:asciiTheme="majorHAnsi" w:hAnsiTheme="majorHAnsi"/>
                <w:b/>
                <w:bCs/>
                <w:sz w:val="24"/>
                <w:szCs w:val="24"/>
                <w:lang w:val="en-GB"/>
              </w:rPr>
              <w:t xml:space="preserve">Jsc </w:t>
            </w:r>
            <w:r w:rsidRPr="00F070DA">
              <w:rPr>
                <w:rFonts w:asciiTheme="majorHAnsi" w:hAnsiTheme="majorHAnsi"/>
                <w:b/>
                <w:bCs/>
                <w:lang w:val="en-GB"/>
              </w:rPr>
              <w:t>mA/cm</w:t>
            </w:r>
            <w:r w:rsidRPr="00F070DA">
              <w:rPr>
                <w:rFonts w:asciiTheme="majorHAnsi" w:hAnsiTheme="majorHAnsi"/>
                <w:b/>
                <w:bCs/>
                <w:vertAlign w:val="superscript"/>
                <w:lang w:val="en-GB"/>
              </w:rPr>
              <w:t>2</w:t>
            </w:r>
          </w:p>
        </w:tc>
        <w:tc>
          <w:tcPr>
            <w:tcW w:w="738" w:type="dxa"/>
            <w:noWrap/>
            <w:hideMark/>
          </w:tcPr>
          <w:p w14:paraId="440F6058" w14:textId="77777777" w:rsidR="009A077B" w:rsidRPr="004D7F3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en-GB"/>
              </w:rPr>
            </w:pPr>
            <w:r w:rsidRPr="004D7F3A">
              <w:rPr>
                <w:rFonts w:asciiTheme="majorHAnsi" w:hAnsiTheme="majorHAnsi"/>
                <w:b/>
                <w:bCs/>
                <w:sz w:val="24"/>
                <w:szCs w:val="24"/>
                <w:lang w:val="en-GB"/>
              </w:rPr>
              <w:t xml:space="preserve">FF </w:t>
            </w:r>
          </w:p>
          <w:p w14:paraId="1CEFEFA8"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val="en-GB"/>
              </w:rPr>
            </w:pPr>
            <w:r w:rsidRPr="00F070DA">
              <w:rPr>
                <w:rFonts w:asciiTheme="majorHAnsi" w:hAnsiTheme="majorHAnsi"/>
                <w:b/>
                <w:bCs/>
                <w:lang w:val="en-GB"/>
              </w:rPr>
              <w:t>%</w:t>
            </w:r>
          </w:p>
        </w:tc>
        <w:tc>
          <w:tcPr>
            <w:tcW w:w="794" w:type="dxa"/>
            <w:tcBorders>
              <w:right w:val="single" w:sz="4" w:space="0" w:color="auto"/>
            </w:tcBorders>
            <w:noWrap/>
            <w:hideMark/>
          </w:tcPr>
          <w:p w14:paraId="3BC9B1C9" w14:textId="77777777" w:rsidR="009A077B" w:rsidRPr="004D7F3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en-GB"/>
              </w:rPr>
            </w:pPr>
            <w:r w:rsidRPr="004D7F3A">
              <w:rPr>
                <w:rFonts w:asciiTheme="majorHAnsi" w:hAnsiTheme="majorHAnsi"/>
                <w:b/>
                <w:bCs/>
                <w:sz w:val="24"/>
                <w:szCs w:val="24"/>
                <w:lang w:val="en-GB"/>
              </w:rPr>
              <w:t xml:space="preserve">PCE </w:t>
            </w:r>
          </w:p>
          <w:p w14:paraId="43B636DF"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val="en-GB"/>
              </w:rPr>
            </w:pPr>
            <w:r w:rsidRPr="00F070DA">
              <w:rPr>
                <w:rFonts w:asciiTheme="majorHAnsi" w:hAnsiTheme="majorHAnsi"/>
                <w:b/>
                <w:bCs/>
                <w:lang w:val="en-GB"/>
              </w:rPr>
              <w:t>%</w:t>
            </w:r>
          </w:p>
        </w:tc>
        <w:tc>
          <w:tcPr>
            <w:tcW w:w="794" w:type="dxa"/>
            <w:gridSpan w:val="2"/>
            <w:tcBorders>
              <w:left w:val="single" w:sz="4" w:space="0" w:color="auto"/>
            </w:tcBorders>
            <w:noWrap/>
            <w:hideMark/>
          </w:tcPr>
          <w:p w14:paraId="4063F476" w14:textId="77777777" w:rsidR="009A077B" w:rsidRPr="004D7F3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en-GB"/>
              </w:rPr>
            </w:pPr>
            <w:r w:rsidRPr="004D7F3A">
              <w:rPr>
                <w:rFonts w:asciiTheme="majorHAnsi" w:hAnsiTheme="majorHAnsi"/>
                <w:b/>
                <w:bCs/>
                <w:sz w:val="24"/>
                <w:szCs w:val="24"/>
                <w:lang w:val="en-GB"/>
              </w:rPr>
              <w:t xml:space="preserve">Voc </w:t>
            </w:r>
          </w:p>
          <w:p w14:paraId="55A61879"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val="en-GB"/>
              </w:rPr>
            </w:pPr>
            <w:r w:rsidRPr="00F070DA">
              <w:rPr>
                <w:rFonts w:asciiTheme="majorHAnsi" w:hAnsiTheme="majorHAnsi"/>
                <w:b/>
                <w:bCs/>
                <w:lang w:val="en-GB"/>
              </w:rPr>
              <w:t>V</w:t>
            </w:r>
          </w:p>
        </w:tc>
        <w:tc>
          <w:tcPr>
            <w:tcW w:w="1076" w:type="dxa"/>
            <w:noWrap/>
            <w:hideMark/>
          </w:tcPr>
          <w:p w14:paraId="6005D058" w14:textId="77777777" w:rsidR="009A077B" w:rsidRPr="004D7F3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en-GB"/>
              </w:rPr>
            </w:pPr>
            <w:r w:rsidRPr="004D7F3A">
              <w:rPr>
                <w:rFonts w:asciiTheme="majorHAnsi" w:hAnsiTheme="majorHAnsi"/>
                <w:b/>
                <w:bCs/>
                <w:sz w:val="24"/>
                <w:szCs w:val="24"/>
                <w:lang w:val="en-GB"/>
              </w:rPr>
              <w:t xml:space="preserve">Jsc </w:t>
            </w:r>
            <w:r w:rsidRPr="005B6CB5">
              <w:rPr>
                <w:rFonts w:asciiTheme="majorHAnsi" w:hAnsiTheme="majorHAnsi"/>
                <w:b/>
                <w:bCs/>
                <w:lang w:val="en-GB"/>
              </w:rPr>
              <w:t>mA/cm</w:t>
            </w:r>
            <w:r w:rsidRPr="005B6CB5">
              <w:rPr>
                <w:rFonts w:asciiTheme="majorHAnsi" w:hAnsiTheme="majorHAnsi"/>
                <w:b/>
                <w:bCs/>
                <w:vertAlign w:val="superscript"/>
                <w:lang w:val="en-GB"/>
              </w:rPr>
              <w:t>2</w:t>
            </w:r>
          </w:p>
        </w:tc>
        <w:tc>
          <w:tcPr>
            <w:tcW w:w="850" w:type="dxa"/>
            <w:noWrap/>
            <w:hideMark/>
          </w:tcPr>
          <w:p w14:paraId="5A169982" w14:textId="77777777" w:rsidR="009A077B" w:rsidRPr="004D7F3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en-GB"/>
              </w:rPr>
            </w:pPr>
            <w:r w:rsidRPr="004D7F3A">
              <w:rPr>
                <w:rFonts w:asciiTheme="majorHAnsi" w:hAnsiTheme="majorHAnsi"/>
                <w:b/>
                <w:bCs/>
                <w:sz w:val="24"/>
                <w:szCs w:val="24"/>
                <w:lang w:val="en-GB"/>
              </w:rPr>
              <w:t xml:space="preserve">FF </w:t>
            </w:r>
          </w:p>
          <w:p w14:paraId="300BEC64" w14:textId="77777777" w:rsidR="009A077B" w:rsidRPr="004D7F3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en-GB"/>
              </w:rPr>
            </w:pPr>
            <w:r w:rsidRPr="004D7F3A">
              <w:rPr>
                <w:rFonts w:asciiTheme="majorHAnsi" w:hAnsiTheme="majorHAnsi"/>
                <w:b/>
                <w:bCs/>
                <w:sz w:val="24"/>
                <w:szCs w:val="24"/>
                <w:lang w:val="en-GB"/>
              </w:rPr>
              <w:t>%</w:t>
            </w:r>
          </w:p>
        </w:tc>
        <w:tc>
          <w:tcPr>
            <w:tcW w:w="851" w:type="dxa"/>
            <w:gridSpan w:val="2"/>
            <w:tcBorders>
              <w:right w:val="single" w:sz="4" w:space="0" w:color="auto"/>
            </w:tcBorders>
            <w:noWrap/>
            <w:hideMark/>
          </w:tcPr>
          <w:p w14:paraId="54787BD6" w14:textId="77777777" w:rsidR="009A077B" w:rsidRPr="004D7F3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en-GB"/>
              </w:rPr>
            </w:pPr>
            <w:r w:rsidRPr="004D7F3A">
              <w:rPr>
                <w:rFonts w:asciiTheme="majorHAnsi" w:hAnsiTheme="majorHAnsi"/>
                <w:b/>
                <w:bCs/>
                <w:sz w:val="24"/>
                <w:szCs w:val="24"/>
                <w:lang w:val="en-GB"/>
              </w:rPr>
              <w:t xml:space="preserve">PCE </w:t>
            </w:r>
          </w:p>
          <w:p w14:paraId="2D33B3D5"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val="en-GB"/>
              </w:rPr>
            </w:pPr>
            <w:r w:rsidRPr="00F070DA">
              <w:rPr>
                <w:rFonts w:asciiTheme="majorHAnsi" w:hAnsiTheme="majorHAnsi"/>
                <w:b/>
                <w:bCs/>
                <w:lang w:val="en-GB"/>
              </w:rPr>
              <w:t>%</w:t>
            </w:r>
          </w:p>
        </w:tc>
      </w:tr>
      <w:tr w:rsidR="009A077B" w:rsidRPr="004D7F3A" w14:paraId="773E6397" w14:textId="77777777" w:rsidTr="005B6CB5">
        <w:trPr>
          <w:trHeight w:val="288"/>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auto"/>
            </w:tcBorders>
            <w:noWrap/>
            <w:hideMark/>
          </w:tcPr>
          <w:p w14:paraId="55555204" w14:textId="77777777" w:rsidR="009A077B" w:rsidRPr="00F070DA" w:rsidRDefault="009A077B" w:rsidP="00E53B28">
            <w:pPr>
              <w:pStyle w:val="SubHead"/>
              <w:spacing w:after="120" w:line="360" w:lineRule="auto"/>
              <w:jc w:val="both"/>
              <w:rPr>
                <w:rFonts w:asciiTheme="majorHAnsi" w:hAnsiTheme="majorHAnsi"/>
                <w:b w:val="0"/>
                <w:bCs w:val="0"/>
                <w:lang w:val="en-GB"/>
              </w:rPr>
            </w:pPr>
            <w:r w:rsidRPr="00F070DA">
              <w:rPr>
                <w:rFonts w:asciiTheme="majorHAnsi" w:hAnsiTheme="majorHAnsi"/>
                <w:b w:val="0"/>
                <w:bCs w:val="0"/>
                <w:lang w:val="en-GB"/>
              </w:rPr>
              <w:t>PEDOT: PSS</w:t>
            </w:r>
          </w:p>
        </w:tc>
        <w:tc>
          <w:tcPr>
            <w:tcW w:w="709" w:type="dxa"/>
            <w:tcBorders>
              <w:left w:val="single" w:sz="4" w:space="0" w:color="auto"/>
            </w:tcBorders>
            <w:noWrap/>
            <w:hideMark/>
          </w:tcPr>
          <w:p w14:paraId="45383CD8"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rPr>
              <w:t>0.76</w:t>
            </w:r>
          </w:p>
        </w:tc>
        <w:tc>
          <w:tcPr>
            <w:tcW w:w="1021" w:type="dxa"/>
            <w:noWrap/>
            <w:hideMark/>
          </w:tcPr>
          <w:p w14:paraId="1982F8B2"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rPr>
              <w:t>22.10</w:t>
            </w:r>
          </w:p>
        </w:tc>
        <w:tc>
          <w:tcPr>
            <w:tcW w:w="794" w:type="dxa"/>
            <w:noWrap/>
            <w:hideMark/>
          </w:tcPr>
          <w:p w14:paraId="508B906A"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rPr>
              <w:t>74.99</w:t>
            </w:r>
          </w:p>
        </w:tc>
        <w:tc>
          <w:tcPr>
            <w:tcW w:w="737" w:type="dxa"/>
            <w:gridSpan w:val="2"/>
            <w:tcBorders>
              <w:right w:val="single" w:sz="4" w:space="0" w:color="auto"/>
            </w:tcBorders>
            <w:noWrap/>
            <w:hideMark/>
          </w:tcPr>
          <w:p w14:paraId="153024DA"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rPr>
              <w:t>12.65</w:t>
            </w:r>
          </w:p>
        </w:tc>
        <w:tc>
          <w:tcPr>
            <w:tcW w:w="708" w:type="dxa"/>
            <w:tcBorders>
              <w:left w:val="single" w:sz="4" w:space="0" w:color="auto"/>
            </w:tcBorders>
            <w:noWrap/>
            <w:vAlign w:val="bottom"/>
            <w:hideMark/>
          </w:tcPr>
          <w:p w14:paraId="730279B6"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cs="Arial"/>
              </w:rPr>
              <w:t>0.75</w:t>
            </w:r>
          </w:p>
        </w:tc>
        <w:tc>
          <w:tcPr>
            <w:tcW w:w="993" w:type="dxa"/>
            <w:noWrap/>
            <w:vAlign w:val="bottom"/>
            <w:hideMark/>
          </w:tcPr>
          <w:p w14:paraId="41043600"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cs="Arial"/>
              </w:rPr>
              <w:t>0.13</w:t>
            </w:r>
          </w:p>
        </w:tc>
        <w:tc>
          <w:tcPr>
            <w:tcW w:w="738" w:type="dxa"/>
            <w:noWrap/>
            <w:vAlign w:val="bottom"/>
            <w:hideMark/>
          </w:tcPr>
          <w:p w14:paraId="599873A4"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cs="Arial"/>
              </w:rPr>
              <w:t>65.00</w:t>
            </w:r>
          </w:p>
        </w:tc>
        <w:tc>
          <w:tcPr>
            <w:tcW w:w="794" w:type="dxa"/>
            <w:tcBorders>
              <w:right w:val="single" w:sz="4" w:space="0" w:color="auto"/>
            </w:tcBorders>
            <w:noWrap/>
            <w:vAlign w:val="bottom"/>
            <w:hideMark/>
          </w:tcPr>
          <w:p w14:paraId="48994C05"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cs="Arial"/>
              </w:rPr>
              <w:t>20.66</w:t>
            </w:r>
          </w:p>
        </w:tc>
        <w:tc>
          <w:tcPr>
            <w:tcW w:w="794" w:type="dxa"/>
            <w:gridSpan w:val="2"/>
            <w:tcBorders>
              <w:left w:val="single" w:sz="4" w:space="0" w:color="auto"/>
            </w:tcBorders>
            <w:noWrap/>
            <w:vAlign w:val="bottom"/>
            <w:hideMark/>
          </w:tcPr>
          <w:p w14:paraId="3C0635CE"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cs="Arial"/>
              </w:rPr>
              <w:t>0.70</w:t>
            </w:r>
          </w:p>
        </w:tc>
        <w:tc>
          <w:tcPr>
            <w:tcW w:w="1076" w:type="dxa"/>
            <w:noWrap/>
            <w:vAlign w:val="bottom"/>
            <w:hideMark/>
          </w:tcPr>
          <w:p w14:paraId="554AFF72"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cs="Arial"/>
              </w:rPr>
              <w:t>9.45</w:t>
            </w:r>
          </w:p>
        </w:tc>
        <w:tc>
          <w:tcPr>
            <w:tcW w:w="850" w:type="dxa"/>
            <w:noWrap/>
            <w:vAlign w:val="bottom"/>
            <w:hideMark/>
          </w:tcPr>
          <w:p w14:paraId="39368990"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cs="Arial"/>
              </w:rPr>
              <w:t>60.41</w:t>
            </w:r>
          </w:p>
        </w:tc>
        <w:tc>
          <w:tcPr>
            <w:tcW w:w="851" w:type="dxa"/>
            <w:gridSpan w:val="2"/>
            <w:tcBorders>
              <w:right w:val="single" w:sz="4" w:space="0" w:color="auto"/>
            </w:tcBorders>
            <w:noWrap/>
            <w:vAlign w:val="bottom"/>
            <w:hideMark/>
          </w:tcPr>
          <w:p w14:paraId="7C482849"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cs="Arial"/>
              </w:rPr>
              <w:t>30.73</w:t>
            </w:r>
          </w:p>
        </w:tc>
      </w:tr>
      <w:tr w:rsidR="009A077B" w:rsidRPr="004D7F3A" w14:paraId="05A610E8" w14:textId="77777777" w:rsidTr="005B6CB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auto"/>
            </w:tcBorders>
            <w:noWrap/>
          </w:tcPr>
          <w:p w14:paraId="2F7F876D" w14:textId="77777777" w:rsidR="009A077B" w:rsidRPr="00F070DA" w:rsidRDefault="009A077B" w:rsidP="00E53B28">
            <w:pPr>
              <w:pStyle w:val="SubHead"/>
              <w:spacing w:after="120" w:line="360" w:lineRule="auto"/>
              <w:jc w:val="both"/>
              <w:rPr>
                <w:rFonts w:asciiTheme="majorHAnsi" w:hAnsiTheme="majorHAnsi"/>
                <w:b w:val="0"/>
                <w:bCs w:val="0"/>
                <w:lang w:val="en-GB"/>
              </w:rPr>
            </w:pPr>
            <w:r w:rsidRPr="00F070DA">
              <w:rPr>
                <w:rFonts w:asciiTheme="majorHAnsi" w:hAnsiTheme="majorHAnsi"/>
                <w:b w:val="0"/>
                <w:bCs w:val="0"/>
                <w:lang w:val="en-GB"/>
              </w:rPr>
              <w:t>MeO-2PACz</w:t>
            </w:r>
          </w:p>
        </w:tc>
        <w:tc>
          <w:tcPr>
            <w:tcW w:w="709" w:type="dxa"/>
            <w:tcBorders>
              <w:left w:val="single" w:sz="4" w:space="0" w:color="auto"/>
            </w:tcBorders>
            <w:noWrap/>
            <w:vAlign w:val="bottom"/>
          </w:tcPr>
          <w:p w14:paraId="4A7B25E8"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1.02</w:t>
            </w:r>
          </w:p>
        </w:tc>
        <w:tc>
          <w:tcPr>
            <w:tcW w:w="1021" w:type="dxa"/>
            <w:noWrap/>
            <w:vAlign w:val="bottom"/>
          </w:tcPr>
          <w:p w14:paraId="716A0FCB"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25.49</w:t>
            </w:r>
          </w:p>
        </w:tc>
        <w:tc>
          <w:tcPr>
            <w:tcW w:w="794" w:type="dxa"/>
            <w:noWrap/>
            <w:vAlign w:val="bottom"/>
          </w:tcPr>
          <w:p w14:paraId="0CECC8C6"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75.25</w:t>
            </w:r>
          </w:p>
        </w:tc>
        <w:tc>
          <w:tcPr>
            <w:tcW w:w="737" w:type="dxa"/>
            <w:gridSpan w:val="2"/>
            <w:tcBorders>
              <w:right w:val="single" w:sz="4" w:space="0" w:color="auto"/>
            </w:tcBorders>
            <w:noWrap/>
            <w:vAlign w:val="bottom"/>
          </w:tcPr>
          <w:p w14:paraId="72DF084D"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19.49</w:t>
            </w:r>
          </w:p>
        </w:tc>
        <w:tc>
          <w:tcPr>
            <w:tcW w:w="708" w:type="dxa"/>
            <w:tcBorders>
              <w:left w:val="single" w:sz="4" w:space="0" w:color="auto"/>
            </w:tcBorders>
            <w:noWrap/>
            <w:vAlign w:val="bottom"/>
          </w:tcPr>
          <w:p w14:paraId="714E70E6"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0.82</w:t>
            </w:r>
          </w:p>
        </w:tc>
        <w:tc>
          <w:tcPr>
            <w:tcW w:w="993" w:type="dxa"/>
            <w:noWrap/>
            <w:vAlign w:val="bottom"/>
          </w:tcPr>
          <w:p w14:paraId="694E1C5E"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0.14</w:t>
            </w:r>
          </w:p>
        </w:tc>
        <w:tc>
          <w:tcPr>
            <w:tcW w:w="738" w:type="dxa"/>
            <w:noWrap/>
            <w:vAlign w:val="bottom"/>
          </w:tcPr>
          <w:p w14:paraId="74A322E1"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80.68</w:t>
            </w:r>
          </w:p>
        </w:tc>
        <w:tc>
          <w:tcPr>
            <w:tcW w:w="794" w:type="dxa"/>
            <w:tcBorders>
              <w:right w:val="single" w:sz="4" w:space="0" w:color="auto"/>
            </w:tcBorders>
            <w:noWrap/>
            <w:vAlign w:val="bottom"/>
          </w:tcPr>
          <w:p w14:paraId="317DFEAF"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30.10</w:t>
            </w:r>
          </w:p>
        </w:tc>
        <w:tc>
          <w:tcPr>
            <w:tcW w:w="794" w:type="dxa"/>
            <w:gridSpan w:val="2"/>
            <w:tcBorders>
              <w:left w:val="single" w:sz="4" w:space="0" w:color="auto"/>
            </w:tcBorders>
            <w:noWrap/>
            <w:vAlign w:val="bottom"/>
          </w:tcPr>
          <w:p w14:paraId="49A05D9C"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0.98</w:t>
            </w:r>
          </w:p>
        </w:tc>
        <w:tc>
          <w:tcPr>
            <w:tcW w:w="1076" w:type="dxa"/>
            <w:noWrap/>
            <w:vAlign w:val="bottom"/>
          </w:tcPr>
          <w:p w14:paraId="283401F0"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10.05</w:t>
            </w:r>
          </w:p>
        </w:tc>
        <w:tc>
          <w:tcPr>
            <w:tcW w:w="850" w:type="dxa"/>
            <w:noWrap/>
            <w:vAlign w:val="bottom"/>
          </w:tcPr>
          <w:p w14:paraId="6E3B2CFA"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71.27</w:t>
            </w:r>
          </w:p>
        </w:tc>
        <w:tc>
          <w:tcPr>
            <w:tcW w:w="851" w:type="dxa"/>
            <w:gridSpan w:val="2"/>
            <w:tcBorders>
              <w:right w:val="single" w:sz="4" w:space="0" w:color="auto"/>
            </w:tcBorders>
            <w:noWrap/>
            <w:vAlign w:val="bottom"/>
          </w:tcPr>
          <w:p w14:paraId="6F395606"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54.00</w:t>
            </w:r>
          </w:p>
        </w:tc>
      </w:tr>
      <w:tr w:rsidR="009A077B" w:rsidRPr="004D7F3A" w14:paraId="4580853B" w14:textId="77777777" w:rsidTr="005B6CB5">
        <w:trPr>
          <w:trHeight w:val="288"/>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auto"/>
            </w:tcBorders>
            <w:noWrap/>
            <w:hideMark/>
          </w:tcPr>
          <w:p w14:paraId="4EE336F9" w14:textId="77777777" w:rsidR="009A077B" w:rsidRPr="00F070DA" w:rsidRDefault="009A077B" w:rsidP="00E53B28">
            <w:pPr>
              <w:pStyle w:val="SubHead"/>
              <w:spacing w:after="120" w:line="360" w:lineRule="auto"/>
              <w:jc w:val="both"/>
              <w:rPr>
                <w:rFonts w:asciiTheme="majorHAnsi" w:hAnsiTheme="majorHAnsi"/>
                <w:b w:val="0"/>
                <w:bCs w:val="0"/>
                <w:lang w:val="en-GB"/>
              </w:rPr>
            </w:pPr>
            <w:r w:rsidRPr="00F070DA">
              <w:rPr>
                <w:rFonts w:asciiTheme="majorHAnsi" w:hAnsiTheme="majorHAnsi"/>
                <w:b w:val="0"/>
                <w:bCs w:val="0"/>
                <w:lang w:val="en-GB"/>
              </w:rPr>
              <w:t>PTAA</w:t>
            </w:r>
          </w:p>
        </w:tc>
        <w:tc>
          <w:tcPr>
            <w:tcW w:w="709" w:type="dxa"/>
            <w:tcBorders>
              <w:left w:val="single" w:sz="4" w:space="0" w:color="auto"/>
            </w:tcBorders>
            <w:noWrap/>
            <w:hideMark/>
          </w:tcPr>
          <w:p w14:paraId="7DC0CC1D"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070DA">
              <w:rPr>
                <w:rFonts w:asciiTheme="majorHAnsi" w:hAnsiTheme="majorHAnsi"/>
              </w:rPr>
              <w:t>0.90</w:t>
            </w:r>
          </w:p>
        </w:tc>
        <w:tc>
          <w:tcPr>
            <w:tcW w:w="1021" w:type="dxa"/>
            <w:noWrap/>
            <w:hideMark/>
          </w:tcPr>
          <w:p w14:paraId="686376AF"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070DA">
              <w:rPr>
                <w:rFonts w:asciiTheme="majorHAnsi" w:hAnsiTheme="majorHAnsi"/>
              </w:rPr>
              <w:t>25.22</w:t>
            </w:r>
          </w:p>
        </w:tc>
        <w:tc>
          <w:tcPr>
            <w:tcW w:w="794" w:type="dxa"/>
            <w:noWrap/>
            <w:hideMark/>
          </w:tcPr>
          <w:p w14:paraId="4ACD050B"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070DA">
              <w:rPr>
                <w:rFonts w:asciiTheme="majorHAnsi" w:hAnsiTheme="majorHAnsi"/>
              </w:rPr>
              <w:t>63.87</w:t>
            </w:r>
          </w:p>
        </w:tc>
        <w:tc>
          <w:tcPr>
            <w:tcW w:w="737" w:type="dxa"/>
            <w:gridSpan w:val="2"/>
            <w:tcBorders>
              <w:right w:val="single" w:sz="4" w:space="0" w:color="auto"/>
            </w:tcBorders>
            <w:noWrap/>
            <w:hideMark/>
          </w:tcPr>
          <w:p w14:paraId="36475F4C"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070DA">
              <w:rPr>
                <w:rFonts w:asciiTheme="majorHAnsi" w:hAnsiTheme="majorHAnsi"/>
              </w:rPr>
              <w:t>14.56</w:t>
            </w:r>
          </w:p>
        </w:tc>
        <w:tc>
          <w:tcPr>
            <w:tcW w:w="708" w:type="dxa"/>
            <w:tcBorders>
              <w:left w:val="single" w:sz="4" w:space="0" w:color="auto"/>
            </w:tcBorders>
            <w:noWrap/>
            <w:vAlign w:val="bottom"/>
            <w:hideMark/>
          </w:tcPr>
          <w:p w14:paraId="6B1FBA74"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cs="Arial"/>
              </w:rPr>
              <w:t>0.74</w:t>
            </w:r>
          </w:p>
        </w:tc>
        <w:tc>
          <w:tcPr>
            <w:tcW w:w="993" w:type="dxa"/>
            <w:noWrap/>
            <w:vAlign w:val="bottom"/>
            <w:hideMark/>
          </w:tcPr>
          <w:p w14:paraId="3B40D7CC"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cs="Arial"/>
              </w:rPr>
              <w:t>0.14</w:t>
            </w:r>
          </w:p>
        </w:tc>
        <w:tc>
          <w:tcPr>
            <w:tcW w:w="738" w:type="dxa"/>
            <w:noWrap/>
            <w:vAlign w:val="bottom"/>
            <w:hideMark/>
          </w:tcPr>
          <w:p w14:paraId="41A37710"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cs="Arial"/>
              </w:rPr>
              <w:t>65.67</w:t>
            </w:r>
          </w:p>
        </w:tc>
        <w:tc>
          <w:tcPr>
            <w:tcW w:w="794" w:type="dxa"/>
            <w:tcBorders>
              <w:right w:val="single" w:sz="4" w:space="0" w:color="auto"/>
            </w:tcBorders>
            <w:noWrap/>
            <w:vAlign w:val="bottom"/>
            <w:hideMark/>
          </w:tcPr>
          <w:p w14:paraId="371B855E"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cs="Arial"/>
              </w:rPr>
              <w:t>22.56</w:t>
            </w:r>
          </w:p>
        </w:tc>
        <w:tc>
          <w:tcPr>
            <w:tcW w:w="794" w:type="dxa"/>
            <w:gridSpan w:val="2"/>
            <w:tcBorders>
              <w:left w:val="single" w:sz="4" w:space="0" w:color="auto"/>
            </w:tcBorders>
            <w:noWrap/>
            <w:vAlign w:val="bottom"/>
            <w:hideMark/>
          </w:tcPr>
          <w:p w14:paraId="35D837D9"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cs="Arial"/>
              </w:rPr>
              <w:t>0.92</w:t>
            </w:r>
          </w:p>
        </w:tc>
        <w:tc>
          <w:tcPr>
            <w:tcW w:w="1076" w:type="dxa"/>
            <w:noWrap/>
            <w:vAlign w:val="bottom"/>
            <w:hideMark/>
          </w:tcPr>
          <w:p w14:paraId="42E34B5C"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cs="Arial"/>
              </w:rPr>
              <w:t>8.47</w:t>
            </w:r>
          </w:p>
        </w:tc>
        <w:tc>
          <w:tcPr>
            <w:tcW w:w="850" w:type="dxa"/>
            <w:noWrap/>
            <w:vAlign w:val="bottom"/>
            <w:hideMark/>
          </w:tcPr>
          <w:p w14:paraId="24CEE5DC"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cs="Arial"/>
              </w:rPr>
              <w:t>56.93</w:t>
            </w:r>
          </w:p>
        </w:tc>
        <w:tc>
          <w:tcPr>
            <w:tcW w:w="851" w:type="dxa"/>
            <w:gridSpan w:val="2"/>
            <w:tcBorders>
              <w:right w:val="single" w:sz="4" w:space="0" w:color="auto"/>
            </w:tcBorders>
            <w:noWrap/>
            <w:vAlign w:val="bottom"/>
            <w:hideMark/>
          </w:tcPr>
          <w:p w14:paraId="3054EFCE" w14:textId="77777777" w:rsidR="009A077B" w:rsidRPr="00F070DA" w:rsidRDefault="009A077B" w:rsidP="00E53B28">
            <w:pPr>
              <w:pStyle w:val="SubHead"/>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GB"/>
              </w:rPr>
            </w:pPr>
            <w:r w:rsidRPr="00F070DA">
              <w:rPr>
                <w:rFonts w:asciiTheme="majorHAnsi" w:hAnsiTheme="majorHAnsi" w:cs="Arial"/>
              </w:rPr>
              <w:t>33.96</w:t>
            </w:r>
          </w:p>
        </w:tc>
      </w:tr>
      <w:tr w:rsidR="009A077B" w:rsidRPr="004D7F3A" w14:paraId="30210F2D" w14:textId="77777777" w:rsidTr="005B6CB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auto"/>
            </w:tcBorders>
            <w:noWrap/>
            <w:hideMark/>
          </w:tcPr>
          <w:p w14:paraId="6E8408A4" w14:textId="77777777" w:rsidR="009A077B" w:rsidRPr="00F070DA" w:rsidRDefault="009A077B" w:rsidP="00E53B28">
            <w:pPr>
              <w:pStyle w:val="SubHead"/>
              <w:spacing w:after="120" w:line="360" w:lineRule="auto"/>
              <w:jc w:val="both"/>
              <w:rPr>
                <w:rFonts w:asciiTheme="majorHAnsi" w:hAnsiTheme="majorHAnsi"/>
                <w:b w:val="0"/>
                <w:bCs w:val="0"/>
                <w:lang w:val="en-GB"/>
              </w:rPr>
            </w:pPr>
            <w:r w:rsidRPr="00F070DA">
              <w:rPr>
                <w:rFonts w:asciiTheme="majorHAnsi" w:hAnsiTheme="majorHAnsi"/>
                <w:b w:val="0"/>
                <w:bCs w:val="0"/>
                <w:lang w:val="en-GB"/>
              </w:rPr>
              <w:t>PTAA: F4TCNQ</w:t>
            </w:r>
          </w:p>
        </w:tc>
        <w:tc>
          <w:tcPr>
            <w:tcW w:w="709" w:type="dxa"/>
            <w:tcBorders>
              <w:left w:val="single" w:sz="4" w:space="0" w:color="auto"/>
            </w:tcBorders>
            <w:noWrap/>
            <w:vAlign w:val="bottom"/>
            <w:hideMark/>
          </w:tcPr>
          <w:p w14:paraId="5A4C5E1C"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070DA">
              <w:rPr>
                <w:rFonts w:asciiTheme="majorHAnsi" w:hAnsiTheme="majorHAnsi"/>
              </w:rPr>
              <w:t>0.91</w:t>
            </w:r>
          </w:p>
        </w:tc>
        <w:tc>
          <w:tcPr>
            <w:tcW w:w="1021" w:type="dxa"/>
            <w:noWrap/>
            <w:vAlign w:val="bottom"/>
            <w:hideMark/>
          </w:tcPr>
          <w:p w14:paraId="3EC32C9E"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070DA">
              <w:rPr>
                <w:rFonts w:asciiTheme="majorHAnsi" w:hAnsiTheme="majorHAnsi"/>
              </w:rPr>
              <w:t>25.46</w:t>
            </w:r>
          </w:p>
        </w:tc>
        <w:tc>
          <w:tcPr>
            <w:tcW w:w="794" w:type="dxa"/>
            <w:noWrap/>
            <w:vAlign w:val="bottom"/>
            <w:hideMark/>
          </w:tcPr>
          <w:p w14:paraId="60937812"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070DA">
              <w:rPr>
                <w:rFonts w:asciiTheme="majorHAnsi" w:hAnsiTheme="majorHAnsi"/>
              </w:rPr>
              <w:t>67.63</w:t>
            </w:r>
          </w:p>
        </w:tc>
        <w:tc>
          <w:tcPr>
            <w:tcW w:w="737" w:type="dxa"/>
            <w:gridSpan w:val="2"/>
            <w:tcBorders>
              <w:right w:val="single" w:sz="4" w:space="0" w:color="auto"/>
            </w:tcBorders>
            <w:noWrap/>
            <w:vAlign w:val="bottom"/>
            <w:hideMark/>
          </w:tcPr>
          <w:p w14:paraId="1472401B"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070DA">
              <w:rPr>
                <w:rFonts w:asciiTheme="majorHAnsi" w:hAnsiTheme="majorHAnsi"/>
              </w:rPr>
              <w:t>15.75</w:t>
            </w:r>
          </w:p>
        </w:tc>
        <w:tc>
          <w:tcPr>
            <w:tcW w:w="708" w:type="dxa"/>
            <w:tcBorders>
              <w:left w:val="single" w:sz="4" w:space="0" w:color="auto"/>
            </w:tcBorders>
            <w:noWrap/>
            <w:vAlign w:val="bottom"/>
            <w:hideMark/>
          </w:tcPr>
          <w:p w14:paraId="7E11FF0E"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0.75</w:t>
            </w:r>
          </w:p>
        </w:tc>
        <w:tc>
          <w:tcPr>
            <w:tcW w:w="993" w:type="dxa"/>
            <w:noWrap/>
            <w:vAlign w:val="bottom"/>
            <w:hideMark/>
          </w:tcPr>
          <w:p w14:paraId="1372C595"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0.15</w:t>
            </w:r>
          </w:p>
        </w:tc>
        <w:tc>
          <w:tcPr>
            <w:tcW w:w="738" w:type="dxa"/>
            <w:noWrap/>
            <w:vAlign w:val="bottom"/>
            <w:hideMark/>
          </w:tcPr>
          <w:p w14:paraId="3512A498"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67.44</w:t>
            </w:r>
          </w:p>
        </w:tc>
        <w:tc>
          <w:tcPr>
            <w:tcW w:w="794" w:type="dxa"/>
            <w:tcBorders>
              <w:right w:val="single" w:sz="4" w:space="0" w:color="auto"/>
            </w:tcBorders>
            <w:noWrap/>
            <w:vAlign w:val="bottom"/>
            <w:hideMark/>
          </w:tcPr>
          <w:p w14:paraId="27412F4A"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23.60</w:t>
            </w:r>
          </w:p>
        </w:tc>
        <w:tc>
          <w:tcPr>
            <w:tcW w:w="794" w:type="dxa"/>
            <w:gridSpan w:val="2"/>
            <w:tcBorders>
              <w:left w:val="single" w:sz="4" w:space="0" w:color="auto"/>
            </w:tcBorders>
            <w:noWrap/>
            <w:vAlign w:val="bottom"/>
            <w:hideMark/>
          </w:tcPr>
          <w:p w14:paraId="0ABFFC15"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0.94</w:t>
            </w:r>
          </w:p>
        </w:tc>
        <w:tc>
          <w:tcPr>
            <w:tcW w:w="1076" w:type="dxa"/>
            <w:noWrap/>
            <w:vAlign w:val="bottom"/>
            <w:hideMark/>
          </w:tcPr>
          <w:p w14:paraId="02366F13"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10.42</w:t>
            </w:r>
          </w:p>
        </w:tc>
        <w:tc>
          <w:tcPr>
            <w:tcW w:w="850" w:type="dxa"/>
            <w:noWrap/>
            <w:vAlign w:val="bottom"/>
            <w:hideMark/>
          </w:tcPr>
          <w:p w14:paraId="7D4FDD47"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53.76</w:t>
            </w:r>
          </w:p>
        </w:tc>
        <w:tc>
          <w:tcPr>
            <w:tcW w:w="851" w:type="dxa"/>
            <w:gridSpan w:val="2"/>
            <w:tcBorders>
              <w:right w:val="single" w:sz="4" w:space="0" w:color="auto"/>
            </w:tcBorders>
            <w:noWrap/>
            <w:vAlign w:val="bottom"/>
            <w:hideMark/>
          </w:tcPr>
          <w:p w14:paraId="7BE8E188" w14:textId="77777777" w:rsidR="009A077B" w:rsidRPr="00F070DA" w:rsidRDefault="009A077B" w:rsidP="00E53B28">
            <w:pPr>
              <w:pStyle w:val="SubHead"/>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F070DA">
              <w:rPr>
                <w:rFonts w:asciiTheme="majorHAnsi" w:hAnsiTheme="majorHAnsi" w:cs="Arial"/>
              </w:rPr>
              <w:t>40.69</w:t>
            </w:r>
          </w:p>
        </w:tc>
      </w:tr>
    </w:tbl>
    <w:p w14:paraId="0B7415AD" w14:textId="77777777" w:rsidR="009A077B" w:rsidRDefault="009A077B" w:rsidP="00E53B28">
      <w:pPr>
        <w:pStyle w:val="ListParagraph"/>
        <w:spacing w:after="120" w:line="360" w:lineRule="auto"/>
        <w:ind w:left="0"/>
        <w:contextualSpacing w:val="0"/>
        <w:jc w:val="both"/>
        <w:rPr>
          <w:rFonts w:asciiTheme="majorHAnsi" w:hAnsiTheme="majorHAnsi" w:cs="Times New Roman"/>
          <w:b/>
          <w:bCs/>
          <w:u w:val="single"/>
        </w:rPr>
      </w:pPr>
    </w:p>
    <w:p w14:paraId="1BD2CCC5" w14:textId="77777777" w:rsidR="002060C3" w:rsidRPr="002060C3" w:rsidRDefault="00C73FEA" w:rsidP="00E53B28">
      <w:pPr>
        <w:pStyle w:val="ListParagraph"/>
        <w:numPr>
          <w:ilvl w:val="0"/>
          <w:numId w:val="5"/>
        </w:numPr>
        <w:tabs>
          <w:tab w:val="left" w:pos="4644"/>
        </w:tabs>
        <w:spacing w:after="120" w:line="360" w:lineRule="auto"/>
        <w:ind w:left="357" w:hanging="357"/>
        <w:contextualSpacing w:val="0"/>
        <w:jc w:val="both"/>
        <w:rPr>
          <w:rFonts w:asciiTheme="majorHAnsi" w:hAnsiTheme="majorHAnsi" w:cs="Times New Roman"/>
          <w:b/>
          <w:bCs/>
          <w:u w:val="single"/>
        </w:rPr>
      </w:pPr>
      <w:r w:rsidRPr="002060C3">
        <w:rPr>
          <w:rFonts w:asciiTheme="majorHAnsi" w:hAnsiTheme="majorHAnsi" w:cs="Times New Roman"/>
          <w:b/>
          <w:bCs/>
          <w:u w:val="single"/>
        </w:rPr>
        <w:t xml:space="preserve">Structural Characterisation </w:t>
      </w:r>
    </w:p>
    <w:p w14:paraId="3A7C1A40" w14:textId="34E6EF2C" w:rsidR="00AB1669" w:rsidRPr="008E5323" w:rsidRDefault="00C73FEA" w:rsidP="00E53B28">
      <w:pPr>
        <w:pStyle w:val="ListParagraph"/>
        <w:numPr>
          <w:ilvl w:val="1"/>
          <w:numId w:val="7"/>
        </w:numPr>
        <w:tabs>
          <w:tab w:val="left" w:pos="4644"/>
        </w:tabs>
        <w:spacing w:after="120" w:line="360" w:lineRule="auto"/>
        <w:ind w:left="426" w:hanging="426"/>
        <w:contextualSpacing w:val="0"/>
        <w:jc w:val="both"/>
        <w:rPr>
          <w:rFonts w:asciiTheme="majorHAnsi" w:hAnsiTheme="majorHAnsi" w:cs="Times New Roman"/>
          <w:b/>
          <w:bCs/>
        </w:rPr>
      </w:pPr>
      <w:r w:rsidRPr="00C73FEA">
        <w:rPr>
          <w:rFonts w:asciiTheme="majorHAnsi" w:hAnsiTheme="majorHAnsi" w:cs="Times New Roman"/>
          <w:b/>
          <w:bCs/>
        </w:rPr>
        <w:t>X-ray diffraction (XRD) analysis</w:t>
      </w:r>
    </w:p>
    <w:p w14:paraId="4DA82EAA" w14:textId="0AFF6B36" w:rsidR="00492D4A" w:rsidRPr="004D7F3A" w:rsidRDefault="005A047A" w:rsidP="00E53B28">
      <w:pPr>
        <w:tabs>
          <w:tab w:val="left" w:pos="4644"/>
        </w:tabs>
        <w:spacing w:after="120" w:line="360" w:lineRule="auto"/>
        <w:jc w:val="both"/>
        <w:rPr>
          <w:rFonts w:asciiTheme="majorHAnsi" w:hAnsiTheme="majorHAnsi"/>
          <w:lang w:val="en-US"/>
        </w:rPr>
      </w:pPr>
      <w:r w:rsidRPr="004D7F3A">
        <w:rPr>
          <w:rFonts w:asciiTheme="majorHAnsi" w:hAnsiTheme="majorHAnsi"/>
          <w:noProof/>
          <w:lang w:val="en-US"/>
        </w:rPr>
        <w:drawing>
          <wp:anchor distT="0" distB="0" distL="114300" distR="114300" simplePos="0" relativeHeight="251658245" behindDoc="0" locked="0" layoutInCell="1" allowOverlap="1" wp14:anchorId="65108E60" wp14:editId="7BAFEF85">
            <wp:simplePos x="0" y="0"/>
            <wp:positionH relativeFrom="margin">
              <wp:posOffset>349250</wp:posOffset>
            </wp:positionH>
            <wp:positionV relativeFrom="paragraph">
              <wp:posOffset>7620</wp:posOffset>
            </wp:positionV>
            <wp:extent cx="5857875" cy="3030220"/>
            <wp:effectExtent l="0" t="0" r="9525" b="0"/>
            <wp:wrapSquare wrapText="bothSides"/>
            <wp:docPr id="8545363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536396"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857875" cy="3030220"/>
                    </a:xfrm>
                    <a:prstGeom prst="rect">
                      <a:avLst/>
                    </a:prstGeom>
                    <a:noFill/>
                  </pic:spPr>
                </pic:pic>
              </a:graphicData>
            </a:graphic>
            <wp14:sizeRelH relativeFrom="margin">
              <wp14:pctWidth>0</wp14:pctWidth>
            </wp14:sizeRelH>
          </wp:anchor>
        </w:drawing>
      </w:r>
    </w:p>
    <w:p w14:paraId="28157DB9" w14:textId="633AF594" w:rsidR="00E03E6E" w:rsidRPr="004D7F3A" w:rsidRDefault="00E03E6E" w:rsidP="00E53B28">
      <w:pPr>
        <w:tabs>
          <w:tab w:val="left" w:pos="4644"/>
        </w:tabs>
        <w:spacing w:after="120" w:line="360" w:lineRule="auto"/>
        <w:jc w:val="both"/>
        <w:rPr>
          <w:rFonts w:asciiTheme="majorHAnsi" w:hAnsiTheme="majorHAnsi"/>
          <w:lang w:val="en-US"/>
        </w:rPr>
      </w:pPr>
    </w:p>
    <w:p w14:paraId="679C96C0" w14:textId="77777777" w:rsidR="00A46043" w:rsidRDefault="00A46043" w:rsidP="00E53B28">
      <w:pPr>
        <w:tabs>
          <w:tab w:val="left" w:pos="4644"/>
        </w:tabs>
        <w:spacing w:after="120" w:line="360" w:lineRule="auto"/>
        <w:jc w:val="both"/>
        <w:rPr>
          <w:rFonts w:asciiTheme="majorHAnsi" w:hAnsiTheme="majorHAnsi"/>
        </w:rPr>
      </w:pPr>
    </w:p>
    <w:p w14:paraId="09A24C75" w14:textId="77777777" w:rsidR="00A46043" w:rsidRDefault="00A46043" w:rsidP="00E53B28">
      <w:pPr>
        <w:tabs>
          <w:tab w:val="left" w:pos="4644"/>
        </w:tabs>
        <w:spacing w:after="120" w:line="360" w:lineRule="auto"/>
        <w:jc w:val="both"/>
        <w:rPr>
          <w:rFonts w:asciiTheme="majorHAnsi" w:hAnsiTheme="majorHAnsi"/>
        </w:rPr>
      </w:pPr>
    </w:p>
    <w:p w14:paraId="07D8911A" w14:textId="77777777" w:rsidR="00A46043" w:rsidRDefault="00A46043" w:rsidP="00E53B28">
      <w:pPr>
        <w:tabs>
          <w:tab w:val="left" w:pos="4644"/>
        </w:tabs>
        <w:spacing w:after="120" w:line="360" w:lineRule="auto"/>
        <w:jc w:val="both"/>
        <w:rPr>
          <w:rFonts w:asciiTheme="majorHAnsi" w:hAnsiTheme="majorHAnsi"/>
        </w:rPr>
      </w:pPr>
    </w:p>
    <w:p w14:paraId="21E40026" w14:textId="77777777" w:rsidR="00A46043" w:rsidRDefault="00A46043" w:rsidP="00E53B28">
      <w:pPr>
        <w:tabs>
          <w:tab w:val="left" w:pos="4644"/>
        </w:tabs>
        <w:spacing w:after="120" w:line="360" w:lineRule="auto"/>
        <w:jc w:val="both"/>
        <w:rPr>
          <w:rFonts w:asciiTheme="majorHAnsi" w:hAnsiTheme="majorHAnsi"/>
        </w:rPr>
      </w:pPr>
    </w:p>
    <w:p w14:paraId="203A999E" w14:textId="77777777" w:rsidR="00A46043" w:rsidRDefault="00A46043" w:rsidP="00E53B28">
      <w:pPr>
        <w:tabs>
          <w:tab w:val="left" w:pos="4644"/>
        </w:tabs>
        <w:spacing w:after="120" w:line="360" w:lineRule="auto"/>
        <w:jc w:val="both"/>
        <w:rPr>
          <w:rFonts w:asciiTheme="majorHAnsi" w:hAnsiTheme="majorHAnsi"/>
        </w:rPr>
      </w:pPr>
    </w:p>
    <w:p w14:paraId="1831864E" w14:textId="77777777" w:rsidR="00A46043" w:rsidRDefault="00A46043" w:rsidP="00E53B28">
      <w:pPr>
        <w:tabs>
          <w:tab w:val="left" w:pos="4644"/>
        </w:tabs>
        <w:spacing w:after="120" w:line="360" w:lineRule="auto"/>
        <w:jc w:val="both"/>
        <w:rPr>
          <w:rFonts w:asciiTheme="majorHAnsi" w:hAnsiTheme="majorHAnsi"/>
        </w:rPr>
      </w:pPr>
    </w:p>
    <w:p w14:paraId="1C282E9E" w14:textId="77777777" w:rsidR="00A46043" w:rsidRDefault="00A46043" w:rsidP="00E53B28">
      <w:pPr>
        <w:tabs>
          <w:tab w:val="left" w:pos="4644"/>
        </w:tabs>
        <w:spacing w:after="120" w:line="360" w:lineRule="auto"/>
        <w:jc w:val="both"/>
        <w:rPr>
          <w:rFonts w:asciiTheme="majorHAnsi" w:hAnsiTheme="majorHAnsi"/>
        </w:rPr>
      </w:pPr>
    </w:p>
    <w:p w14:paraId="483A1433" w14:textId="0D547499" w:rsidR="00A46043" w:rsidRPr="008E5323" w:rsidRDefault="00A46043" w:rsidP="00A46043">
      <w:pPr>
        <w:pStyle w:val="Caption"/>
        <w:jc w:val="center"/>
        <w:rPr>
          <w:noProof/>
          <w:sz w:val="22"/>
          <w:szCs w:val="22"/>
        </w:rPr>
      </w:pPr>
      <w:bookmarkStart w:id="2" w:name="_Ref214649670"/>
      <w:r w:rsidRPr="008E5323">
        <w:rPr>
          <w:b/>
          <w:bCs/>
          <w:i w:val="0"/>
          <w:iCs w:val="0"/>
          <w:sz w:val="22"/>
          <w:szCs w:val="22"/>
        </w:rPr>
        <w:t>Figure S</w:t>
      </w:r>
      <w:r w:rsidRPr="008E5323">
        <w:rPr>
          <w:b/>
          <w:bCs/>
          <w:i w:val="0"/>
          <w:iCs w:val="0"/>
          <w:sz w:val="22"/>
          <w:szCs w:val="22"/>
        </w:rPr>
        <w:fldChar w:fldCharType="begin"/>
      </w:r>
      <w:r w:rsidRPr="008E5323">
        <w:rPr>
          <w:b/>
          <w:bCs/>
          <w:i w:val="0"/>
          <w:iCs w:val="0"/>
          <w:sz w:val="22"/>
          <w:szCs w:val="22"/>
        </w:rPr>
        <w:instrText xml:space="preserve"> SEQ Figure \* ARABIC </w:instrText>
      </w:r>
      <w:r w:rsidRPr="008E5323">
        <w:rPr>
          <w:b/>
          <w:bCs/>
          <w:i w:val="0"/>
          <w:iCs w:val="0"/>
          <w:sz w:val="22"/>
          <w:szCs w:val="22"/>
        </w:rPr>
        <w:fldChar w:fldCharType="separate"/>
      </w:r>
      <w:r w:rsidR="008179E0">
        <w:rPr>
          <w:b/>
          <w:bCs/>
          <w:i w:val="0"/>
          <w:iCs w:val="0"/>
          <w:noProof/>
          <w:sz w:val="22"/>
          <w:szCs w:val="22"/>
        </w:rPr>
        <w:t>1</w:t>
      </w:r>
      <w:r w:rsidRPr="008E5323">
        <w:rPr>
          <w:b/>
          <w:bCs/>
          <w:i w:val="0"/>
          <w:iCs w:val="0"/>
          <w:noProof/>
          <w:sz w:val="22"/>
          <w:szCs w:val="22"/>
        </w:rPr>
        <w:fldChar w:fldCharType="end"/>
      </w:r>
      <w:bookmarkEnd w:id="2"/>
      <w:r w:rsidRPr="008E5323">
        <w:rPr>
          <w:b/>
          <w:bCs/>
          <w:i w:val="0"/>
          <w:iCs w:val="0"/>
          <w:sz w:val="22"/>
          <w:szCs w:val="22"/>
        </w:rPr>
        <w:t>:</w:t>
      </w:r>
      <w:r w:rsidRPr="008E5323">
        <w:rPr>
          <w:sz w:val="22"/>
          <w:szCs w:val="22"/>
        </w:rPr>
        <w:t xml:space="preserve"> </w:t>
      </w:r>
      <w:r w:rsidRPr="00F070DA">
        <w:rPr>
          <w:sz w:val="22"/>
          <w:szCs w:val="22"/>
        </w:rPr>
        <w:t>X-ray diffraction (XRD) spectra of perovskite films deposited on different HTLs.</w:t>
      </w:r>
    </w:p>
    <w:p w14:paraId="76C82E4B" w14:textId="77777777" w:rsidR="00A46043" w:rsidRDefault="00A46043" w:rsidP="00E53B28">
      <w:pPr>
        <w:tabs>
          <w:tab w:val="left" w:pos="4644"/>
        </w:tabs>
        <w:spacing w:after="120" w:line="360" w:lineRule="auto"/>
        <w:jc w:val="both"/>
        <w:rPr>
          <w:rFonts w:asciiTheme="majorHAnsi" w:hAnsiTheme="majorHAnsi"/>
        </w:rPr>
      </w:pPr>
    </w:p>
    <w:p w14:paraId="1FEA3C22" w14:textId="3EFA1C9B" w:rsidR="005B6CB5" w:rsidRPr="004D7F3A" w:rsidRDefault="005B6CB5" w:rsidP="00E53B28">
      <w:pPr>
        <w:tabs>
          <w:tab w:val="left" w:pos="4644"/>
        </w:tabs>
        <w:spacing w:after="120" w:line="360" w:lineRule="auto"/>
        <w:jc w:val="both"/>
        <w:rPr>
          <w:rFonts w:asciiTheme="majorHAnsi" w:hAnsiTheme="majorHAnsi"/>
          <w:lang w:val="en-US"/>
        </w:rPr>
      </w:pPr>
      <w:r w:rsidRPr="005B6CB5">
        <w:rPr>
          <w:rFonts w:asciiTheme="majorHAnsi" w:hAnsiTheme="majorHAnsi"/>
        </w:rPr>
        <w:lastRenderedPageBreak/>
        <w:t>Understanding defect formation in the perovskite layer is crucial for efficient charge generation and extraction. To examine whether different HTLs influence perovskite film formation, structural characterisation was performed.</w:t>
      </w:r>
    </w:p>
    <w:p w14:paraId="34515E06" w14:textId="2D8CF088" w:rsidR="00AB1669" w:rsidRDefault="005B6CB5" w:rsidP="00E53B28">
      <w:pPr>
        <w:tabs>
          <w:tab w:val="left" w:pos="4644"/>
        </w:tabs>
        <w:spacing w:after="120" w:line="360" w:lineRule="auto"/>
        <w:jc w:val="both"/>
        <w:rPr>
          <w:rFonts w:asciiTheme="majorHAnsi" w:hAnsiTheme="majorHAnsi"/>
        </w:rPr>
      </w:pPr>
      <w:r w:rsidRPr="005B6CB5">
        <w:rPr>
          <w:rFonts w:asciiTheme="majorHAnsi" w:hAnsiTheme="majorHAnsi"/>
        </w:rPr>
        <w:t xml:space="preserve">The XRD spectra of perovskite films grown on different HTLs are shown in </w:t>
      </w:r>
      <w:r w:rsidR="00AB1669" w:rsidRPr="005B6CB5">
        <w:rPr>
          <w:rFonts w:asciiTheme="majorHAnsi" w:hAnsiTheme="majorHAnsi"/>
          <w:b/>
          <w:bCs/>
          <w:lang w:val="en-US"/>
        </w:rPr>
        <w:t xml:space="preserve">Figure </w:t>
      </w:r>
      <w:r w:rsidR="00040AA8" w:rsidRPr="005B6CB5">
        <w:rPr>
          <w:rFonts w:asciiTheme="majorHAnsi" w:hAnsiTheme="majorHAnsi"/>
          <w:b/>
          <w:bCs/>
          <w:lang w:val="en-US"/>
        </w:rPr>
        <w:t>S</w:t>
      </w:r>
      <w:r w:rsidR="00AB1669" w:rsidRPr="005B6CB5">
        <w:rPr>
          <w:rFonts w:asciiTheme="majorHAnsi" w:hAnsiTheme="majorHAnsi"/>
          <w:b/>
          <w:bCs/>
          <w:lang w:val="en-US"/>
        </w:rPr>
        <w:t>1</w:t>
      </w:r>
      <w:r w:rsidR="00AB1669" w:rsidRPr="004D7F3A">
        <w:rPr>
          <w:rFonts w:asciiTheme="majorHAnsi" w:hAnsiTheme="majorHAnsi"/>
          <w:lang w:val="en-US"/>
        </w:rPr>
        <w:t xml:space="preserve">. </w:t>
      </w:r>
      <w:r w:rsidRPr="005B6CB5">
        <w:rPr>
          <w:rFonts w:asciiTheme="majorHAnsi" w:hAnsiTheme="majorHAnsi"/>
        </w:rPr>
        <w:t>Nearly identical diffraction patterns are observed, including for films deposited on glass substrates, which are expected to exhibit highly passivated and well-crystallised structures</w:t>
      </w:r>
      <w:r w:rsidR="000002C1">
        <w:rPr>
          <w:rFonts w:asciiTheme="majorHAnsi" w:hAnsiTheme="majorHAnsi"/>
        </w:rPr>
        <w:fldChar w:fldCharType="begin"/>
      </w:r>
      <w:r w:rsidR="00CA3DA8">
        <w:rPr>
          <w:rFonts w:asciiTheme="majorHAnsi" w:hAnsiTheme="majorHAnsi"/>
        </w:rPr>
        <w:instrText xml:space="preserve"> ADDIN ZOTERO_ITEM CSL_CITATION {"citationID":"94Qjx32B","properties":{"formattedCitation":"[1]","plainCitation":"[1]","noteIndex":0},"citationItems":[{"id":1696,"uris":["http://zotero.org/users/5723663/items/XYWFGWHN"],"itemData":{"id":1696,"type":"article-journal","abstract":"The performance of perovskite solar cells is predominantly limited by non-radiative recombination, either through trap-assisted recombination in the absorber layer or via minority carrier recombination at the perovskite/transport layer interfaces. Here, we use transient and absolute photoluminescence imaging to visualize all non-radiative recombination pathways in planar pin-type perovskite solar cells with undoped organic charge transport layers. We find significant quasi-Fermi-level splitting losses (135</w:instrText>
      </w:r>
      <w:r w:rsidR="00CA3DA8">
        <w:rPr>
          <w:rFonts w:ascii="Arial" w:hAnsi="Arial" w:cs="Arial"/>
        </w:rPr>
        <w:instrText> </w:instrText>
      </w:r>
      <w:r w:rsidR="00CA3DA8">
        <w:rPr>
          <w:rFonts w:asciiTheme="majorHAnsi" w:hAnsiTheme="majorHAnsi"/>
        </w:rPr>
        <w:instrText>meV) in the perovskite bulk, whereas interfacial recombination results in an additional free energy loss of 80</w:instrText>
      </w:r>
      <w:r w:rsidR="00CA3DA8">
        <w:rPr>
          <w:rFonts w:ascii="Arial" w:hAnsi="Arial" w:cs="Arial"/>
        </w:rPr>
        <w:instrText> </w:instrText>
      </w:r>
      <w:r w:rsidR="00CA3DA8">
        <w:rPr>
          <w:rFonts w:asciiTheme="majorHAnsi" w:hAnsiTheme="majorHAnsi"/>
        </w:rPr>
        <w:instrText>meV at each individual interface, which limits the open-circuit voltage (VOC) of the complete cell to ~1.12</w:instrText>
      </w:r>
      <w:r w:rsidR="00CA3DA8">
        <w:rPr>
          <w:rFonts w:ascii="Arial" w:hAnsi="Arial" w:cs="Arial"/>
        </w:rPr>
        <w:instrText> </w:instrText>
      </w:r>
      <w:r w:rsidR="00CA3DA8">
        <w:rPr>
          <w:rFonts w:asciiTheme="majorHAnsi" w:hAnsiTheme="majorHAnsi"/>
        </w:rPr>
        <w:instrText>V. Inserting ultrathin interlayers between the perovskite and transport layers leads to a substantial reduction of these interfacial losses at both the p and n contacts. Using this knowledge and approach, we demonstrate reproducible dopant-free 1</w:instrText>
      </w:r>
      <w:r w:rsidR="00CA3DA8">
        <w:rPr>
          <w:rFonts w:ascii="Arial" w:hAnsi="Arial" w:cs="Arial"/>
        </w:rPr>
        <w:instrText> </w:instrText>
      </w:r>
      <w:r w:rsidR="00CA3DA8">
        <w:rPr>
          <w:rFonts w:asciiTheme="majorHAnsi" w:hAnsiTheme="majorHAnsi"/>
        </w:rPr>
        <w:instrText>cm2 perovskite solar cells surpassing 20% efficiency (19.83% certified) with stabilized power output, a high VOC (1.17</w:instrText>
      </w:r>
      <w:r w:rsidR="00CA3DA8">
        <w:rPr>
          <w:rFonts w:ascii="Arial" w:hAnsi="Arial" w:cs="Arial"/>
        </w:rPr>
        <w:instrText> </w:instrText>
      </w:r>
      <w:r w:rsidR="00CA3DA8">
        <w:rPr>
          <w:rFonts w:asciiTheme="majorHAnsi" w:hAnsiTheme="majorHAnsi"/>
        </w:rPr>
        <w:instrText xml:space="preserve">V) and record fill factor (&gt;81%).","container-title":"Nature Energy","DOI":"10.1038/s41560-018-0219-8","ISSN":"2058-7546","issue":"10","journalAbbreviation":"Nat Energy","language":"en","license":"2018 The Author(s)","page":"847-854","publisher":"Nature Publishing Group","source":"www.nature.com","title":"Visualization and suppression of interfacial recombination for high-efficiency large-area pin perovskite solar cells","volume":"3","author":[{"family":"Stolterfoht","given":"Martin"},{"family":"Wolff","given":"Christian M."},{"family":"Márquez","given":"José A."},{"family":"Zhang","given":"Shanshan"},{"family":"Hages","given":"Charles J."},{"family":"Rothhardt","given":"Daniel"},{"family":"Albrecht","given":"Steve"},{"family":"Burn","given":"Paul L."},{"family":"Meredith","given":"Paul"},{"family":"Unold","given":"Thomas"},{"family":"Neher","given":"Dieter"}],"issued":{"date-parts":[["2018",10]]}}}],"schema":"https://github.com/citation-style-language/schema/raw/master/csl-citation.json"} </w:instrText>
      </w:r>
      <w:r w:rsidR="000002C1">
        <w:rPr>
          <w:rFonts w:asciiTheme="majorHAnsi" w:hAnsiTheme="majorHAnsi"/>
        </w:rPr>
        <w:fldChar w:fldCharType="separate"/>
      </w:r>
      <w:r w:rsidR="00CA3DA8" w:rsidRPr="00CA3DA8">
        <w:rPr>
          <w:rFonts w:ascii="Aptos Display" w:hAnsi="Aptos Display"/>
        </w:rPr>
        <w:t>[1]</w:t>
      </w:r>
      <w:r w:rsidR="000002C1">
        <w:rPr>
          <w:rFonts w:asciiTheme="majorHAnsi" w:hAnsiTheme="majorHAnsi"/>
        </w:rPr>
        <w:fldChar w:fldCharType="end"/>
      </w:r>
      <w:r w:rsidR="00CA3DA8">
        <w:rPr>
          <w:rFonts w:asciiTheme="majorHAnsi" w:hAnsiTheme="majorHAnsi"/>
        </w:rPr>
        <w:t>.</w:t>
      </w:r>
      <w:r w:rsidR="00AB1669" w:rsidRPr="004D7F3A">
        <w:rPr>
          <w:rFonts w:asciiTheme="majorHAnsi" w:hAnsiTheme="majorHAnsi"/>
          <w:lang w:val="en-US"/>
        </w:rPr>
        <w:t xml:space="preserve"> </w:t>
      </w:r>
      <w:r w:rsidRPr="005B6CB5">
        <w:rPr>
          <w:rFonts w:asciiTheme="majorHAnsi" w:hAnsiTheme="majorHAnsi"/>
        </w:rPr>
        <w:t xml:space="preserve">This indicates that all HTLs support the formation of perovskite films with comparable crystal structures. Minor variations at the 12.8° (2θ) peak (marked with a diamond) are attributed to residual </w:t>
      </w:r>
      <w:proofErr w:type="spellStart"/>
      <w:r w:rsidRPr="005B6CB5">
        <w:rPr>
          <w:rFonts w:asciiTheme="majorHAnsi" w:hAnsiTheme="majorHAnsi"/>
        </w:rPr>
        <w:t>PbI</w:t>
      </w:r>
      <w:proofErr w:type="spellEnd"/>
      <w:r w:rsidRPr="005339E5">
        <w:rPr>
          <w:rFonts w:asciiTheme="majorHAnsi" w:hAnsiTheme="majorHAnsi"/>
        </w:rPr>
        <w:t>₂</w:t>
      </w:r>
      <w:r w:rsidR="0069631F" w:rsidRPr="005339E5">
        <w:rPr>
          <w:rFonts w:asciiTheme="majorHAnsi" w:hAnsiTheme="majorHAnsi"/>
        </w:rPr>
        <w:fldChar w:fldCharType="begin"/>
      </w:r>
      <w:r w:rsidR="0069631F" w:rsidRPr="005339E5">
        <w:rPr>
          <w:rFonts w:asciiTheme="majorHAnsi" w:hAnsiTheme="majorHAnsi"/>
        </w:rPr>
        <w:instrText xml:space="preserve"> ADDIN ZOTERO_ITEM CSL_CITATION {"citationID":"xzSefYgt","properties":{"formattedCitation":"[2]","plainCitation":"[2]","noteIndex":0},"citationItems":[{"id":76,"uris":["http://zotero.org/users/5723663/items/3RS73Y3J"],"itemData":{"id":76,"type":"article-journal","abstract":"Understanding the crystallization process of organic− inorganic halide perovskites is of paramount importance for fabrication of reproducible and e</w:instrText>
      </w:r>
      <w:r w:rsidR="0069631F" w:rsidRPr="005339E5">
        <w:rPr>
          <w:rFonts w:ascii="Arial" w:hAnsi="Arial" w:cs="Arial"/>
        </w:rPr>
        <w:instrText>ﬃ</w:instrText>
      </w:r>
      <w:r w:rsidR="0069631F" w:rsidRPr="005339E5">
        <w:rPr>
          <w:rFonts w:asciiTheme="majorHAnsi" w:hAnsiTheme="majorHAnsi"/>
        </w:rPr>
        <w:instrText xml:space="preserve">cient perovskite solar cells. We report for the </w:instrText>
      </w:r>
      <w:r w:rsidR="0069631F" w:rsidRPr="005339E5">
        <w:rPr>
          <w:rFonts w:ascii="Aptos Display" w:hAnsi="Aptos Display" w:cs="Aptos Display"/>
        </w:rPr>
        <w:instrText>ﬁ</w:instrText>
      </w:r>
      <w:r w:rsidR="0069631F" w:rsidRPr="005339E5">
        <w:rPr>
          <w:rFonts w:asciiTheme="majorHAnsi" w:hAnsiTheme="majorHAnsi"/>
        </w:rPr>
        <w:instrText xml:space="preserve">rst time on the discovery and interplay of ubiquitous hexagonal polytypes (6H and 4H) during the crystallization process of mixed ion perovskite, namely (FAPbI3)x(MAPbBr3)1−x. These polytypes, the ﬁrst reported 3D hexagonal lead-halide-based perovskites, orchestrate a perovskite crystallization sequence revealed as 2H (delta phase)-4H-6H-3R(3C), commonly found among inorganic transition metal oxide perovskites under extreme conditions. We show that the chemical pressure arising from the incorporation of &gt;3% Cs+ cations into the lattice successfully inhibits the formation of these environmentally sensitive polytypes, elucidating the origin of the widely reported improved device stability and reproducibility of Cs+-containing mixed ion perovskites.","container-title":"ACS Energy Letters","DOI":"10.1021/acsenergylett.7b00981","ISSN":"2380-8195, 2380-8195","issue":"12","journalAbbreviation":"ACS Energy Lett.","language":"en","page":"2686-2693","source":"DOI.org (Crossref)","title":"The Many Faces of Mixed Ion Perovskites: Unraveling and Understanding the Crystallization Process","title-short":"The Many Faces of Mixed Ion Perovskites","volume":"2","author":[{"family":"Gratia","given":"Paul"},{"family":"Zimmermann","given":"Iwan"},{"family":"Schouwink","given":"Pascal"},{"family":"Yum","given":"Jun-Ho"},{"family":"Audinot","given":"Jean-Nicolas"},{"family":"Sivula","given":"Kevin"},{"family":"Wirtz","given":"Tom"},{"family":"Nazeeruddin","given":"Mohammad Khaja"}],"issued":{"date-parts":[["2017",12,8]]}}}],"schema":"https://github.com/citation-style-language/schema/raw/master/csl-citation.json"} </w:instrText>
      </w:r>
      <w:r w:rsidR="0069631F" w:rsidRPr="005339E5">
        <w:rPr>
          <w:rFonts w:asciiTheme="majorHAnsi" w:hAnsiTheme="majorHAnsi"/>
        </w:rPr>
        <w:fldChar w:fldCharType="separate"/>
      </w:r>
      <w:r w:rsidR="0069631F" w:rsidRPr="005339E5">
        <w:rPr>
          <w:rFonts w:ascii="Aptos Display" w:hAnsi="Aptos Display"/>
        </w:rPr>
        <w:t>[2]</w:t>
      </w:r>
      <w:r w:rsidR="0069631F" w:rsidRPr="005339E5">
        <w:rPr>
          <w:rFonts w:asciiTheme="majorHAnsi" w:hAnsiTheme="majorHAnsi"/>
        </w:rPr>
        <w:fldChar w:fldCharType="end"/>
      </w:r>
      <w:r w:rsidRPr="005339E5">
        <w:rPr>
          <w:rFonts w:asciiTheme="majorHAnsi" w:hAnsiTheme="majorHAnsi"/>
          <w:lang w:val="en-US"/>
        </w:rPr>
        <w:t>,</w:t>
      </w:r>
      <w:r>
        <w:rPr>
          <w:rFonts w:asciiTheme="majorHAnsi" w:hAnsiTheme="majorHAnsi"/>
          <w:lang w:val="en-US"/>
        </w:rPr>
        <w:t xml:space="preserve"> </w:t>
      </w:r>
      <w:r w:rsidRPr="005B6CB5">
        <w:rPr>
          <w:rFonts w:asciiTheme="majorHAnsi" w:hAnsiTheme="majorHAnsi"/>
        </w:rPr>
        <w:t>likely arising from sample-to-sample variation rather than HTL-dependent effects.</w:t>
      </w:r>
      <w:r>
        <w:rPr>
          <w:rFonts w:asciiTheme="majorHAnsi" w:hAnsiTheme="majorHAnsi"/>
        </w:rPr>
        <w:t xml:space="preserve"> </w:t>
      </w:r>
      <w:r w:rsidRPr="005B6CB5">
        <w:rPr>
          <w:rFonts w:asciiTheme="majorHAnsi" w:hAnsiTheme="majorHAnsi"/>
        </w:rPr>
        <w:t>The peak at 30° (marked with a square) originates from the ITO substrate and is used for alignment.</w:t>
      </w:r>
    </w:p>
    <w:p w14:paraId="25CCE150" w14:textId="6AF574FA" w:rsidR="00AB1669" w:rsidRPr="004D7F3A" w:rsidRDefault="00C73FEA" w:rsidP="00E53B28">
      <w:pPr>
        <w:pStyle w:val="ListParagraph"/>
        <w:numPr>
          <w:ilvl w:val="0"/>
          <w:numId w:val="5"/>
        </w:numPr>
        <w:spacing w:after="120" w:line="360" w:lineRule="auto"/>
        <w:ind w:left="357" w:hanging="357"/>
        <w:contextualSpacing w:val="0"/>
        <w:jc w:val="both"/>
        <w:rPr>
          <w:rFonts w:asciiTheme="majorHAnsi" w:hAnsiTheme="majorHAnsi" w:cs="Times New Roman"/>
          <w:b/>
          <w:bCs/>
          <w:u w:val="single"/>
        </w:rPr>
      </w:pPr>
      <w:r w:rsidRPr="00C73FEA">
        <w:rPr>
          <w:rFonts w:asciiTheme="majorHAnsi" w:hAnsiTheme="majorHAnsi" w:cs="Times New Roman"/>
          <w:b/>
          <w:bCs/>
          <w:u w:val="single"/>
        </w:rPr>
        <w:t>Time-Resolved Photoluminescence (TRPL)</w:t>
      </w:r>
    </w:p>
    <w:p w14:paraId="35B2BB5F" w14:textId="7BE286BA" w:rsidR="00641CAC" w:rsidRPr="004D7F3A" w:rsidRDefault="005B6CB5" w:rsidP="00E53B28">
      <w:pPr>
        <w:pStyle w:val="ListParagraph"/>
        <w:spacing w:after="120" w:line="360" w:lineRule="auto"/>
        <w:ind w:left="0"/>
        <w:contextualSpacing w:val="0"/>
        <w:jc w:val="both"/>
        <w:rPr>
          <w:rFonts w:asciiTheme="majorHAnsi" w:hAnsiTheme="majorHAnsi" w:cs="Times New Roman"/>
          <w:b/>
          <w:bCs/>
          <w:lang w:val="tr-TR" w:eastAsia="zh-CN"/>
        </w:rPr>
      </w:pPr>
      <w:r w:rsidRPr="004F0EB6">
        <w:rPr>
          <w:rFonts w:asciiTheme="majorHAnsi" w:hAnsiTheme="majorHAnsi"/>
          <w:b/>
          <w:bCs/>
          <w:i/>
          <w:iCs/>
          <w:noProof/>
          <w:color w:val="0E2841" w:themeColor="text2"/>
          <w:sz w:val="22"/>
          <w:szCs w:val="22"/>
        </w:rPr>
        <mc:AlternateContent>
          <mc:Choice Requires="wps">
            <w:drawing>
              <wp:anchor distT="45720" distB="45720" distL="114300" distR="114300" simplePos="0" relativeHeight="251658240" behindDoc="0" locked="0" layoutInCell="1" allowOverlap="1" wp14:anchorId="5AA1557D" wp14:editId="715E7CCA">
                <wp:simplePos x="0" y="0"/>
                <wp:positionH relativeFrom="margin">
                  <wp:align>center</wp:align>
                </wp:positionH>
                <wp:positionV relativeFrom="paragraph">
                  <wp:posOffset>529494</wp:posOffset>
                </wp:positionV>
                <wp:extent cx="5740400" cy="1669415"/>
                <wp:effectExtent l="0" t="0" r="0" b="6985"/>
                <wp:wrapTopAndBottom/>
                <wp:docPr id="905502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669415"/>
                        </a:xfrm>
                        <a:prstGeom prst="rect">
                          <a:avLst/>
                        </a:prstGeom>
                        <a:solidFill>
                          <a:srgbClr val="FFFFFF"/>
                        </a:solidFill>
                        <a:ln w="9525">
                          <a:noFill/>
                          <a:miter lim="800000"/>
                          <a:headEnd/>
                          <a:tailEnd/>
                        </a:ln>
                      </wps:spPr>
                      <wps:txbx>
                        <w:txbxContent>
                          <w:tbl>
                            <w:tblPr>
                              <w:tblStyle w:val="PlainTable2"/>
                              <w:tblW w:w="8693" w:type="dxa"/>
                              <w:tblLook w:val="04A0" w:firstRow="1" w:lastRow="0" w:firstColumn="1" w:lastColumn="0" w:noHBand="0" w:noVBand="1"/>
                            </w:tblPr>
                            <w:tblGrid>
                              <w:gridCol w:w="2353"/>
                              <w:gridCol w:w="896"/>
                              <w:gridCol w:w="1281"/>
                              <w:gridCol w:w="1089"/>
                              <w:gridCol w:w="1089"/>
                              <w:gridCol w:w="1089"/>
                              <w:gridCol w:w="896"/>
                            </w:tblGrid>
                            <w:tr w:rsidR="005E43C7" w:rsidRPr="007E62A9" w14:paraId="27F96102" w14:textId="77777777" w:rsidTr="00CD5970">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353" w:type="dxa"/>
                                  <w:noWrap/>
                                  <w:hideMark/>
                                </w:tcPr>
                                <w:p w14:paraId="756527FB" w14:textId="77777777" w:rsidR="005E43C7" w:rsidRPr="00930A96" w:rsidRDefault="005E43C7" w:rsidP="00D946E9">
                                  <w:pPr>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Perovskite deposited on</w:t>
                                  </w:r>
                                </w:p>
                              </w:tc>
                              <w:tc>
                                <w:tcPr>
                                  <w:tcW w:w="896" w:type="dxa"/>
                                  <w:noWrap/>
                                  <w:hideMark/>
                                </w:tcPr>
                                <w:p w14:paraId="44BBB342" w14:textId="77777777" w:rsidR="005E43C7" w:rsidRPr="00930A96" w:rsidRDefault="005E43C7" w:rsidP="00D946E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τ</w:t>
                                  </w:r>
                                  <w:r w:rsidRPr="00930A96">
                                    <w:rPr>
                                      <w:rFonts w:eastAsia="Times New Roman" w:cs="Times New Roman"/>
                                      <w:color w:val="000000"/>
                                      <w:kern w:val="0"/>
                                      <w:sz w:val="18"/>
                                      <w:szCs w:val="18"/>
                                      <w:vertAlign w:val="subscript"/>
                                      <w:lang w:eastAsia="en-GB"/>
                                      <w14:ligatures w14:val="none"/>
                                    </w:rPr>
                                    <w:t>1</w:t>
                                  </w:r>
                                </w:p>
                              </w:tc>
                              <w:tc>
                                <w:tcPr>
                                  <w:tcW w:w="1281" w:type="dxa"/>
                                  <w:noWrap/>
                                  <w:hideMark/>
                                </w:tcPr>
                                <w:p w14:paraId="6FD8B42E" w14:textId="77777777" w:rsidR="005E43C7" w:rsidRPr="00930A96" w:rsidRDefault="005E43C7" w:rsidP="00D946E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τ</w:t>
                                  </w:r>
                                  <w:r w:rsidRPr="00930A96">
                                    <w:rPr>
                                      <w:rFonts w:eastAsia="Times New Roman" w:cs="Times New Roman"/>
                                      <w:color w:val="000000"/>
                                      <w:kern w:val="0"/>
                                      <w:sz w:val="18"/>
                                      <w:szCs w:val="18"/>
                                      <w:vertAlign w:val="subscript"/>
                                      <w:lang w:eastAsia="en-GB"/>
                                      <w14:ligatures w14:val="none"/>
                                    </w:rPr>
                                    <w:t>2</w:t>
                                  </w:r>
                                </w:p>
                              </w:tc>
                              <w:tc>
                                <w:tcPr>
                                  <w:tcW w:w="1089" w:type="dxa"/>
                                  <w:noWrap/>
                                  <w:hideMark/>
                                </w:tcPr>
                                <w:p w14:paraId="6785344E" w14:textId="77777777" w:rsidR="005E43C7" w:rsidRPr="00930A96" w:rsidRDefault="005E43C7" w:rsidP="00D946E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 of B</w:t>
                                  </w:r>
                                  <w:r w:rsidRPr="00930A96">
                                    <w:rPr>
                                      <w:rFonts w:eastAsia="Times New Roman" w:cs="Times New Roman"/>
                                      <w:color w:val="000000"/>
                                      <w:kern w:val="0"/>
                                      <w:sz w:val="18"/>
                                      <w:szCs w:val="18"/>
                                      <w:vertAlign w:val="subscript"/>
                                      <w:lang w:eastAsia="en-GB"/>
                                      <w14:ligatures w14:val="none"/>
                                    </w:rPr>
                                    <w:t>1</w:t>
                                  </w:r>
                                </w:p>
                              </w:tc>
                              <w:tc>
                                <w:tcPr>
                                  <w:tcW w:w="1089" w:type="dxa"/>
                                  <w:noWrap/>
                                  <w:hideMark/>
                                </w:tcPr>
                                <w:p w14:paraId="7C348E3E" w14:textId="77777777" w:rsidR="005E43C7" w:rsidRPr="00930A96" w:rsidRDefault="005E43C7" w:rsidP="00D946E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 of B</w:t>
                                  </w:r>
                                  <w:r w:rsidRPr="00930A96">
                                    <w:rPr>
                                      <w:rFonts w:eastAsia="Times New Roman" w:cs="Times New Roman"/>
                                      <w:color w:val="000000"/>
                                      <w:kern w:val="0"/>
                                      <w:sz w:val="18"/>
                                      <w:szCs w:val="18"/>
                                      <w:vertAlign w:val="subscript"/>
                                      <w:lang w:eastAsia="en-GB"/>
                                      <w14:ligatures w14:val="none"/>
                                    </w:rPr>
                                    <w:t>2</w:t>
                                  </w:r>
                                </w:p>
                              </w:tc>
                              <w:tc>
                                <w:tcPr>
                                  <w:tcW w:w="1089" w:type="dxa"/>
                                  <w:noWrap/>
                                  <w:hideMark/>
                                </w:tcPr>
                                <w:p w14:paraId="0741CEAC" w14:textId="77777777" w:rsidR="005E43C7" w:rsidRPr="00930A96" w:rsidRDefault="005E43C7" w:rsidP="00D946E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&lt;τ&gt;</w:t>
                                  </w:r>
                                  <w:r w:rsidRPr="00930A96">
                                    <w:rPr>
                                      <w:rFonts w:eastAsia="Times New Roman" w:cs="Times New Roman"/>
                                      <w:color w:val="000000"/>
                                      <w:kern w:val="0"/>
                                      <w:sz w:val="18"/>
                                      <w:szCs w:val="18"/>
                                      <w:vertAlign w:val="subscript"/>
                                      <w:lang w:eastAsia="en-GB"/>
                                      <w14:ligatures w14:val="none"/>
                                    </w:rPr>
                                    <w:t>amp</w:t>
                                  </w:r>
                                </w:p>
                              </w:tc>
                              <w:tc>
                                <w:tcPr>
                                  <w:tcW w:w="896" w:type="dxa"/>
                                </w:tcPr>
                                <w:p w14:paraId="02A25090" w14:textId="77777777" w:rsidR="005E43C7" w:rsidRPr="00930A96" w:rsidRDefault="005E43C7" w:rsidP="00D946E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Chi2</w:t>
                                  </w:r>
                                </w:p>
                              </w:tc>
                            </w:tr>
                            <w:tr w:rsidR="005E43C7" w:rsidRPr="007E62A9" w14:paraId="3DAC4304" w14:textId="77777777" w:rsidTr="00CD597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353" w:type="dxa"/>
                                  <w:noWrap/>
                                  <w:hideMark/>
                                </w:tcPr>
                                <w:p w14:paraId="250B4227" w14:textId="77777777" w:rsidR="005E43C7" w:rsidRPr="00930A96" w:rsidRDefault="005E43C7" w:rsidP="00D946E9">
                                  <w:pPr>
                                    <w:jc w:val="both"/>
                                    <w:rPr>
                                      <w:rFonts w:eastAsia="Times New Roman" w:cs="Times New Roman"/>
                                      <w:b w:val="0"/>
                                      <w:bCs w:val="0"/>
                                      <w:color w:val="000000"/>
                                      <w:kern w:val="0"/>
                                      <w:sz w:val="18"/>
                                      <w:szCs w:val="18"/>
                                      <w:lang w:eastAsia="en-GB"/>
                                      <w14:ligatures w14:val="none"/>
                                    </w:rPr>
                                  </w:pPr>
                                  <w:r w:rsidRPr="00930A96">
                                    <w:rPr>
                                      <w:rFonts w:eastAsia="Times New Roman" w:cs="Times New Roman"/>
                                      <w:b w:val="0"/>
                                      <w:bCs w:val="0"/>
                                      <w:color w:val="000000"/>
                                      <w:kern w:val="0"/>
                                      <w:sz w:val="18"/>
                                      <w:szCs w:val="18"/>
                                      <w:lang w:eastAsia="en-GB"/>
                                      <w14:ligatures w14:val="none"/>
                                    </w:rPr>
                                    <w:t>Glass</w:t>
                                  </w:r>
                                </w:p>
                              </w:tc>
                              <w:tc>
                                <w:tcPr>
                                  <w:tcW w:w="896" w:type="dxa"/>
                                  <w:noWrap/>
                                  <w:hideMark/>
                                </w:tcPr>
                                <w:p w14:paraId="3BF59408"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53.</w:t>
                                  </w:r>
                                  <w:r>
                                    <w:rPr>
                                      <w:rFonts w:eastAsia="Times New Roman" w:cs="Times New Roman"/>
                                      <w:color w:val="000000"/>
                                      <w:kern w:val="0"/>
                                      <w:sz w:val="18"/>
                                      <w:szCs w:val="18"/>
                                      <w:lang w:eastAsia="en-GB"/>
                                      <w14:ligatures w14:val="none"/>
                                    </w:rPr>
                                    <w:t>1</w:t>
                                  </w:r>
                                </w:p>
                              </w:tc>
                              <w:tc>
                                <w:tcPr>
                                  <w:tcW w:w="1281" w:type="dxa"/>
                                  <w:noWrap/>
                                  <w:hideMark/>
                                </w:tcPr>
                                <w:p w14:paraId="573CC3C8"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1165.5</w:t>
                                  </w:r>
                                </w:p>
                              </w:tc>
                              <w:tc>
                                <w:tcPr>
                                  <w:tcW w:w="1089" w:type="dxa"/>
                                  <w:noWrap/>
                                  <w:hideMark/>
                                </w:tcPr>
                                <w:p w14:paraId="512FB76E"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14.49</w:t>
                                  </w:r>
                                </w:p>
                              </w:tc>
                              <w:tc>
                                <w:tcPr>
                                  <w:tcW w:w="1089" w:type="dxa"/>
                                  <w:noWrap/>
                                  <w:hideMark/>
                                </w:tcPr>
                                <w:p w14:paraId="2E9CE6C1"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85.51</w:t>
                                  </w:r>
                                </w:p>
                              </w:tc>
                              <w:tc>
                                <w:tcPr>
                                  <w:tcW w:w="1089" w:type="dxa"/>
                                  <w:noWrap/>
                                  <w:hideMark/>
                                </w:tcPr>
                                <w:p w14:paraId="544D5440"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1004.4</w:t>
                                  </w:r>
                                </w:p>
                              </w:tc>
                              <w:tc>
                                <w:tcPr>
                                  <w:tcW w:w="896" w:type="dxa"/>
                                </w:tcPr>
                                <w:p w14:paraId="35A608CC"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1.24</w:t>
                                  </w:r>
                                </w:p>
                              </w:tc>
                            </w:tr>
                            <w:tr w:rsidR="005E43C7" w:rsidRPr="007E62A9" w14:paraId="2D3CE831" w14:textId="77777777" w:rsidTr="00CD5970">
                              <w:trPr>
                                <w:trHeight w:val="332"/>
                              </w:trPr>
                              <w:tc>
                                <w:tcPr>
                                  <w:cnfStyle w:val="001000000000" w:firstRow="0" w:lastRow="0" w:firstColumn="1" w:lastColumn="0" w:oddVBand="0" w:evenVBand="0" w:oddHBand="0" w:evenHBand="0" w:firstRowFirstColumn="0" w:firstRowLastColumn="0" w:lastRowFirstColumn="0" w:lastRowLastColumn="0"/>
                                  <w:tcW w:w="2353" w:type="dxa"/>
                                  <w:noWrap/>
                                  <w:hideMark/>
                                </w:tcPr>
                                <w:p w14:paraId="1493C02E" w14:textId="77777777" w:rsidR="005E43C7" w:rsidRPr="00930A96" w:rsidRDefault="005E43C7" w:rsidP="00D946E9">
                                  <w:pPr>
                                    <w:jc w:val="both"/>
                                    <w:rPr>
                                      <w:rFonts w:eastAsia="Times New Roman" w:cs="Times New Roman"/>
                                      <w:b w:val="0"/>
                                      <w:bCs w:val="0"/>
                                      <w:color w:val="000000"/>
                                      <w:kern w:val="0"/>
                                      <w:sz w:val="18"/>
                                      <w:szCs w:val="18"/>
                                      <w:lang w:eastAsia="en-GB"/>
                                      <w14:ligatures w14:val="none"/>
                                    </w:rPr>
                                  </w:pPr>
                                  <w:r w:rsidRPr="00930A96">
                                    <w:rPr>
                                      <w:rFonts w:eastAsia="Times New Roman" w:cs="Times New Roman"/>
                                      <w:b w:val="0"/>
                                      <w:bCs w:val="0"/>
                                      <w:color w:val="000000"/>
                                      <w:kern w:val="0"/>
                                      <w:sz w:val="18"/>
                                      <w:szCs w:val="18"/>
                                      <w:lang w:eastAsia="en-GB"/>
                                      <w14:ligatures w14:val="none"/>
                                    </w:rPr>
                                    <w:t>PEDOT: PSS</w:t>
                                  </w:r>
                                </w:p>
                              </w:tc>
                              <w:tc>
                                <w:tcPr>
                                  <w:tcW w:w="896" w:type="dxa"/>
                                  <w:noWrap/>
                                  <w:hideMark/>
                                </w:tcPr>
                                <w:p w14:paraId="03406262" w14:textId="77777777" w:rsidR="005E43C7" w:rsidRPr="00930A96" w:rsidRDefault="005E43C7" w:rsidP="00D946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F22014">
                                    <w:rPr>
                                      <w:rFonts w:eastAsia="Times New Roman" w:cs="Times New Roman"/>
                                      <w:color w:val="000000"/>
                                      <w:kern w:val="0"/>
                                      <w:sz w:val="18"/>
                                      <w:szCs w:val="18"/>
                                      <w:lang w:eastAsia="en-GB"/>
                                      <w14:ligatures w14:val="none"/>
                                    </w:rPr>
                                    <w:t>21.6</w:t>
                                  </w:r>
                                </w:p>
                              </w:tc>
                              <w:tc>
                                <w:tcPr>
                                  <w:tcW w:w="1281" w:type="dxa"/>
                                  <w:noWrap/>
                                  <w:hideMark/>
                                </w:tcPr>
                                <w:p w14:paraId="580AE985" w14:textId="77777777" w:rsidR="005E43C7" w:rsidRPr="00930A96" w:rsidRDefault="005E43C7" w:rsidP="00D946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F22014">
                                    <w:rPr>
                                      <w:rFonts w:eastAsia="Times New Roman" w:cs="Times New Roman"/>
                                      <w:color w:val="000000"/>
                                      <w:kern w:val="0"/>
                                      <w:sz w:val="18"/>
                                      <w:szCs w:val="18"/>
                                      <w:lang w:eastAsia="en-GB"/>
                                      <w14:ligatures w14:val="none"/>
                                    </w:rPr>
                                    <w:t>134.3</w:t>
                                  </w:r>
                                </w:p>
                              </w:tc>
                              <w:tc>
                                <w:tcPr>
                                  <w:tcW w:w="1089" w:type="dxa"/>
                                  <w:noWrap/>
                                  <w:hideMark/>
                                </w:tcPr>
                                <w:p w14:paraId="35AD7BB2" w14:textId="77777777" w:rsidR="005E43C7" w:rsidRPr="00930A96" w:rsidRDefault="005E43C7" w:rsidP="00D946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F22014">
                                    <w:rPr>
                                      <w:rFonts w:eastAsia="Times New Roman" w:cs="Times New Roman"/>
                                      <w:color w:val="000000"/>
                                      <w:kern w:val="0"/>
                                      <w:sz w:val="18"/>
                                      <w:szCs w:val="18"/>
                                      <w:lang w:eastAsia="en-GB"/>
                                      <w14:ligatures w14:val="none"/>
                                    </w:rPr>
                                    <w:t>60.60</w:t>
                                  </w:r>
                                </w:p>
                              </w:tc>
                              <w:tc>
                                <w:tcPr>
                                  <w:tcW w:w="1089" w:type="dxa"/>
                                  <w:noWrap/>
                                  <w:hideMark/>
                                </w:tcPr>
                                <w:p w14:paraId="5B6F271E" w14:textId="77777777" w:rsidR="005E43C7" w:rsidRPr="00930A96" w:rsidRDefault="005E43C7" w:rsidP="00D946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F22014">
                                    <w:rPr>
                                      <w:rFonts w:eastAsia="Times New Roman" w:cs="Times New Roman"/>
                                      <w:color w:val="000000"/>
                                      <w:kern w:val="0"/>
                                      <w:sz w:val="18"/>
                                      <w:szCs w:val="18"/>
                                      <w:lang w:eastAsia="en-GB"/>
                                      <w14:ligatures w14:val="none"/>
                                    </w:rPr>
                                    <w:t>39.40</w:t>
                                  </w:r>
                                </w:p>
                              </w:tc>
                              <w:tc>
                                <w:tcPr>
                                  <w:tcW w:w="1089" w:type="dxa"/>
                                  <w:noWrap/>
                                  <w:hideMark/>
                                </w:tcPr>
                                <w:p w14:paraId="523C805D" w14:textId="77777777" w:rsidR="005E43C7" w:rsidRPr="00930A96" w:rsidRDefault="005E43C7" w:rsidP="00D946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F22014">
                                    <w:rPr>
                                      <w:rFonts w:eastAsia="Times New Roman" w:cs="Times New Roman"/>
                                      <w:color w:val="000000"/>
                                      <w:kern w:val="0"/>
                                      <w:sz w:val="18"/>
                                      <w:szCs w:val="18"/>
                                      <w:lang w:eastAsia="en-GB"/>
                                      <w14:ligatures w14:val="none"/>
                                    </w:rPr>
                                    <w:t>66.0</w:t>
                                  </w:r>
                                </w:p>
                              </w:tc>
                              <w:tc>
                                <w:tcPr>
                                  <w:tcW w:w="896" w:type="dxa"/>
                                </w:tcPr>
                                <w:p w14:paraId="76156126" w14:textId="77777777" w:rsidR="005E43C7" w:rsidRPr="00F22014" w:rsidRDefault="005E43C7" w:rsidP="00D946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F22014">
                                    <w:rPr>
                                      <w:rFonts w:eastAsia="Times New Roman" w:cs="Times New Roman"/>
                                      <w:color w:val="000000"/>
                                      <w:kern w:val="0"/>
                                      <w:sz w:val="18"/>
                                      <w:szCs w:val="18"/>
                                      <w:lang w:eastAsia="en-GB"/>
                                      <w14:ligatures w14:val="none"/>
                                    </w:rPr>
                                    <w:t>1.84</w:t>
                                  </w:r>
                                </w:p>
                              </w:tc>
                            </w:tr>
                            <w:tr w:rsidR="005E43C7" w:rsidRPr="007E62A9" w14:paraId="633FDB36" w14:textId="77777777" w:rsidTr="00CD597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353" w:type="dxa"/>
                                  <w:noWrap/>
                                  <w:hideMark/>
                                </w:tcPr>
                                <w:p w14:paraId="225D40D9" w14:textId="77777777" w:rsidR="005E43C7" w:rsidRPr="00930A96" w:rsidRDefault="005E43C7" w:rsidP="00D946E9">
                                  <w:pPr>
                                    <w:jc w:val="both"/>
                                    <w:rPr>
                                      <w:rFonts w:eastAsia="Times New Roman" w:cs="Times New Roman"/>
                                      <w:b w:val="0"/>
                                      <w:bCs w:val="0"/>
                                      <w:color w:val="000000"/>
                                      <w:kern w:val="0"/>
                                      <w:sz w:val="18"/>
                                      <w:szCs w:val="18"/>
                                      <w:lang w:eastAsia="en-GB"/>
                                      <w14:ligatures w14:val="none"/>
                                    </w:rPr>
                                  </w:pPr>
                                  <w:r w:rsidRPr="00930A96">
                                    <w:rPr>
                                      <w:rFonts w:eastAsia="Times New Roman" w:cs="Times New Roman"/>
                                      <w:b w:val="0"/>
                                      <w:bCs w:val="0"/>
                                      <w:color w:val="000000"/>
                                      <w:kern w:val="0"/>
                                      <w:sz w:val="18"/>
                                      <w:szCs w:val="18"/>
                                      <w:lang w:eastAsia="en-GB"/>
                                      <w14:ligatures w14:val="none"/>
                                    </w:rPr>
                                    <w:t>MeO-2PACz</w:t>
                                  </w:r>
                                </w:p>
                              </w:tc>
                              <w:tc>
                                <w:tcPr>
                                  <w:tcW w:w="896" w:type="dxa"/>
                                  <w:noWrap/>
                                  <w:hideMark/>
                                </w:tcPr>
                                <w:p w14:paraId="6E8D91C8"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65.3</w:t>
                                  </w:r>
                                </w:p>
                              </w:tc>
                              <w:tc>
                                <w:tcPr>
                                  <w:tcW w:w="1281" w:type="dxa"/>
                                  <w:noWrap/>
                                  <w:hideMark/>
                                </w:tcPr>
                                <w:p w14:paraId="481E9466"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89</w:t>
                                  </w:r>
                                  <w:r>
                                    <w:rPr>
                                      <w:rFonts w:eastAsia="Times New Roman" w:cs="Times New Roman"/>
                                      <w:color w:val="000000"/>
                                      <w:kern w:val="0"/>
                                      <w:sz w:val="18"/>
                                      <w:szCs w:val="18"/>
                                      <w:lang w:eastAsia="en-GB"/>
                                      <w14:ligatures w14:val="none"/>
                                    </w:rPr>
                                    <w:t>1</w:t>
                                  </w:r>
                                  <w:r w:rsidRPr="00930A96">
                                    <w:rPr>
                                      <w:rFonts w:eastAsia="Times New Roman" w:cs="Times New Roman"/>
                                      <w:color w:val="000000"/>
                                      <w:kern w:val="0"/>
                                      <w:sz w:val="18"/>
                                      <w:szCs w:val="18"/>
                                      <w:lang w:eastAsia="en-GB"/>
                                      <w14:ligatures w14:val="none"/>
                                    </w:rPr>
                                    <w:t>.</w:t>
                                  </w:r>
                                  <w:r>
                                    <w:rPr>
                                      <w:rFonts w:eastAsia="Times New Roman" w:cs="Times New Roman"/>
                                      <w:color w:val="000000"/>
                                      <w:kern w:val="0"/>
                                      <w:sz w:val="18"/>
                                      <w:szCs w:val="18"/>
                                      <w:lang w:eastAsia="en-GB"/>
                                      <w14:ligatures w14:val="none"/>
                                    </w:rPr>
                                    <w:t>0</w:t>
                                  </w:r>
                                </w:p>
                              </w:tc>
                              <w:tc>
                                <w:tcPr>
                                  <w:tcW w:w="1089" w:type="dxa"/>
                                  <w:noWrap/>
                                  <w:hideMark/>
                                </w:tcPr>
                                <w:p w14:paraId="582FF8E0"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42.97</w:t>
                                  </w:r>
                                </w:p>
                              </w:tc>
                              <w:tc>
                                <w:tcPr>
                                  <w:tcW w:w="1089" w:type="dxa"/>
                                  <w:noWrap/>
                                  <w:hideMark/>
                                </w:tcPr>
                                <w:p w14:paraId="436B91D3"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57.03</w:t>
                                  </w:r>
                                </w:p>
                              </w:tc>
                              <w:tc>
                                <w:tcPr>
                                  <w:tcW w:w="1089" w:type="dxa"/>
                                  <w:noWrap/>
                                  <w:hideMark/>
                                </w:tcPr>
                                <w:p w14:paraId="10C62D70"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536.1</w:t>
                                  </w:r>
                                </w:p>
                              </w:tc>
                              <w:tc>
                                <w:tcPr>
                                  <w:tcW w:w="896" w:type="dxa"/>
                                </w:tcPr>
                                <w:p w14:paraId="1DC9D6BD"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1.12</w:t>
                                  </w:r>
                                </w:p>
                              </w:tc>
                            </w:tr>
                            <w:tr w:rsidR="005E43C7" w:rsidRPr="007E62A9" w14:paraId="0B35CDEB" w14:textId="77777777" w:rsidTr="00CD5970">
                              <w:trPr>
                                <w:trHeight w:val="332"/>
                              </w:trPr>
                              <w:tc>
                                <w:tcPr>
                                  <w:cnfStyle w:val="001000000000" w:firstRow="0" w:lastRow="0" w:firstColumn="1" w:lastColumn="0" w:oddVBand="0" w:evenVBand="0" w:oddHBand="0" w:evenHBand="0" w:firstRowFirstColumn="0" w:firstRowLastColumn="0" w:lastRowFirstColumn="0" w:lastRowLastColumn="0"/>
                                  <w:tcW w:w="2353" w:type="dxa"/>
                                  <w:noWrap/>
                                  <w:hideMark/>
                                </w:tcPr>
                                <w:p w14:paraId="77E8E430" w14:textId="77777777" w:rsidR="005E43C7" w:rsidRPr="00930A96" w:rsidRDefault="005E43C7" w:rsidP="003224B1">
                                  <w:pPr>
                                    <w:jc w:val="both"/>
                                    <w:rPr>
                                      <w:rFonts w:eastAsia="Times New Roman" w:cs="Times New Roman"/>
                                      <w:b w:val="0"/>
                                      <w:bCs w:val="0"/>
                                      <w:color w:val="000000"/>
                                      <w:kern w:val="0"/>
                                      <w:sz w:val="18"/>
                                      <w:szCs w:val="18"/>
                                      <w:lang w:eastAsia="en-GB"/>
                                      <w14:ligatures w14:val="none"/>
                                    </w:rPr>
                                  </w:pPr>
                                  <w:r w:rsidRPr="00930A96">
                                    <w:rPr>
                                      <w:rFonts w:eastAsia="Times New Roman" w:cs="Times New Roman"/>
                                      <w:b w:val="0"/>
                                      <w:bCs w:val="0"/>
                                      <w:color w:val="000000"/>
                                      <w:kern w:val="0"/>
                                      <w:sz w:val="18"/>
                                      <w:szCs w:val="18"/>
                                      <w:lang w:eastAsia="en-GB"/>
                                      <w14:ligatures w14:val="none"/>
                                    </w:rPr>
                                    <w:t>PTAA</w:t>
                                  </w:r>
                                </w:p>
                              </w:tc>
                              <w:tc>
                                <w:tcPr>
                                  <w:tcW w:w="896" w:type="dxa"/>
                                  <w:noWrap/>
                                  <w:hideMark/>
                                </w:tcPr>
                                <w:p w14:paraId="3C870C16" w14:textId="77777777" w:rsidR="005E43C7" w:rsidRPr="00930A96" w:rsidRDefault="005E43C7" w:rsidP="003224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87.</w:t>
                                  </w:r>
                                  <w:r>
                                    <w:rPr>
                                      <w:rFonts w:eastAsia="Times New Roman" w:cs="Times New Roman"/>
                                      <w:color w:val="000000"/>
                                      <w:kern w:val="0"/>
                                      <w:sz w:val="18"/>
                                      <w:szCs w:val="18"/>
                                      <w:lang w:eastAsia="en-GB"/>
                                      <w14:ligatures w14:val="none"/>
                                    </w:rPr>
                                    <w:t>9</w:t>
                                  </w:r>
                                </w:p>
                              </w:tc>
                              <w:tc>
                                <w:tcPr>
                                  <w:tcW w:w="1281" w:type="dxa"/>
                                  <w:noWrap/>
                                  <w:hideMark/>
                                </w:tcPr>
                                <w:p w14:paraId="23E76B34" w14:textId="77777777" w:rsidR="005E43C7" w:rsidRPr="00930A96" w:rsidRDefault="005E43C7" w:rsidP="003224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860.6</w:t>
                                  </w:r>
                                </w:p>
                              </w:tc>
                              <w:tc>
                                <w:tcPr>
                                  <w:tcW w:w="1089" w:type="dxa"/>
                                  <w:noWrap/>
                                  <w:hideMark/>
                                </w:tcPr>
                                <w:p w14:paraId="0008811D" w14:textId="77777777" w:rsidR="005E43C7" w:rsidRPr="00930A96" w:rsidRDefault="005E43C7" w:rsidP="003224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56.67</w:t>
                                  </w:r>
                                </w:p>
                              </w:tc>
                              <w:tc>
                                <w:tcPr>
                                  <w:tcW w:w="1089" w:type="dxa"/>
                                  <w:noWrap/>
                                  <w:hideMark/>
                                </w:tcPr>
                                <w:p w14:paraId="614DD321" w14:textId="77777777" w:rsidR="005E43C7" w:rsidRPr="00930A96" w:rsidRDefault="005E43C7" w:rsidP="003224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43.33</w:t>
                                  </w:r>
                                </w:p>
                              </w:tc>
                              <w:tc>
                                <w:tcPr>
                                  <w:tcW w:w="1089" w:type="dxa"/>
                                  <w:noWrap/>
                                  <w:hideMark/>
                                </w:tcPr>
                                <w:p w14:paraId="01A98F88" w14:textId="77777777" w:rsidR="005E43C7" w:rsidRPr="00930A96" w:rsidRDefault="005E43C7" w:rsidP="003224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422.</w:t>
                                  </w:r>
                                  <w:r>
                                    <w:rPr>
                                      <w:rFonts w:eastAsia="Times New Roman" w:cs="Times New Roman"/>
                                      <w:color w:val="000000"/>
                                      <w:kern w:val="0"/>
                                      <w:sz w:val="18"/>
                                      <w:szCs w:val="18"/>
                                      <w:lang w:eastAsia="en-GB"/>
                                      <w14:ligatures w14:val="none"/>
                                    </w:rPr>
                                    <w:t>7</w:t>
                                  </w:r>
                                </w:p>
                              </w:tc>
                              <w:tc>
                                <w:tcPr>
                                  <w:tcW w:w="896" w:type="dxa"/>
                                </w:tcPr>
                                <w:p w14:paraId="60F3FCCA" w14:textId="77777777" w:rsidR="005E43C7" w:rsidRPr="00930A96" w:rsidRDefault="005E43C7" w:rsidP="003224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1.09</w:t>
                                  </w:r>
                                </w:p>
                              </w:tc>
                            </w:tr>
                            <w:tr w:rsidR="005E43C7" w:rsidRPr="007E62A9" w14:paraId="1D7680E7" w14:textId="77777777" w:rsidTr="00CD597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353" w:type="dxa"/>
                                  <w:noWrap/>
                                </w:tcPr>
                                <w:p w14:paraId="2A296AF7" w14:textId="4D587D3C" w:rsidR="005E43C7" w:rsidRPr="00930A96" w:rsidRDefault="005E43C7" w:rsidP="00A91687">
                                  <w:pPr>
                                    <w:jc w:val="both"/>
                                    <w:rPr>
                                      <w:rFonts w:eastAsia="Times New Roman" w:cs="Times New Roman"/>
                                      <w:b w:val="0"/>
                                      <w:bCs w:val="0"/>
                                      <w:color w:val="000000"/>
                                      <w:kern w:val="0"/>
                                      <w:sz w:val="18"/>
                                      <w:szCs w:val="18"/>
                                      <w:lang w:eastAsia="en-GB"/>
                                      <w14:ligatures w14:val="none"/>
                                    </w:rPr>
                                  </w:pPr>
                                  <w:r>
                                    <w:rPr>
                                      <w:rFonts w:eastAsia="Times New Roman" w:cs="Times New Roman"/>
                                      <w:b w:val="0"/>
                                      <w:bCs w:val="0"/>
                                      <w:color w:val="000000"/>
                                      <w:kern w:val="0"/>
                                      <w:sz w:val="18"/>
                                      <w:szCs w:val="18"/>
                                      <w:lang w:eastAsia="en-GB"/>
                                      <w14:ligatures w14:val="none"/>
                                    </w:rPr>
                                    <w:t>PTAA</w:t>
                                  </w:r>
                                  <w:r w:rsidRPr="00930A96">
                                    <w:rPr>
                                      <w:rFonts w:eastAsia="Times New Roman" w:cs="Times New Roman"/>
                                      <w:b w:val="0"/>
                                      <w:bCs w:val="0"/>
                                      <w:color w:val="000000"/>
                                      <w:kern w:val="0"/>
                                      <w:sz w:val="18"/>
                                      <w:szCs w:val="18"/>
                                      <w:lang w:eastAsia="en-GB"/>
                                      <w14:ligatures w14:val="none"/>
                                    </w:rPr>
                                    <w:t>: F4TCNQ</w:t>
                                  </w:r>
                                </w:p>
                              </w:tc>
                              <w:tc>
                                <w:tcPr>
                                  <w:tcW w:w="896" w:type="dxa"/>
                                  <w:noWrap/>
                                </w:tcPr>
                                <w:p w14:paraId="11F96139" w14:textId="00239184" w:rsidR="005E43C7" w:rsidRPr="00930A96" w:rsidRDefault="005E43C7" w:rsidP="00A9168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56.</w:t>
                                  </w:r>
                                  <w:r>
                                    <w:rPr>
                                      <w:rFonts w:eastAsia="Times New Roman" w:cs="Times New Roman"/>
                                      <w:color w:val="000000"/>
                                      <w:kern w:val="0"/>
                                      <w:sz w:val="18"/>
                                      <w:szCs w:val="18"/>
                                      <w:lang w:eastAsia="en-GB"/>
                                      <w14:ligatures w14:val="none"/>
                                    </w:rPr>
                                    <w:t>8</w:t>
                                  </w:r>
                                </w:p>
                              </w:tc>
                              <w:tc>
                                <w:tcPr>
                                  <w:tcW w:w="1281" w:type="dxa"/>
                                  <w:noWrap/>
                                </w:tcPr>
                                <w:p w14:paraId="271372DE" w14:textId="6F921399" w:rsidR="005E43C7" w:rsidRPr="00930A96" w:rsidRDefault="005E43C7" w:rsidP="00A9168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826.</w:t>
                                  </w:r>
                                  <w:r>
                                    <w:rPr>
                                      <w:rFonts w:eastAsia="Times New Roman" w:cs="Times New Roman"/>
                                      <w:color w:val="000000"/>
                                      <w:kern w:val="0"/>
                                      <w:sz w:val="18"/>
                                      <w:szCs w:val="18"/>
                                      <w:lang w:eastAsia="en-GB"/>
                                      <w14:ligatures w14:val="none"/>
                                    </w:rPr>
                                    <w:t>1</w:t>
                                  </w:r>
                                </w:p>
                              </w:tc>
                              <w:tc>
                                <w:tcPr>
                                  <w:tcW w:w="1089" w:type="dxa"/>
                                  <w:noWrap/>
                                </w:tcPr>
                                <w:p w14:paraId="302A7A1A" w14:textId="5206B996" w:rsidR="005E43C7" w:rsidRPr="00930A96" w:rsidRDefault="005E43C7" w:rsidP="00A9168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39.25</w:t>
                                  </w:r>
                                </w:p>
                              </w:tc>
                              <w:tc>
                                <w:tcPr>
                                  <w:tcW w:w="1089" w:type="dxa"/>
                                  <w:noWrap/>
                                </w:tcPr>
                                <w:p w14:paraId="689B0DE9" w14:textId="670A9205" w:rsidR="005E43C7" w:rsidRPr="00930A96" w:rsidRDefault="005E43C7" w:rsidP="00A9168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60.75</w:t>
                                  </w:r>
                                </w:p>
                              </w:tc>
                              <w:tc>
                                <w:tcPr>
                                  <w:tcW w:w="1089" w:type="dxa"/>
                                  <w:noWrap/>
                                </w:tcPr>
                                <w:p w14:paraId="1F719503" w14:textId="1BD11CEE" w:rsidR="005E43C7" w:rsidRPr="00930A96" w:rsidRDefault="005E43C7" w:rsidP="00A9168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524.1</w:t>
                                  </w:r>
                                </w:p>
                              </w:tc>
                              <w:tc>
                                <w:tcPr>
                                  <w:tcW w:w="896" w:type="dxa"/>
                                </w:tcPr>
                                <w:p w14:paraId="636E671C" w14:textId="404FA9C8" w:rsidR="005E43C7" w:rsidRPr="00930A96" w:rsidRDefault="005E43C7" w:rsidP="00A9168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1.19</w:t>
                                  </w:r>
                                </w:p>
                              </w:tc>
                            </w:tr>
                          </w:tbl>
                          <w:p w14:paraId="75A34C7E" w14:textId="77777777" w:rsidR="005E43C7" w:rsidRDefault="005E43C7" w:rsidP="005E43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1557D" id="_x0000_t202" coordsize="21600,21600" o:spt="202" path="m,l,21600r21600,l21600,xe">
                <v:stroke joinstyle="miter"/>
                <v:path gradientshapeok="t" o:connecttype="rect"/>
              </v:shapetype>
              <v:shape id="Text Box 2" o:spid="_x0000_s1026" type="#_x0000_t202" style="position:absolute;left:0;text-align:left;margin-left:0;margin-top:41.7pt;width:452pt;height:131.4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" stroked="f">
                <v:textbox>
                  <w:txbxContent>
                    <w:tbl>
                      <w:tblPr>
                        <w:tblStyle w:val="PlainTable2"/>
                        <w:tblW w:w="8693" w:type="dxa"/>
                        <w:tblLook w:val="04A0" w:firstRow="1" w:lastRow="0" w:firstColumn="1" w:lastColumn="0" w:noHBand="0" w:noVBand="1"/>
                      </w:tblPr>
                      <w:tblGrid>
                        <w:gridCol w:w="2353"/>
                        <w:gridCol w:w="896"/>
                        <w:gridCol w:w="1281"/>
                        <w:gridCol w:w="1089"/>
                        <w:gridCol w:w="1089"/>
                        <w:gridCol w:w="1089"/>
                        <w:gridCol w:w="896"/>
                      </w:tblGrid>
                      <w:tr w:rsidR="005E43C7" w:rsidRPr="007E62A9" w14:paraId="27F96102" w14:textId="77777777" w:rsidTr="00CD5970">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353" w:type="dxa"/>
                            <w:noWrap/>
                            <w:hideMark/>
                          </w:tcPr>
                          <w:p w14:paraId="756527FB" w14:textId="77777777" w:rsidR="005E43C7" w:rsidRPr="00930A96" w:rsidRDefault="005E43C7" w:rsidP="00D946E9">
                            <w:pPr>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Perovskite deposited on</w:t>
                            </w:r>
                          </w:p>
                        </w:tc>
                        <w:tc>
                          <w:tcPr>
                            <w:tcW w:w="896" w:type="dxa"/>
                            <w:noWrap/>
                            <w:hideMark/>
                          </w:tcPr>
                          <w:p w14:paraId="44BBB342" w14:textId="77777777" w:rsidR="005E43C7" w:rsidRPr="00930A96" w:rsidRDefault="005E43C7" w:rsidP="00D946E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τ</w:t>
                            </w:r>
                            <w:r w:rsidRPr="00930A96">
                              <w:rPr>
                                <w:rFonts w:eastAsia="Times New Roman" w:cs="Times New Roman"/>
                                <w:color w:val="000000"/>
                                <w:kern w:val="0"/>
                                <w:sz w:val="18"/>
                                <w:szCs w:val="18"/>
                                <w:vertAlign w:val="subscript"/>
                                <w:lang w:eastAsia="en-GB"/>
                                <w14:ligatures w14:val="none"/>
                              </w:rPr>
                              <w:t>1</w:t>
                            </w:r>
                          </w:p>
                        </w:tc>
                        <w:tc>
                          <w:tcPr>
                            <w:tcW w:w="1281" w:type="dxa"/>
                            <w:noWrap/>
                            <w:hideMark/>
                          </w:tcPr>
                          <w:p w14:paraId="6FD8B42E" w14:textId="77777777" w:rsidR="005E43C7" w:rsidRPr="00930A96" w:rsidRDefault="005E43C7" w:rsidP="00D946E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τ</w:t>
                            </w:r>
                            <w:r w:rsidRPr="00930A96">
                              <w:rPr>
                                <w:rFonts w:eastAsia="Times New Roman" w:cs="Times New Roman"/>
                                <w:color w:val="000000"/>
                                <w:kern w:val="0"/>
                                <w:sz w:val="18"/>
                                <w:szCs w:val="18"/>
                                <w:vertAlign w:val="subscript"/>
                                <w:lang w:eastAsia="en-GB"/>
                                <w14:ligatures w14:val="none"/>
                              </w:rPr>
                              <w:t>2</w:t>
                            </w:r>
                          </w:p>
                        </w:tc>
                        <w:tc>
                          <w:tcPr>
                            <w:tcW w:w="1089" w:type="dxa"/>
                            <w:noWrap/>
                            <w:hideMark/>
                          </w:tcPr>
                          <w:p w14:paraId="6785344E" w14:textId="77777777" w:rsidR="005E43C7" w:rsidRPr="00930A96" w:rsidRDefault="005E43C7" w:rsidP="00D946E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 of B</w:t>
                            </w:r>
                            <w:r w:rsidRPr="00930A96">
                              <w:rPr>
                                <w:rFonts w:eastAsia="Times New Roman" w:cs="Times New Roman"/>
                                <w:color w:val="000000"/>
                                <w:kern w:val="0"/>
                                <w:sz w:val="18"/>
                                <w:szCs w:val="18"/>
                                <w:vertAlign w:val="subscript"/>
                                <w:lang w:eastAsia="en-GB"/>
                                <w14:ligatures w14:val="none"/>
                              </w:rPr>
                              <w:t>1</w:t>
                            </w:r>
                          </w:p>
                        </w:tc>
                        <w:tc>
                          <w:tcPr>
                            <w:tcW w:w="1089" w:type="dxa"/>
                            <w:noWrap/>
                            <w:hideMark/>
                          </w:tcPr>
                          <w:p w14:paraId="7C348E3E" w14:textId="77777777" w:rsidR="005E43C7" w:rsidRPr="00930A96" w:rsidRDefault="005E43C7" w:rsidP="00D946E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 of B</w:t>
                            </w:r>
                            <w:r w:rsidRPr="00930A96">
                              <w:rPr>
                                <w:rFonts w:eastAsia="Times New Roman" w:cs="Times New Roman"/>
                                <w:color w:val="000000"/>
                                <w:kern w:val="0"/>
                                <w:sz w:val="18"/>
                                <w:szCs w:val="18"/>
                                <w:vertAlign w:val="subscript"/>
                                <w:lang w:eastAsia="en-GB"/>
                                <w14:ligatures w14:val="none"/>
                              </w:rPr>
                              <w:t>2</w:t>
                            </w:r>
                          </w:p>
                        </w:tc>
                        <w:tc>
                          <w:tcPr>
                            <w:tcW w:w="1089" w:type="dxa"/>
                            <w:noWrap/>
                            <w:hideMark/>
                          </w:tcPr>
                          <w:p w14:paraId="0741CEAC" w14:textId="77777777" w:rsidR="005E43C7" w:rsidRPr="00930A96" w:rsidRDefault="005E43C7" w:rsidP="00D946E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&lt;τ&gt;</w:t>
                            </w:r>
                            <w:r w:rsidRPr="00930A96">
                              <w:rPr>
                                <w:rFonts w:eastAsia="Times New Roman" w:cs="Times New Roman"/>
                                <w:color w:val="000000"/>
                                <w:kern w:val="0"/>
                                <w:sz w:val="18"/>
                                <w:szCs w:val="18"/>
                                <w:vertAlign w:val="subscript"/>
                                <w:lang w:eastAsia="en-GB"/>
                                <w14:ligatures w14:val="none"/>
                              </w:rPr>
                              <w:t>amp</w:t>
                            </w:r>
                          </w:p>
                        </w:tc>
                        <w:tc>
                          <w:tcPr>
                            <w:tcW w:w="896" w:type="dxa"/>
                          </w:tcPr>
                          <w:p w14:paraId="02A25090" w14:textId="77777777" w:rsidR="005E43C7" w:rsidRPr="00930A96" w:rsidRDefault="005E43C7" w:rsidP="00D946E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Chi2</w:t>
                            </w:r>
                          </w:p>
                        </w:tc>
                      </w:tr>
                      <w:tr w:rsidR="005E43C7" w:rsidRPr="007E62A9" w14:paraId="3DAC4304" w14:textId="77777777" w:rsidTr="00CD597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353" w:type="dxa"/>
                            <w:noWrap/>
                            <w:hideMark/>
                          </w:tcPr>
                          <w:p w14:paraId="250B4227" w14:textId="77777777" w:rsidR="005E43C7" w:rsidRPr="00930A96" w:rsidRDefault="005E43C7" w:rsidP="00D946E9">
                            <w:pPr>
                              <w:jc w:val="both"/>
                              <w:rPr>
                                <w:rFonts w:eastAsia="Times New Roman" w:cs="Times New Roman"/>
                                <w:b w:val="0"/>
                                <w:bCs w:val="0"/>
                                <w:color w:val="000000"/>
                                <w:kern w:val="0"/>
                                <w:sz w:val="18"/>
                                <w:szCs w:val="18"/>
                                <w:lang w:eastAsia="en-GB"/>
                                <w14:ligatures w14:val="none"/>
                              </w:rPr>
                            </w:pPr>
                            <w:r w:rsidRPr="00930A96">
                              <w:rPr>
                                <w:rFonts w:eastAsia="Times New Roman" w:cs="Times New Roman"/>
                                <w:b w:val="0"/>
                                <w:bCs w:val="0"/>
                                <w:color w:val="000000"/>
                                <w:kern w:val="0"/>
                                <w:sz w:val="18"/>
                                <w:szCs w:val="18"/>
                                <w:lang w:eastAsia="en-GB"/>
                                <w14:ligatures w14:val="none"/>
                              </w:rPr>
                              <w:t>Glass</w:t>
                            </w:r>
                          </w:p>
                        </w:tc>
                        <w:tc>
                          <w:tcPr>
                            <w:tcW w:w="896" w:type="dxa"/>
                            <w:noWrap/>
                            <w:hideMark/>
                          </w:tcPr>
                          <w:p w14:paraId="3BF59408"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53.</w:t>
                            </w:r>
                            <w:r>
                              <w:rPr>
                                <w:rFonts w:eastAsia="Times New Roman" w:cs="Times New Roman"/>
                                <w:color w:val="000000"/>
                                <w:kern w:val="0"/>
                                <w:sz w:val="18"/>
                                <w:szCs w:val="18"/>
                                <w:lang w:eastAsia="en-GB"/>
                                <w14:ligatures w14:val="none"/>
                              </w:rPr>
                              <w:t>1</w:t>
                            </w:r>
                          </w:p>
                        </w:tc>
                        <w:tc>
                          <w:tcPr>
                            <w:tcW w:w="1281" w:type="dxa"/>
                            <w:noWrap/>
                            <w:hideMark/>
                          </w:tcPr>
                          <w:p w14:paraId="573CC3C8"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1165.5</w:t>
                            </w:r>
                          </w:p>
                        </w:tc>
                        <w:tc>
                          <w:tcPr>
                            <w:tcW w:w="1089" w:type="dxa"/>
                            <w:noWrap/>
                            <w:hideMark/>
                          </w:tcPr>
                          <w:p w14:paraId="512FB76E"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14.49</w:t>
                            </w:r>
                          </w:p>
                        </w:tc>
                        <w:tc>
                          <w:tcPr>
                            <w:tcW w:w="1089" w:type="dxa"/>
                            <w:noWrap/>
                            <w:hideMark/>
                          </w:tcPr>
                          <w:p w14:paraId="2E9CE6C1"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85.51</w:t>
                            </w:r>
                          </w:p>
                        </w:tc>
                        <w:tc>
                          <w:tcPr>
                            <w:tcW w:w="1089" w:type="dxa"/>
                            <w:noWrap/>
                            <w:hideMark/>
                          </w:tcPr>
                          <w:p w14:paraId="544D5440"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1004.4</w:t>
                            </w:r>
                          </w:p>
                        </w:tc>
                        <w:tc>
                          <w:tcPr>
                            <w:tcW w:w="896" w:type="dxa"/>
                          </w:tcPr>
                          <w:p w14:paraId="35A608CC"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1.24</w:t>
                            </w:r>
                          </w:p>
                        </w:tc>
                      </w:tr>
                      <w:tr w:rsidR="005E43C7" w:rsidRPr="007E62A9" w14:paraId="2D3CE831" w14:textId="77777777" w:rsidTr="00CD5970">
                        <w:trPr>
                          <w:trHeight w:val="332"/>
                        </w:trPr>
                        <w:tc>
                          <w:tcPr>
                            <w:cnfStyle w:val="001000000000" w:firstRow="0" w:lastRow="0" w:firstColumn="1" w:lastColumn="0" w:oddVBand="0" w:evenVBand="0" w:oddHBand="0" w:evenHBand="0" w:firstRowFirstColumn="0" w:firstRowLastColumn="0" w:lastRowFirstColumn="0" w:lastRowLastColumn="0"/>
                            <w:tcW w:w="2353" w:type="dxa"/>
                            <w:noWrap/>
                            <w:hideMark/>
                          </w:tcPr>
                          <w:p w14:paraId="1493C02E" w14:textId="77777777" w:rsidR="005E43C7" w:rsidRPr="00930A96" w:rsidRDefault="005E43C7" w:rsidP="00D946E9">
                            <w:pPr>
                              <w:jc w:val="both"/>
                              <w:rPr>
                                <w:rFonts w:eastAsia="Times New Roman" w:cs="Times New Roman"/>
                                <w:b w:val="0"/>
                                <w:bCs w:val="0"/>
                                <w:color w:val="000000"/>
                                <w:kern w:val="0"/>
                                <w:sz w:val="18"/>
                                <w:szCs w:val="18"/>
                                <w:lang w:eastAsia="en-GB"/>
                                <w14:ligatures w14:val="none"/>
                              </w:rPr>
                            </w:pPr>
                            <w:r w:rsidRPr="00930A96">
                              <w:rPr>
                                <w:rFonts w:eastAsia="Times New Roman" w:cs="Times New Roman"/>
                                <w:b w:val="0"/>
                                <w:bCs w:val="0"/>
                                <w:color w:val="000000"/>
                                <w:kern w:val="0"/>
                                <w:sz w:val="18"/>
                                <w:szCs w:val="18"/>
                                <w:lang w:eastAsia="en-GB"/>
                                <w14:ligatures w14:val="none"/>
                              </w:rPr>
                              <w:t>PEDOT: PSS</w:t>
                            </w:r>
                          </w:p>
                        </w:tc>
                        <w:tc>
                          <w:tcPr>
                            <w:tcW w:w="896" w:type="dxa"/>
                            <w:noWrap/>
                            <w:hideMark/>
                          </w:tcPr>
                          <w:p w14:paraId="03406262" w14:textId="77777777" w:rsidR="005E43C7" w:rsidRPr="00930A96" w:rsidRDefault="005E43C7" w:rsidP="00D946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F22014">
                              <w:rPr>
                                <w:rFonts w:eastAsia="Times New Roman" w:cs="Times New Roman"/>
                                <w:color w:val="000000"/>
                                <w:kern w:val="0"/>
                                <w:sz w:val="18"/>
                                <w:szCs w:val="18"/>
                                <w:lang w:eastAsia="en-GB"/>
                                <w14:ligatures w14:val="none"/>
                              </w:rPr>
                              <w:t>21.6</w:t>
                            </w:r>
                          </w:p>
                        </w:tc>
                        <w:tc>
                          <w:tcPr>
                            <w:tcW w:w="1281" w:type="dxa"/>
                            <w:noWrap/>
                            <w:hideMark/>
                          </w:tcPr>
                          <w:p w14:paraId="580AE985" w14:textId="77777777" w:rsidR="005E43C7" w:rsidRPr="00930A96" w:rsidRDefault="005E43C7" w:rsidP="00D946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F22014">
                              <w:rPr>
                                <w:rFonts w:eastAsia="Times New Roman" w:cs="Times New Roman"/>
                                <w:color w:val="000000"/>
                                <w:kern w:val="0"/>
                                <w:sz w:val="18"/>
                                <w:szCs w:val="18"/>
                                <w:lang w:eastAsia="en-GB"/>
                                <w14:ligatures w14:val="none"/>
                              </w:rPr>
                              <w:t>134.3</w:t>
                            </w:r>
                          </w:p>
                        </w:tc>
                        <w:tc>
                          <w:tcPr>
                            <w:tcW w:w="1089" w:type="dxa"/>
                            <w:noWrap/>
                            <w:hideMark/>
                          </w:tcPr>
                          <w:p w14:paraId="35AD7BB2" w14:textId="77777777" w:rsidR="005E43C7" w:rsidRPr="00930A96" w:rsidRDefault="005E43C7" w:rsidP="00D946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F22014">
                              <w:rPr>
                                <w:rFonts w:eastAsia="Times New Roman" w:cs="Times New Roman"/>
                                <w:color w:val="000000"/>
                                <w:kern w:val="0"/>
                                <w:sz w:val="18"/>
                                <w:szCs w:val="18"/>
                                <w:lang w:eastAsia="en-GB"/>
                                <w14:ligatures w14:val="none"/>
                              </w:rPr>
                              <w:t>60.60</w:t>
                            </w:r>
                          </w:p>
                        </w:tc>
                        <w:tc>
                          <w:tcPr>
                            <w:tcW w:w="1089" w:type="dxa"/>
                            <w:noWrap/>
                            <w:hideMark/>
                          </w:tcPr>
                          <w:p w14:paraId="5B6F271E" w14:textId="77777777" w:rsidR="005E43C7" w:rsidRPr="00930A96" w:rsidRDefault="005E43C7" w:rsidP="00D946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F22014">
                              <w:rPr>
                                <w:rFonts w:eastAsia="Times New Roman" w:cs="Times New Roman"/>
                                <w:color w:val="000000"/>
                                <w:kern w:val="0"/>
                                <w:sz w:val="18"/>
                                <w:szCs w:val="18"/>
                                <w:lang w:eastAsia="en-GB"/>
                                <w14:ligatures w14:val="none"/>
                              </w:rPr>
                              <w:t>39.40</w:t>
                            </w:r>
                          </w:p>
                        </w:tc>
                        <w:tc>
                          <w:tcPr>
                            <w:tcW w:w="1089" w:type="dxa"/>
                            <w:noWrap/>
                            <w:hideMark/>
                          </w:tcPr>
                          <w:p w14:paraId="523C805D" w14:textId="77777777" w:rsidR="005E43C7" w:rsidRPr="00930A96" w:rsidRDefault="005E43C7" w:rsidP="00D946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F22014">
                              <w:rPr>
                                <w:rFonts w:eastAsia="Times New Roman" w:cs="Times New Roman"/>
                                <w:color w:val="000000"/>
                                <w:kern w:val="0"/>
                                <w:sz w:val="18"/>
                                <w:szCs w:val="18"/>
                                <w:lang w:eastAsia="en-GB"/>
                                <w14:ligatures w14:val="none"/>
                              </w:rPr>
                              <w:t>66.0</w:t>
                            </w:r>
                          </w:p>
                        </w:tc>
                        <w:tc>
                          <w:tcPr>
                            <w:tcW w:w="896" w:type="dxa"/>
                          </w:tcPr>
                          <w:p w14:paraId="76156126" w14:textId="77777777" w:rsidR="005E43C7" w:rsidRPr="00F22014" w:rsidRDefault="005E43C7" w:rsidP="00D946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F22014">
                              <w:rPr>
                                <w:rFonts w:eastAsia="Times New Roman" w:cs="Times New Roman"/>
                                <w:color w:val="000000"/>
                                <w:kern w:val="0"/>
                                <w:sz w:val="18"/>
                                <w:szCs w:val="18"/>
                                <w:lang w:eastAsia="en-GB"/>
                                <w14:ligatures w14:val="none"/>
                              </w:rPr>
                              <w:t>1.84</w:t>
                            </w:r>
                          </w:p>
                        </w:tc>
                      </w:tr>
                      <w:tr w:rsidR="005E43C7" w:rsidRPr="007E62A9" w14:paraId="633FDB36" w14:textId="77777777" w:rsidTr="00CD597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353" w:type="dxa"/>
                            <w:noWrap/>
                            <w:hideMark/>
                          </w:tcPr>
                          <w:p w14:paraId="225D40D9" w14:textId="77777777" w:rsidR="005E43C7" w:rsidRPr="00930A96" w:rsidRDefault="005E43C7" w:rsidP="00D946E9">
                            <w:pPr>
                              <w:jc w:val="both"/>
                              <w:rPr>
                                <w:rFonts w:eastAsia="Times New Roman" w:cs="Times New Roman"/>
                                <w:b w:val="0"/>
                                <w:bCs w:val="0"/>
                                <w:color w:val="000000"/>
                                <w:kern w:val="0"/>
                                <w:sz w:val="18"/>
                                <w:szCs w:val="18"/>
                                <w:lang w:eastAsia="en-GB"/>
                                <w14:ligatures w14:val="none"/>
                              </w:rPr>
                            </w:pPr>
                            <w:r w:rsidRPr="00930A96">
                              <w:rPr>
                                <w:rFonts w:eastAsia="Times New Roman" w:cs="Times New Roman"/>
                                <w:b w:val="0"/>
                                <w:bCs w:val="0"/>
                                <w:color w:val="000000"/>
                                <w:kern w:val="0"/>
                                <w:sz w:val="18"/>
                                <w:szCs w:val="18"/>
                                <w:lang w:eastAsia="en-GB"/>
                                <w14:ligatures w14:val="none"/>
                              </w:rPr>
                              <w:t>MeO-2PACz</w:t>
                            </w:r>
                          </w:p>
                        </w:tc>
                        <w:tc>
                          <w:tcPr>
                            <w:tcW w:w="896" w:type="dxa"/>
                            <w:noWrap/>
                            <w:hideMark/>
                          </w:tcPr>
                          <w:p w14:paraId="6E8D91C8"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65.3</w:t>
                            </w:r>
                          </w:p>
                        </w:tc>
                        <w:tc>
                          <w:tcPr>
                            <w:tcW w:w="1281" w:type="dxa"/>
                            <w:noWrap/>
                            <w:hideMark/>
                          </w:tcPr>
                          <w:p w14:paraId="481E9466"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89</w:t>
                            </w:r>
                            <w:r>
                              <w:rPr>
                                <w:rFonts w:eastAsia="Times New Roman" w:cs="Times New Roman"/>
                                <w:color w:val="000000"/>
                                <w:kern w:val="0"/>
                                <w:sz w:val="18"/>
                                <w:szCs w:val="18"/>
                                <w:lang w:eastAsia="en-GB"/>
                                <w14:ligatures w14:val="none"/>
                              </w:rPr>
                              <w:t>1</w:t>
                            </w:r>
                            <w:r w:rsidRPr="00930A96">
                              <w:rPr>
                                <w:rFonts w:eastAsia="Times New Roman" w:cs="Times New Roman"/>
                                <w:color w:val="000000"/>
                                <w:kern w:val="0"/>
                                <w:sz w:val="18"/>
                                <w:szCs w:val="18"/>
                                <w:lang w:eastAsia="en-GB"/>
                                <w14:ligatures w14:val="none"/>
                              </w:rPr>
                              <w:t>.</w:t>
                            </w:r>
                            <w:r>
                              <w:rPr>
                                <w:rFonts w:eastAsia="Times New Roman" w:cs="Times New Roman"/>
                                <w:color w:val="000000"/>
                                <w:kern w:val="0"/>
                                <w:sz w:val="18"/>
                                <w:szCs w:val="18"/>
                                <w:lang w:eastAsia="en-GB"/>
                                <w14:ligatures w14:val="none"/>
                              </w:rPr>
                              <w:t>0</w:t>
                            </w:r>
                          </w:p>
                        </w:tc>
                        <w:tc>
                          <w:tcPr>
                            <w:tcW w:w="1089" w:type="dxa"/>
                            <w:noWrap/>
                            <w:hideMark/>
                          </w:tcPr>
                          <w:p w14:paraId="582FF8E0"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42.97</w:t>
                            </w:r>
                          </w:p>
                        </w:tc>
                        <w:tc>
                          <w:tcPr>
                            <w:tcW w:w="1089" w:type="dxa"/>
                            <w:noWrap/>
                            <w:hideMark/>
                          </w:tcPr>
                          <w:p w14:paraId="436B91D3"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57.03</w:t>
                            </w:r>
                          </w:p>
                        </w:tc>
                        <w:tc>
                          <w:tcPr>
                            <w:tcW w:w="1089" w:type="dxa"/>
                            <w:noWrap/>
                            <w:hideMark/>
                          </w:tcPr>
                          <w:p w14:paraId="10C62D70"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536.1</w:t>
                            </w:r>
                          </w:p>
                        </w:tc>
                        <w:tc>
                          <w:tcPr>
                            <w:tcW w:w="896" w:type="dxa"/>
                          </w:tcPr>
                          <w:p w14:paraId="1DC9D6BD" w14:textId="77777777" w:rsidR="005E43C7" w:rsidRPr="00930A96" w:rsidRDefault="005E43C7" w:rsidP="00D946E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1.12</w:t>
                            </w:r>
                          </w:p>
                        </w:tc>
                      </w:tr>
                      <w:tr w:rsidR="005E43C7" w:rsidRPr="007E62A9" w14:paraId="0B35CDEB" w14:textId="77777777" w:rsidTr="00CD5970">
                        <w:trPr>
                          <w:trHeight w:val="332"/>
                        </w:trPr>
                        <w:tc>
                          <w:tcPr>
                            <w:cnfStyle w:val="001000000000" w:firstRow="0" w:lastRow="0" w:firstColumn="1" w:lastColumn="0" w:oddVBand="0" w:evenVBand="0" w:oddHBand="0" w:evenHBand="0" w:firstRowFirstColumn="0" w:firstRowLastColumn="0" w:lastRowFirstColumn="0" w:lastRowLastColumn="0"/>
                            <w:tcW w:w="2353" w:type="dxa"/>
                            <w:noWrap/>
                            <w:hideMark/>
                          </w:tcPr>
                          <w:p w14:paraId="77E8E430" w14:textId="77777777" w:rsidR="005E43C7" w:rsidRPr="00930A96" w:rsidRDefault="005E43C7" w:rsidP="003224B1">
                            <w:pPr>
                              <w:jc w:val="both"/>
                              <w:rPr>
                                <w:rFonts w:eastAsia="Times New Roman" w:cs="Times New Roman"/>
                                <w:b w:val="0"/>
                                <w:bCs w:val="0"/>
                                <w:color w:val="000000"/>
                                <w:kern w:val="0"/>
                                <w:sz w:val="18"/>
                                <w:szCs w:val="18"/>
                                <w:lang w:eastAsia="en-GB"/>
                                <w14:ligatures w14:val="none"/>
                              </w:rPr>
                            </w:pPr>
                            <w:r w:rsidRPr="00930A96">
                              <w:rPr>
                                <w:rFonts w:eastAsia="Times New Roman" w:cs="Times New Roman"/>
                                <w:b w:val="0"/>
                                <w:bCs w:val="0"/>
                                <w:color w:val="000000"/>
                                <w:kern w:val="0"/>
                                <w:sz w:val="18"/>
                                <w:szCs w:val="18"/>
                                <w:lang w:eastAsia="en-GB"/>
                                <w14:ligatures w14:val="none"/>
                              </w:rPr>
                              <w:t>PTAA</w:t>
                            </w:r>
                          </w:p>
                        </w:tc>
                        <w:tc>
                          <w:tcPr>
                            <w:tcW w:w="896" w:type="dxa"/>
                            <w:noWrap/>
                            <w:hideMark/>
                          </w:tcPr>
                          <w:p w14:paraId="3C870C16" w14:textId="77777777" w:rsidR="005E43C7" w:rsidRPr="00930A96" w:rsidRDefault="005E43C7" w:rsidP="003224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87.</w:t>
                            </w:r>
                            <w:r>
                              <w:rPr>
                                <w:rFonts w:eastAsia="Times New Roman" w:cs="Times New Roman"/>
                                <w:color w:val="000000"/>
                                <w:kern w:val="0"/>
                                <w:sz w:val="18"/>
                                <w:szCs w:val="18"/>
                                <w:lang w:eastAsia="en-GB"/>
                                <w14:ligatures w14:val="none"/>
                              </w:rPr>
                              <w:t>9</w:t>
                            </w:r>
                          </w:p>
                        </w:tc>
                        <w:tc>
                          <w:tcPr>
                            <w:tcW w:w="1281" w:type="dxa"/>
                            <w:noWrap/>
                            <w:hideMark/>
                          </w:tcPr>
                          <w:p w14:paraId="23E76B34" w14:textId="77777777" w:rsidR="005E43C7" w:rsidRPr="00930A96" w:rsidRDefault="005E43C7" w:rsidP="003224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860.6</w:t>
                            </w:r>
                          </w:p>
                        </w:tc>
                        <w:tc>
                          <w:tcPr>
                            <w:tcW w:w="1089" w:type="dxa"/>
                            <w:noWrap/>
                            <w:hideMark/>
                          </w:tcPr>
                          <w:p w14:paraId="0008811D" w14:textId="77777777" w:rsidR="005E43C7" w:rsidRPr="00930A96" w:rsidRDefault="005E43C7" w:rsidP="003224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56.67</w:t>
                            </w:r>
                          </w:p>
                        </w:tc>
                        <w:tc>
                          <w:tcPr>
                            <w:tcW w:w="1089" w:type="dxa"/>
                            <w:noWrap/>
                            <w:hideMark/>
                          </w:tcPr>
                          <w:p w14:paraId="614DD321" w14:textId="77777777" w:rsidR="005E43C7" w:rsidRPr="00930A96" w:rsidRDefault="005E43C7" w:rsidP="003224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43.33</w:t>
                            </w:r>
                          </w:p>
                        </w:tc>
                        <w:tc>
                          <w:tcPr>
                            <w:tcW w:w="1089" w:type="dxa"/>
                            <w:noWrap/>
                            <w:hideMark/>
                          </w:tcPr>
                          <w:p w14:paraId="01A98F88" w14:textId="77777777" w:rsidR="005E43C7" w:rsidRPr="00930A96" w:rsidRDefault="005E43C7" w:rsidP="003224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422.</w:t>
                            </w:r>
                            <w:r>
                              <w:rPr>
                                <w:rFonts w:eastAsia="Times New Roman" w:cs="Times New Roman"/>
                                <w:color w:val="000000"/>
                                <w:kern w:val="0"/>
                                <w:sz w:val="18"/>
                                <w:szCs w:val="18"/>
                                <w:lang w:eastAsia="en-GB"/>
                                <w14:ligatures w14:val="none"/>
                              </w:rPr>
                              <w:t>7</w:t>
                            </w:r>
                          </w:p>
                        </w:tc>
                        <w:tc>
                          <w:tcPr>
                            <w:tcW w:w="896" w:type="dxa"/>
                          </w:tcPr>
                          <w:p w14:paraId="60F3FCCA" w14:textId="77777777" w:rsidR="005E43C7" w:rsidRPr="00930A96" w:rsidRDefault="005E43C7" w:rsidP="003224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1.09</w:t>
                            </w:r>
                          </w:p>
                        </w:tc>
                      </w:tr>
                      <w:tr w:rsidR="005E43C7" w:rsidRPr="007E62A9" w14:paraId="1D7680E7" w14:textId="77777777" w:rsidTr="00CD597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353" w:type="dxa"/>
                            <w:noWrap/>
                          </w:tcPr>
                          <w:p w14:paraId="2A296AF7" w14:textId="4D587D3C" w:rsidR="005E43C7" w:rsidRPr="00930A96" w:rsidRDefault="005E43C7" w:rsidP="00A91687">
                            <w:pPr>
                              <w:jc w:val="both"/>
                              <w:rPr>
                                <w:rFonts w:eastAsia="Times New Roman" w:cs="Times New Roman"/>
                                <w:b w:val="0"/>
                                <w:bCs w:val="0"/>
                                <w:color w:val="000000"/>
                                <w:kern w:val="0"/>
                                <w:sz w:val="18"/>
                                <w:szCs w:val="18"/>
                                <w:lang w:eastAsia="en-GB"/>
                                <w14:ligatures w14:val="none"/>
                              </w:rPr>
                            </w:pPr>
                            <w:r>
                              <w:rPr>
                                <w:rFonts w:eastAsia="Times New Roman" w:cs="Times New Roman"/>
                                <w:b w:val="0"/>
                                <w:bCs w:val="0"/>
                                <w:color w:val="000000"/>
                                <w:kern w:val="0"/>
                                <w:sz w:val="18"/>
                                <w:szCs w:val="18"/>
                                <w:lang w:eastAsia="en-GB"/>
                                <w14:ligatures w14:val="none"/>
                              </w:rPr>
                              <w:t>PTAA</w:t>
                            </w:r>
                            <w:r w:rsidRPr="00930A96">
                              <w:rPr>
                                <w:rFonts w:eastAsia="Times New Roman" w:cs="Times New Roman"/>
                                <w:b w:val="0"/>
                                <w:bCs w:val="0"/>
                                <w:color w:val="000000"/>
                                <w:kern w:val="0"/>
                                <w:sz w:val="18"/>
                                <w:szCs w:val="18"/>
                                <w:lang w:eastAsia="en-GB"/>
                                <w14:ligatures w14:val="none"/>
                              </w:rPr>
                              <w:t>: F4TCNQ</w:t>
                            </w:r>
                          </w:p>
                        </w:tc>
                        <w:tc>
                          <w:tcPr>
                            <w:tcW w:w="896" w:type="dxa"/>
                            <w:noWrap/>
                          </w:tcPr>
                          <w:p w14:paraId="11F96139" w14:textId="00239184" w:rsidR="005E43C7" w:rsidRPr="00930A96" w:rsidRDefault="005E43C7" w:rsidP="00A9168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56.</w:t>
                            </w:r>
                            <w:r>
                              <w:rPr>
                                <w:rFonts w:eastAsia="Times New Roman" w:cs="Times New Roman"/>
                                <w:color w:val="000000"/>
                                <w:kern w:val="0"/>
                                <w:sz w:val="18"/>
                                <w:szCs w:val="18"/>
                                <w:lang w:eastAsia="en-GB"/>
                                <w14:ligatures w14:val="none"/>
                              </w:rPr>
                              <w:t>8</w:t>
                            </w:r>
                          </w:p>
                        </w:tc>
                        <w:tc>
                          <w:tcPr>
                            <w:tcW w:w="1281" w:type="dxa"/>
                            <w:noWrap/>
                          </w:tcPr>
                          <w:p w14:paraId="271372DE" w14:textId="6F921399" w:rsidR="005E43C7" w:rsidRPr="00930A96" w:rsidRDefault="005E43C7" w:rsidP="00A9168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826.</w:t>
                            </w:r>
                            <w:r>
                              <w:rPr>
                                <w:rFonts w:eastAsia="Times New Roman" w:cs="Times New Roman"/>
                                <w:color w:val="000000"/>
                                <w:kern w:val="0"/>
                                <w:sz w:val="18"/>
                                <w:szCs w:val="18"/>
                                <w:lang w:eastAsia="en-GB"/>
                                <w14:ligatures w14:val="none"/>
                              </w:rPr>
                              <w:t>1</w:t>
                            </w:r>
                          </w:p>
                        </w:tc>
                        <w:tc>
                          <w:tcPr>
                            <w:tcW w:w="1089" w:type="dxa"/>
                            <w:noWrap/>
                          </w:tcPr>
                          <w:p w14:paraId="302A7A1A" w14:textId="5206B996" w:rsidR="005E43C7" w:rsidRPr="00930A96" w:rsidRDefault="005E43C7" w:rsidP="00A9168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39.25</w:t>
                            </w:r>
                          </w:p>
                        </w:tc>
                        <w:tc>
                          <w:tcPr>
                            <w:tcW w:w="1089" w:type="dxa"/>
                            <w:noWrap/>
                          </w:tcPr>
                          <w:p w14:paraId="689B0DE9" w14:textId="670A9205" w:rsidR="005E43C7" w:rsidRPr="00930A96" w:rsidRDefault="005E43C7" w:rsidP="00A9168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60.75</w:t>
                            </w:r>
                          </w:p>
                        </w:tc>
                        <w:tc>
                          <w:tcPr>
                            <w:tcW w:w="1089" w:type="dxa"/>
                            <w:noWrap/>
                          </w:tcPr>
                          <w:p w14:paraId="1F719503" w14:textId="1BD11CEE" w:rsidR="005E43C7" w:rsidRPr="00930A96" w:rsidRDefault="005E43C7" w:rsidP="00A9168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524.1</w:t>
                            </w:r>
                          </w:p>
                        </w:tc>
                        <w:tc>
                          <w:tcPr>
                            <w:tcW w:w="896" w:type="dxa"/>
                          </w:tcPr>
                          <w:p w14:paraId="636E671C" w14:textId="404FA9C8" w:rsidR="005E43C7" w:rsidRPr="00930A96" w:rsidRDefault="005E43C7" w:rsidP="00A9168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8"/>
                                <w:szCs w:val="18"/>
                                <w:lang w:eastAsia="en-GB"/>
                                <w14:ligatures w14:val="none"/>
                              </w:rPr>
                            </w:pPr>
                            <w:r w:rsidRPr="00930A96">
                              <w:rPr>
                                <w:rFonts w:eastAsia="Times New Roman" w:cs="Times New Roman"/>
                                <w:color w:val="000000"/>
                                <w:kern w:val="0"/>
                                <w:sz w:val="18"/>
                                <w:szCs w:val="18"/>
                                <w:lang w:eastAsia="en-GB"/>
                                <w14:ligatures w14:val="none"/>
                              </w:rPr>
                              <w:t>1.19</w:t>
                            </w:r>
                          </w:p>
                        </w:tc>
                      </w:tr>
                    </w:tbl>
                    <w:p w14:paraId="75A34C7E" w14:textId="77777777" w:rsidR="005E43C7" w:rsidRDefault="005E43C7" w:rsidP="005E43C7"/>
                  </w:txbxContent>
                </v:textbox>
                <w10:wrap type="topAndBottom" anchorx="margin"/>
              </v:shape>
            </w:pict>
          </mc:Fallback>
        </mc:AlternateContent>
      </w:r>
      <w:r w:rsidRPr="004F0EB6">
        <w:rPr>
          <w:rFonts w:asciiTheme="majorHAnsi" w:hAnsiTheme="majorHAnsi"/>
          <w:b/>
          <w:bCs/>
          <w:i/>
          <w:iCs/>
          <w:color w:val="0E2841" w:themeColor="text2"/>
          <w:sz w:val="22"/>
          <w:szCs w:val="22"/>
        </w:rPr>
        <w:t>Table S2</w:t>
      </w:r>
      <w:r w:rsidR="004F0EB6">
        <w:rPr>
          <w:rFonts w:asciiTheme="majorHAnsi" w:hAnsiTheme="majorHAnsi"/>
          <w:b/>
          <w:bCs/>
          <w:i/>
          <w:iCs/>
          <w:color w:val="0E2841" w:themeColor="text2"/>
          <w:sz w:val="22"/>
          <w:szCs w:val="22"/>
        </w:rPr>
        <w:t>:</w:t>
      </w:r>
      <w:r w:rsidRPr="004F0EB6">
        <w:rPr>
          <w:rFonts w:asciiTheme="majorHAnsi" w:hAnsiTheme="majorHAnsi"/>
          <w:b/>
          <w:bCs/>
          <w:i/>
          <w:iCs/>
          <w:color w:val="0E2841" w:themeColor="text2"/>
          <w:sz w:val="22"/>
          <w:szCs w:val="22"/>
        </w:rPr>
        <w:t xml:space="preserve"> </w:t>
      </w:r>
      <w:r w:rsidRPr="004F0EB6">
        <w:rPr>
          <w:rFonts w:asciiTheme="majorHAnsi" w:hAnsiTheme="majorHAnsi"/>
          <w:i/>
          <w:iCs/>
          <w:color w:val="0E2841" w:themeColor="text2"/>
          <w:sz w:val="22"/>
          <w:szCs w:val="22"/>
        </w:rPr>
        <w:t>TRPL fitting parameters obtained using a bi-exponential decay model for perovskite films deposited on different substrates</w:t>
      </w:r>
      <w:r w:rsidRPr="004F0EB6">
        <w:rPr>
          <w:rFonts w:asciiTheme="majorHAnsi" w:hAnsiTheme="majorHAnsi" w:cs="Times New Roman"/>
          <w:i/>
          <w:iCs/>
          <w:sz w:val="22"/>
          <w:szCs w:val="22"/>
          <w:lang w:eastAsia="zh-CN"/>
        </w:rPr>
        <w:t>.</w:t>
      </w:r>
    </w:p>
    <w:p w14:paraId="7DAAEA66" w14:textId="2CDF887D" w:rsidR="00641CAC" w:rsidRPr="004D7F3A" w:rsidRDefault="005B6CB5" w:rsidP="00E53B28">
      <w:pPr>
        <w:pStyle w:val="ListParagraph"/>
        <w:spacing w:after="120" w:line="360" w:lineRule="auto"/>
        <w:ind w:left="0"/>
        <w:contextualSpacing w:val="0"/>
        <w:rPr>
          <w:rFonts w:asciiTheme="majorHAnsi" w:hAnsiTheme="majorHAnsi" w:cs="Times New Roman"/>
          <w:lang w:val="tr-TR" w:eastAsia="zh-CN"/>
        </w:rPr>
      </w:pPr>
      <w:r w:rsidRPr="005B6CB5">
        <w:rPr>
          <w:rFonts w:asciiTheme="majorHAnsi" w:hAnsiTheme="majorHAnsi" w:cs="Times New Roman"/>
          <w:lang w:eastAsia="zh-CN"/>
        </w:rPr>
        <w:t>The TRPL spectra of perovskite films deposited on different HTLs (</w:t>
      </w:r>
      <w:r w:rsidRPr="005B6CB5">
        <w:rPr>
          <w:rFonts w:asciiTheme="majorHAnsi" w:hAnsiTheme="majorHAnsi" w:cs="Times New Roman"/>
          <w:b/>
          <w:bCs/>
          <w:lang w:eastAsia="zh-CN"/>
        </w:rPr>
        <w:t>Figure 2b</w:t>
      </w:r>
      <w:r w:rsidRPr="005B6CB5">
        <w:rPr>
          <w:rFonts w:asciiTheme="majorHAnsi" w:hAnsiTheme="majorHAnsi" w:cs="Times New Roman"/>
          <w:lang w:eastAsia="zh-CN"/>
        </w:rPr>
        <w:t xml:space="preserve"> in the main </w:t>
      </w:r>
      <w:r w:rsidR="003F3DE8">
        <w:rPr>
          <w:rFonts w:asciiTheme="majorHAnsi" w:hAnsiTheme="majorHAnsi" w:cs="Times New Roman"/>
          <w:lang w:eastAsia="zh-CN"/>
        </w:rPr>
        <w:t>manuscript</w:t>
      </w:r>
      <w:r w:rsidRPr="005B6CB5">
        <w:rPr>
          <w:rFonts w:asciiTheme="majorHAnsi" w:hAnsiTheme="majorHAnsi" w:cs="Times New Roman"/>
          <w:lang w:eastAsia="zh-CN"/>
        </w:rPr>
        <w:t>) were fitted using a bi-exponential decay model. The average lifetime was calculated as:</w:t>
      </w:r>
    </w:p>
    <w:p w14:paraId="20EF445E" w14:textId="79818B79" w:rsidR="00641CAC" w:rsidRDefault="00641CAC" w:rsidP="00E53B28">
      <w:pPr>
        <w:pStyle w:val="ListParagraph"/>
        <w:spacing w:after="120" w:line="360" w:lineRule="auto"/>
        <w:ind w:left="0"/>
        <w:contextualSpacing w:val="0"/>
        <w:jc w:val="center"/>
        <w:rPr>
          <w:rFonts w:asciiTheme="majorHAnsi" w:eastAsiaTheme="minorEastAsia" w:hAnsiTheme="majorHAnsi" w:cs="Times New Roman"/>
          <w:b/>
          <w:lang w:val="tr-TR" w:eastAsia="zh-CN"/>
        </w:rPr>
      </w:pPr>
      <m:oMath>
        <m:r>
          <m:rPr>
            <m:sty m:val="p"/>
          </m:rPr>
          <w:rPr>
            <w:rFonts w:ascii="Cambria Math" w:hAnsi="Cambria Math" w:cs="Times New Roman"/>
            <w:lang w:val="tr-TR" w:eastAsia="zh-CN"/>
          </w:rPr>
          <m:t>⟨</m:t>
        </m:r>
        <m:r>
          <m:rPr>
            <m:sty m:val="bi"/>
          </m:rPr>
          <w:rPr>
            <w:rFonts w:ascii="Cambria Math" w:hAnsi="Cambria Math" w:cs="Times New Roman"/>
            <w:lang w:val="tr-TR" w:eastAsia="zh-CN"/>
          </w:rPr>
          <m:t>τ</m:t>
        </m:r>
        <m:sSub>
          <m:sSubPr>
            <m:ctrlPr>
              <w:rPr>
                <w:rFonts w:ascii="Cambria Math" w:hAnsi="Cambria Math" w:cs="Times New Roman"/>
                <w:lang w:val="tr-TR" w:eastAsia="zh-CN"/>
              </w:rPr>
            </m:ctrlPr>
          </m:sSubPr>
          <m:e>
            <m:r>
              <m:rPr>
                <m:sty m:val="p"/>
              </m:rPr>
              <w:rPr>
                <w:rFonts w:ascii="Cambria Math" w:hAnsi="Cambria Math" w:cs="Times New Roman"/>
                <w:lang w:val="tr-TR" w:eastAsia="zh-CN"/>
              </w:rPr>
              <m:t>⟩</m:t>
            </m:r>
          </m:e>
          <m:sub>
            <m:r>
              <m:rPr>
                <m:sty m:val="bi"/>
              </m:rPr>
              <w:rPr>
                <w:rFonts w:ascii="Cambria Math" w:hAnsi="Cambria Math" w:cs="Times New Roman"/>
                <w:lang w:val="tr-TR" w:eastAsia="zh-CN"/>
              </w:rPr>
              <m:t>amp</m:t>
            </m:r>
          </m:sub>
        </m:sSub>
        <m:r>
          <m:rPr>
            <m:sty m:val="p"/>
          </m:rPr>
          <w:rPr>
            <w:rFonts w:ascii="Cambria Math" w:hAnsi="Cambria Math" w:cs="Times New Roman"/>
            <w:lang w:val="tr-TR" w:eastAsia="zh-CN"/>
          </w:rPr>
          <m:t>=</m:t>
        </m:r>
        <m:f>
          <m:fPr>
            <m:ctrlPr>
              <w:rPr>
                <w:rFonts w:ascii="Cambria Math" w:hAnsi="Cambria Math" w:cs="Times New Roman"/>
                <w:lang w:val="tr-TR" w:eastAsia="zh-CN"/>
              </w:rPr>
            </m:ctrlPr>
          </m:fPr>
          <m:num>
            <m:sSub>
              <m:sSubPr>
                <m:ctrlPr>
                  <w:rPr>
                    <w:rFonts w:ascii="Cambria Math" w:hAnsi="Cambria Math" w:cs="Times New Roman"/>
                    <w:lang w:val="tr-TR" w:eastAsia="zh-CN"/>
                  </w:rPr>
                </m:ctrlPr>
              </m:sSubPr>
              <m:e>
                <m:r>
                  <m:rPr>
                    <m:sty m:val="bi"/>
                  </m:rPr>
                  <w:rPr>
                    <w:rFonts w:ascii="Cambria Math" w:hAnsi="Cambria Math" w:cs="Times New Roman"/>
                    <w:lang w:val="tr-TR" w:eastAsia="zh-CN"/>
                  </w:rPr>
                  <m:t>B</m:t>
                </m:r>
              </m:e>
              <m:sub>
                <m:r>
                  <m:rPr>
                    <m:sty m:val="bi"/>
                  </m:rPr>
                  <w:rPr>
                    <w:rFonts w:ascii="Cambria Math" w:hAnsi="Cambria Math" w:cs="Times New Roman"/>
                    <w:lang w:val="tr-TR" w:eastAsia="zh-CN"/>
                  </w:rPr>
                  <m:t>1</m:t>
                </m:r>
              </m:sub>
            </m:sSub>
            <m:sSub>
              <m:sSubPr>
                <m:ctrlPr>
                  <w:rPr>
                    <w:rFonts w:ascii="Cambria Math" w:hAnsi="Cambria Math" w:cs="Times New Roman"/>
                    <w:lang w:val="tr-TR" w:eastAsia="zh-CN"/>
                  </w:rPr>
                </m:ctrlPr>
              </m:sSubPr>
              <m:e>
                <m:r>
                  <m:rPr>
                    <m:sty m:val="bi"/>
                  </m:rPr>
                  <w:rPr>
                    <w:rFonts w:ascii="Cambria Math" w:hAnsi="Cambria Math" w:cs="Times New Roman"/>
                    <w:lang w:val="tr-TR" w:eastAsia="zh-CN"/>
                  </w:rPr>
                  <m:t>τ</m:t>
                </m:r>
              </m:e>
              <m:sub>
                <m:r>
                  <m:rPr>
                    <m:sty m:val="bi"/>
                  </m:rPr>
                  <w:rPr>
                    <w:rFonts w:ascii="Cambria Math" w:hAnsi="Cambria Math" w:cs="Times New Roman"/>
                    <w:lang w:val="tr-TR" w:eastAsia="zh-CN"/>
                  </w:rPr>
                  <m:t>1</m:t>
                </m:r>
              </m:sub>
            </m:sSub>
            <m:r>
              <w:rPr>
                <w:rFonts w:ascii="Cambria Math" w:hAnsi="Cambria Math" w:cs="Times New Roman"/>
                <w:lang w:val="tr-TR" w:eastAsia="zh-CN"/>
              </w:rPr>
              <m:t>+</m:t>
            </m:r>
            <m:sSub>
              <m:sSubPr>
                <m:ctrlPr>
                  <w:rPr>
                    <w:rFonts w:ascii="Cambria Math" w:hAnsi="Cambria Math" w:cs="Times New Roman"/>
                    <w:lang w:val="tr-TR" w:eastAsia="zh-CN"/>
                  </w:rPr>
                </m:ctrlPr>
              </m:sSubPr>
              <m:e>
                <m:r>
                  <m:rPr>
                    <m:sty m:val="bi"/>
                  </m:rPr>
                  <w:rPr>
                    <w:rFonts w:ascii="Cambria Math" w:hAnsi="Cambria Math" w:cs="Times New Roman"/>
                    <w:lang w:val="tr-TR" w:eastAsia="zh-CN"/>
                  </w:rPr>
                  <m:t>B</m:t>
                </m:r>
              </m:e>
              <m:sub>
                <m:r>
                  <m:rPr>
                    <m:sty m:val="bi"/>
                  </m:rPr>
                  <w:rPr>
                    <w:rFonts w:ascii="Cambria Math" w:hAnsi="Cambria Math" w:cs="Times New Roman"/>
                    <w:lang w:val="tr-TR" w:eastAsia="zh-CN"/>
                  </w:rPr>
                  <m:t>2</m:t>
                </m:r>
              </m:sub>
            </m:sSub>
            <m:sSub>
              <m:sSubPr>
                <m:ctrlPr>
                  <w:rPr>
                    <w:rFonts w:ascii="Cambria Math" w:hAnsi="Cambria Math" w:cs="Times New Roman"/>
                    <w:lang w:val="tr-TR" w:eastAsia="zh-CN"/>
                  </w:rPr>
                </m:ctrlPr>
              </m:sSubPr>
              <m:e>
                <m:r>
                  <m:rPr>
                    <m:sty m:val="bi"/>
                  </m:rPr>
                  <w:rPr>
                    <w:rFonts w:ascii="Cambria Math" w:hAnsi="Cambria Math" w:cs="Times New Roman"/>
                    <w:lang w:val="tr-TR" w:eastAsia="zh-CN"/>
                  </w:rPr>
                  <m:t>τ</m:t>
                </m:r>
              </m:e>
              <m:sub>
                <m:r>
                  <m:rPr>
                    <m:sty m:val="bi"/>
                  </m:rPr>
                  <w:rPr>
                    <w:rFonts w:ascii="Cambria Math" w:hAnsi="Cambria Math" w:cs="Times New Roman"/>
                    <w:lang w:val="tr-TR" w:eastAsia="zh-CN"/>
                  </w:rPr>
                  <m:t>2</m:t>
                </m:r>
              </m:sub>
            </m:sSub>
          </m:num>
          <m:den>
            <m:sSub>
              <m:sSubPr>
                <m:ctrlPr>
                  <w:rPr>
                    <w:rFonts w:ascii="Cambria Math" w:hAnsi="Cambria Math" w:cs="Times New Roman"/>
                    <w:lang w:val="tr-TR" w:eastAsia="zh-CN"/>
                  </w:rPr>
                </m:ctrlPr>
              </m:sSubPr>
              <m:e>
                <m:r>
                  <m:rPr>
                    <m:sty m:val="bi"/>
                  </m:rPr>
                  <w:rPr>
                    <w:rFonts w:ascii="Cambria Math" w:hAnsi="Cambria Math" w:cs="Times New Roman"/>
                    <w:lang w:val="tr-TR" w:eastAsia="zh-CN"/>
                  </w:rPr>
                  <m:t>B</m:t>
                </m:r>
              </m:e>
              <m:sub>
                <m:r>
                  <m:rPr>
                    <m:sty m:val="bi"/>
                  </m:rPr>
                  <w:rPr>
                    <w:rFonts w:ascii="Cambria Math" w:hAnsi="Cambria Math" w:cs="Times New Roman"/>
                    <w:lang w:val="tr-TR" w:eastAsia="zh-CN"/>
                  </w:rPr>
                  <m:t>1</m:t>
                </m:r>
              </m:sub>
            </m:sSub>
            <m:r>
              <w:rPr>
                <w:rFonts w:ascii="Cambria Math" w:hAnsi="Cambria Math" w:cs="Times New Roman"/>
                <w:lang w:val="tr-TR" w:eastAsia="zh-CN"/>
              </w:rPr>
              <m:t xml:space="preserve">+ </m:t>
            </m:r>
            <m:sSub>
              <m:sSubPr>
                <m:ctrlPr>
                  <w:rPr>
                    <w:rFonts w:ascii="Cambria Math" w:hAnsi="Cambria Math" w:cs="Times New Roman"/>
                    <w:lang w:val="tr-TR" w:eastAsia="zh-CN"/>
                  </w:rPr>
                </m:ctrlPr>
              </m:sSubPr>
              <m:e>
                <m:r>
                  <m:rPr>
                    <m:sty m:val="bi"/>
                  </m:rPr>
                  <w:rPr>
                    <w:rFonts w:ascii="Cambria Math" w:hAnsi="Cambria Math" w:cs="Times New Roman"/>
                    <w:lang w:val="tr-TR" w:eastAsia="zh-CN"/>
                  </w:rPr>
                  <m:t>B</m:t>
                </m:r>
              </m:e>
              <m:sub>
                <m:r>
                  <m:rPr>
                    <m:sty m:val="bi"/>
                  </m:rPr>
                  <w:rPr>
                    <w:rFonts w:ascii="Cambria Math" w:hAnsi="Cambria Math" w:cs="Times New Roman"/>
                    <w:lang w:val="tr-TR" w:eastAsia="zh-CN"/>
                  </w:rPr>
                  <m:t>2</m:t>
                </m:r>
              </m:sub>
            </m:sSub>
          </m:den>
        </m:f>
      </m:oMath>
      <w:r w:rsidRPr="004D7F3A">
        <w:rPr>
          <w:rFonts w:asciiTheme="majorHAnsi" w:hAnsiTheme="majorHAnsi" w:cs="Times New Roman"/>
          <w:lang w:val="tr-TR" w:eastAsia="zh-CN"/>
        </w:rPr>
        <w:t xml:space="preserve">    </w:t>
      </w:r>
    </w:p>
    <w:p w14:paraId="19C5FFA6" w14:textId="02047E6A" w:rsidR="005B6CB5" w:rsidRPr="004D7F3A" w:rsidRDefault="005B6CB5" w:rsidP="00E53B28">
      <w:pPr>
        <w:pStyle w:val="ListParagraph"/>
        <w:spacing w:after="120" w:line="360" w:lineRule="auto"/>
        <w:ind w:left="0"/>
        <w:contextualSpacing w:val="0"/>
        <w:jc w:val="both"/>
        <w:rPr>
          <w:rFonts w:asciiTheme="majorHAnsi" w:hAnsiTheme="majorHAnsi" w:cs="Times New Roman"/>
          <w:lang w:val="tr-TR" w:eastAsia="zh-CN"/>
        </w:rPr>
      </w:pPr>
      <w:r w:rsidRPr="005B6CB5">
        <w:rPr>
          <w:rFonts w:asciiTheme="majorHAnsi" w:hAnsiTheme="majorHAnsi" w:cs="Times New Roman"/>
          <w:lang w:eastAsia="zh-CN"/>
        </w:rPr>
        <w:t>where τ₁ and τ₂ represent the fast and slow decay components, respectively, and B₁ and B₂ denote their corresponding amplitude weights. The presence of multicomponent decay behaviour indicates multiple recombination pathways, including possible back-transfer of holes from the HTL to the perovskite, resulting in a delayed decay component.</w:t>
      </w:r>
    </w:p>
    <w:p w14:paraId="24804910" w14:textId="7DAF3354" w:rsidR="00511D7E" w:rsidRPr="004D7F3A" w:rsidRDefault="00511D7E" w:rsidP="00E53B28">
      <w:pPr>
        <w:pStyle w:val="ListParagraph"/>
        <w:spacing w:after="120" w:line="360" w:lineRule="auto"/>
        <w:ind w:left="0"/>
        <w:contextualSpacing w:val="0"/>
        <w:jc w:val="both"/>
        <w:rPr>
          <w:rFonts w:asciiTheme="majorHAnsi" w:hAnsiTheme="majorHAnsi" w:cs="Times New Roman"/>
          <w:lang w:val="tr-TR" w:eastAsia="zh-CN"/>
        </w:rPr>
      </w:pPr>
      <w:r w:rsidRPr="00511D7E">
        <w:rPr>
          <w:rFonts w:asciiTheme="majorHAnsi" w:hAnsiTheme="majorHAnsi" w:cs="Times New Roman"/>
          <w:lang w:eastAsia="zh-CN"/>
        </w:rPr>
        <w:t xml:space="preserve">The difference between TRPL lifetime trends and communication bandwidth can be rationalised by considering operating conditions. TRPL probes recombination under negligible internal electric field, </w:t>
      </w:r>
      <w:proofErr w:type="gramStart"/>
      <w:r w:rsidRPr="00511D7E">
        <w:rPr>
          <w:rFonts w:asciiTheme="majorHAnsi" w:hAnsiTheme="majorHAnsi" w:cs="Times New Roman"/>
          <w:lang w:eastAsia="zh-CN"/>
        </w:rPr>
        <w:t>similar to</w:t>
      </w:r>
      <w:proofErr w:type="gramEnd"/>
      <w:r w:rsidRPr="00511D7E">
        <w:rPr>
          <w:rFonts w:asciiTheme="majorHAnsi" w:hAnsiTheme="majorHAnsi" w:cs="Times New Roman"/>
          <w:lang w:eastAsia="zh-CN"/>
        </w:rPr>
        <w:t xml:space="preserve"> open-circuit conditions. In contrast, under SLIPT operation near the MPP, the internal electric field assists carrier separation, reducing the influence of delayed recombination and weakening correlations between lifetime and bandwidth.</w:t>
      </w:r>
    </w:p>
    <w:p w14:paraId="2B46C2E1" w14:textId="6F7D4623" w:rsidR="00FB4AE2" w:rsidRPr="004D7F3A" w:rsidRDefault="00C73FEA" w:rsidP="00E53B28">
      <w:pPr>
        <w:pStyle w:val="ListParagraph"/>
        <w:numPr>
          <w:ilvl w:val="0"/>
          <w:numId w:val="5"/>
        </w:numPr>
        <w:spacing w:after="120" w:line="360" w:lineRule="auto"/>
        <w:ind w:left="357" w:hanging="357"/>
        <w:contextualSpacing w:val="0"/>
        <w:jc w:val="both"/>
        <w:rPr>
          <w:rFonts w:asciiTheme="majorHAnsi" w:hAnsiTheme="majorHAnsi" w:cs="Times New Roman"/>
          <w:b/>
          <w:bCs/>
          <w:u w:val="single"/>
        </w:rPr>
      </w:pPr>
      <w:r w:rsidRPr="00C73FEA">
        <w:rPr>
          <w:rFonts w:asciiTheme="majorHAnsi" w:hAnsiTheme="majorHAnsi" w:cs="Times New Roman"/>
          <w:b/>
          <w:bCs/>
          <w:u w:val="single"/>
        </w:rPr>
        <w:lastRenderedPageBreak/>
        <w:t>Materials and Device Fabrication</w:t>
      </w:r>
    </w:p>
    <w:p w14:paraId="54AEEB22" w14:textId="19866327" w:rsidR="00FB4AE2" w:rsidRPr="00C73FEA" w:rsidRDefault="00FB4AE2" w:rsidP="00E53B28">
      <w:pPr>
        <w:pStyle w:val="ListParagraph"/>
        <w:numPr>
          <w:ilvl w:val="1"/>
          <w:numId w:val="5"/>
        </w:numPr>
        <w:tabs>
          <w:tab w:val="left" w:pos="7860"/>
        </w:tabs>
        <w:spacing w:after="120" w:line="360" w:lineRule="auto"/>
        <w:contextualSpacing w:val="0"/>
        <w:jc w:val="both"/>
        <w:rPr>
          <w:rFonts w:asciiTheme="majorHAnsi" w:hAnsiTheme="majorHAnsi"/>
          <w:b/>
          <w:bCs/>
          <w:lang w:val="en"/>
        </w:rPr>
      </w:pPr>
      <w:r w:rsidRPr="00C73FEA">
        <w:rPr>
          <w:rFonts w:asciiTheme="majorHAnsi" w:hAnsiTheme="majorHAnsi"/>
          <w:b/>
          <w:bCs/>
          <w:lang w:val="en"/>
        </w:rPr>
        <w:t xml:space="preserve">Materials </w:t>
      </w:r>
    </w:p>
    <w:p w14:paraId="557F566F" w14:textId="16FCFF1D" w:rsidR="00FB4AE2" w:rsidRPr="004D7F3A" w:rsidRDefault="00FB4AE2" w:rsidP="00E53B28">
      <w:pPr>
        <w:spacing w:after="120" w:line="360" w:lineRule="auto"/>
        <w:jc w:val="both"/>
        <w:rPr>
          <w:rFonts w:asciiTheme="majorHAnsi" w:hAnsiTheme="majorHAnsi"/>
          <w:lang w:val="en"/>
        </w:rPr>
      </w:pPr>
      <w:r w:rsidRPr="004D7F3A">
        <w:rPr>
          <w:rFonts w:asciiTheme="majorHAnsi" w:hAnsiTheme="majorHAnsi"/>
          <w:lang w:val="en"/>
        </w:rPr>
        <w:t>Cesium iodide (</w:t>
      </w:r>
      <w:proofErr w:type="spellStart"/>
      <w:r w:rsidRPr="004D7F3A">
        <w:rPr>
          <w:rFonts w:asciiTheme="majorHAnsi" w:hAnsiTheme="majorHAnsi"/>
          <w:lang w:val="en"/>
        </w:rPr>
        <w:t>CsI</w:t>
      </w:r>
      <w:proofErr w:type="spellEnd"/>
      <w:r w:rsidRPr="004D7F3A">
        <w:rPr>
          <w:rFonts w:asciiTheme="majorHAnsi" w:hAnsiTheme="majorHAnsi"/>
          <w:lang w:val="en"/>
        </w:rPr>
        <w:t>, 99.5%), [2-(3,6-dimethoxy-9H-carbazol-9-</w:t>
      </w:r>
      <w:proofErr w:type="gramStart"/>
      <w:r w:rsidRPr="004D7F3A">
        <w:rPr>
          <w:rFonts w:asciiTheme="majorHAnsi" w:hAnsiTheme="majorHAnsi"/>
          <w:lang w:val="en"/>
        </w:rPr>
        <w:t>yl)ethyl</w:t>
      </w:r>
      <w:proofErr w:type="gramEnd"/>
      <w:r w:rsidRPr="004D7F3A">
        <w:rPr>
          <w:rFonts w:asciiTheme="majorHAnsi" w:hAnsiTheme="majorHAnsi"/>
          <w:lang w:val="en"/>
        </w:rPr>
        <w:t xml:space="preserve">]phosphonic acid (MeO-2PACz), Lead (II) iodide </w:t>
      </w:r>
      <w:bookmarkStart w:id="3" w:name="OLE_LINK6"/>
      <w:r w:rsidRPr="004D7F3A">
        <w:rPr>
          <w:rFonts w:asciiTheme="majorHAnsi" w:hAnsiTheme="majorHAnsi"/>
          <w:lang w:val="en"/>
        </w:rPr>
        <w:t>(PbI2, 99.99%)</w:t>
      </w:r>
      <w:bookmarkEnd w:id="3"/>
      <w:r w:rsidRPr="004D7F3A">
        <w:rPr>
          <w:rFonts w:asciiTheme="majorHAnsi" w:hAnsiTheme="majorHAnsi"/>
          <w:lang w:val="en"/>
        </w:rPr>
        <w:t xml:space="preserve">, and </w:t>
      </w:r>
      <w:proofErr w:type="gramStart"/>
      <w:r w:rsidRPr="004D7F3A">
        <w:rPr>
          <w:rFonts w:asciiTheme="majorHAnsi" w:hAnsiTheme="majorHAnsi"/>
          <w:lang w:val="en"/>
        </w:rPr>
        <w:t>Lead(</w:t>
      </w:r>
      <w:proofErr w:type="gramEnd"/>
      <w:r w:rsidRPr="004D7F3A">
        <w:rPr>
          <w:rFonts w:asciiTheme="majorHAnsi" w:hAnsiTheme="majorHAnsi"/>
          <w:lang w:val="en"/>
        </w:rPr>
        <w:t xml:space="preserve">II) Chloride (PbCl2, 99.0%) were </w:t>
      </w:r>
      <w:r w:rsidR="00511D7E">
        <w:rPr>
          <w:rFonts w:asciiTheme="majorHAnsi" w:hAnsiTheme="majorHAnsi"/>
          <w:lang w:val="en"/>
        </w:rPr>
        <w:t>purchased</w:t>
      </w:r>
      <w:r w:rsidRPr="004D7F3A">
        <w:rPr>
          <w:rFonts w:asciiTheme="majorHAnsi" w:hAnsiTheme="majorHAnsi"/>
          <w:lang w:val="en"/>
        </w:rPr>
        <w:t xml:space="preserve"> from TCI. N, N-</w:t>
      </w:r>
      <w:proofErr w:type="gramStart"/>
      <w:r w:rsidRPr="004D7F3A">
        <w:rPr>
          <w:rFonts w:asciiTheme="majorHAnsi" w:hAnsiTheme="majorHAnsi"/>
          <w:lang w:val="en"/>
        </w:rPr>
        <w:t>dimethylformamide</w:t>
      </w:r>
      <w:proofErr w:type="gramEnd"/>
      <w:r w:rsidRPr="004D7F3A">
        <w:rPr>
          <w:rFonts w:asciiTheme="majorHAnsi" w:hAnsiTheme="majorHAnsi"/>
          <w:lang w:val="en"/>
        </w:rPr>
        <w:t xml:space="preserve"> (DMF, 99.8%), dimethyl sulfoxide (DMSO, 99.8%), Isopropanol (IPA, 99.8%), toluene (99.8%), Chlorobenzene </w:t>
      </w:r>
      <w:bookmarkStart w:id="4" w:name="OLE_LINK9"/>
      <w:r w:rsidRPr="004D7F3A">
        <w:rPr>
          <w:rFonts w:asciiTheme="majorHAnsi" w:hAnsiTheme="majorHAnsi"/>
          <w:lang w:val="en"/>
        </w:rPr>
        <w:t>(CB, 99.9%)</w:t>
      </w:r>
      <w:bookmarkEnd w:id="4"/>
      <w:r w:rsidRPr="004D7F3A">
        <w:rPr>
          <w:rFonts w:asciiTheme="majorHAnsi" w:hAnsiTheme="majorHAnsi"/>
          <w:lang w:val="en"/>
        </w:rPr>
        <w:t>, methanol (MeOH, 99.8%) and ethanol (EtOH, 99.8%) were purchased from Sigma Aldrich. Methylammonium iodide (MAI, 99.5%), Methylammonium bromide (</w:t>
      </w:r>
      <w:proofErr w:type="spellStart"/>
      <w:r w:rsidRPr="004D7F3A">
        <w:rPr>
          <w:rFonts w:asciiTheme="majorHAnsi" w:hAnsiTheme="majorHAnsi"/>
          <w:lang w:val="en"/>
        </w:rPr>
        <w:t>MABr</w:t>
      </w:r>
      <w:proofErr w:type="spellEnd"/>
      <w:r w:rsidRPr="004D7F3A">
        <w:rPr>
          <w:rFonts w:asciiTheme="majorHAnsi" w:hAnsiTheme="majorHAnsi"/>
          <w:lang w:val="en"/>
        </w:rPr>
        <w:t xml:space="preserve">, 99.5%) and </w:t>
      </w:r>
      <w:proofErr w:type="spellStart"/>
      <w:r w:rsidRPr="004D7F3A">
        <w:rPr>
          <w:rFonts w:asciiTheme="majorHAnsi" w:hAnsiTheme="majorHAnsi"/>
          <w:lang w:val="en"/>
        </w:rPr>
        <w:t>formamidinium</w:t>
      </w:r>
      <w:proofErr w:type="spellEnd"/>
      <w:r w:rsidRPr="004D7F3A">
        <w:rPr>
          <w:rFonts w:asciiTheme="majorHAnsi" w:hAnsiTheme="majorHAnsi"/>
          <w:lang w:val="en"/>
        </w:rPr>
        <w:t xml:space="preserve"> iodide (FAI, 99.5%) were purchased from </w:t>
      </w:r>
      <w:proofErr w:type="spellStart"/>
      <w:r w:rsidR="008153D8" w:rsidRPr="004D7F3A">
        <w:rPr>
          <w:rFonts w:asciiTheme="majorHAnsi" w:hAnsiTheme="majorHAnsi"/>
          <w:lang w:val="en"/>
        </w:rPr>
        <w:t>Greatcell</w:t>
      </w:r>
      <w:proofErr w:type="spellEnd"/>
      <w:r w:rsidR="008153D8" w:rsidRPr="004D7F3A">
        <w:rPr>
          <w:rFonts w:asciiTheme="majorHAnsi" w:hAnsiTheme="majorHAnsi"/>
          <w:lang w:val="en"/>
        </w:rPr>
        <w:t xml:space="preserve"> Solar</w:t>
      </w:r>
      <w:r w:rsidRPr="004D7F3A">
        <w:rPr>
          <w:rFonts w:asciiTheme="majorHAnsi" w:hAnsiTheme="majorHAnsi"/>
          <w:lang w:val="en"/>
        </w:rPr>
        <w:t xml:space="preserve">. </w:t>
      </w:r>
      <w:r w:rsidR="008153D8" w:rsidRPr="004D7F3A">
        <w:rPr>
          <w:rFonts w:asciiTheme="majorHAnsi" w:hAnsiTheme="majorHAnsi"/>
          <w:lang w:val="en"/>
        </w:rPr>
        <w:t>P</w:t>
      </w:r>
      <w:r w:rsidR="006F363A" w:rsidRPr="004D7F3A">
        <w:rPr>
          <w:rFonts w:asciiTheme="majorHAnsi" w:hAnsiTheme="majorHAnsi"/>
          <w:lang w:val="en"/>
        </w:rPr>
        <w:t>C60BM</w:t>
      </w:r>
      <w:r w:rsidRPr="004D7F3A">
        <w:rPr>
          <w:rFonts w:asciiTheme="majorHAnsi" w:hAnsiTheme="majorHAnsi"/>
          <w:lang w:val="en"/>
        </w:rPr>
        <w:t xml:space="preserve"> was purchased from </w:t>
      </w:r>
      <w:r w:rsidR="006F363A" w:rsidRPr="004D7F3A">
        <w:rPr>
          <w:rFonts w:asciiTheme="majorHAnsi" w:hAnsiTheme="majorHAnsi"/>
          <w:lang w:val="en"/>
        </w:rPr>
        <w:t>1-Material</w:t>
      </w:r>
      <w:r w:rsidRPr="004D7F3A">
        <w:rPr>
          <w:rFonts w:asciiTheme="majorHAnsi" w:hAnsiTheme="majorHAnsi"/>
          <w:lang w:val="en"/>
        </w:rPr>
        <w:t>. Indium tin oxide (ITO, 15 Ω/sq)</w:t>
      </w:r>
      <w:r w:rsidR="006F363A" w:rsidRPr="004D7F3A">
        <w:rPr>
          <w:rFonts w:asciiTheme="majorHAnsi" w:hAnsiTheme="majorHAnsi"/>
          <w:lang w:val="en"/>
        </w:rPr>
        <w:t xml:space="preserve"> from </w:t>
      </w:r>
      <w:proofErr w:type="spellStart"/>
      <w:r w:rsidR="0030136A" w:rsidRPr="004D7F3A">
        <w:rPr>
          <w:rFonts w:asciiTheme="majorHAnsi" w:hAnsiTheme="majorHAnsi"/>
          <w:lang w:val="en"/>
        </w:rPr>
        <w:t>Yingkou</w:t>
      </w:r>
      <w:proofErr w:type="spellEnd"/>
      <w:r w:rsidR="0030136A" w:rsidRPr="004D7F3A">
        <w:rPr>
          <w:rFonts w:asciiTheme="majorHAnsi" w:hAnsiTheme="majorHAnsi"/>
          <w:lang w:val="en"/>
        </w:rPr>
        <w:t xml:space="preserve"> </w:t>
      </w:r>
      <w:proofErr w:type="spellStart"/>
      <w:r w:rsidR="0030136A" w:rsidRPr="004D7F3A">
        <w:rPr>
          <w:rFonts w:asciiTheme="majorHAnsi" w:hAnsiTheme="majorHAnsi"/>
          <w:lang w:val="en"/>
        </w:rPr>
        <w:t>Shangsheng</w:t>
      </w:r>
      <w:proofErr w:type="spellEnd"/>
      <w:r w:rsidR="0030136A" w:rsidRPr="004D7F3A">
        <w:rPr>
          <w:rFonts w:asciiTheme="majorHAnsi" w:hAnsiTheme="majorHAnsi"/>
          <w:lang w:val="en"/>
        </w:rPr>
        <w:t xml:space="preserve"> Business Co. Ltd</w:t>
      </w:r>
      <w:r w:rsidRPr="004D7F3A">
        <w:rPr>
          <w:rFonts w:asciiTheme="majorHAnsi" w:hAnsiTheme="majorHAnsi"/>
          <w:lang w:val="en"/>
        </w:rPr>
        <w:t>, and Bathocuproine (BCP) were purchased</w:t>
      </w:r>
      <w:r w:rsidR="00680E23" w:rsidRPr="004D7F3A">
        <w:rPr>
          <w:rFonts w:asciiTheme="majorHAnsi" w:hAnsiTheme="majorHAnsi"/>
          <w:lang w:val="en"/>
        </w:rPr>
        <w:t>,</w:t>
      </w:r>
      <w:r w:rsidRPr="004D7F3A">
        <w:rPr>
          <w:rFonts w:asciiTheme="majorHAnsi" w:hAnsiTheme="majorHAnsi"/>
          <w:lang w:val="en"/>
        </w:rPr>
        <w:t xml:space="preserve"> poly[bis(4-phenyl)(2,4,6-trimethylphenyl)amine (PTAA), 2,3,5,6-tetrafluoro-7,7,8,8-tetracyanoquinodimethane (F4-TCNQ)</w:t>
      </w:r>
      <w:r w:rsidR="00D477B4" w:rsidRPr="004D7F3A">
        <w:rPr>
          <w:rFonts w:asciiTheme="majorHAnsi" w:hAnsiTheme="majorHAnsi"/>
          <w:lang w:val="en"/>
        </w:rPr>
        <w:t xml:space="preserve"> from </w:t>
      </w:r>
      <w:proofErr w:type="spellStart"/>
      <w:r w:rsidR="00D477B4" w:rsidRPr="004D7F3A">
        <w:rPr>
          <w:rFonts w:asciiTheme="majorHAnsi" w:hAnsiTheme="majorHAnsi"/>
          <w:lang w:val="en"/>
        </w:rPr>
        <w:t>Osilla</w:t>
      </w:r>
      <w:proofErr w:type="spellEnd"/>
      <w:r w:rsidR="00D477B4" w:rsidRPr="004D7F3A">
        <w:rPr>
          <w:rFonts w:asciiTheme="majorHAnsi" w:hAnsiTheme="majorHAnsi"/>
          <w:lang w:val="en"/>
        </w:rPr>
        <w:t xml:space="preserve"> Ltd</w:t>
      </w:r>
      <w:r w:rsidRPr="004D7F3A">
        <w:rPr>
          <w:rFonts w:asciiTheme="majorHAnsi" w:hAnsiTheme="majorHAnsi"/>
          <w:lang w:val="en"/>
        </w:rPr>
        <w:t>, poly[(9,9-bis(3′-((N,N-dimethyl)-N-ethylammonium)-propyl)-2,7-fluorene)-alt-2,7-(9,9-dioctylfluorene)] dibromide (PFN-Br)</w:t>
      </w:r>
      <w:r w:rsidR="00D477B4" w:rsidRPr="004D7F3A">
        <w:rPr>
          <w:rFonts w:asciiTheme="majorHAnsi" w:hAnsiTheme="majorHAnsi"/>
          <w:lang w:val="en"/>
        </w:rPr>
        <w:t xml:space="preserve">, </w:t>
      </w:r>
      <w:r w:rsidRPr="004D7F3A">
        <w:rPr>
          <w:rFonts w:asciiTheme="majorHAnsi" w:hAnsiTheme="majorHAnsi"/>
          <w:lang w:val="en"/>
        </w:rPr>
        <w:t>poly(3,4-ethylenedioxythiophene) polystyrene sulfonate (PEDOT: PSS)</w:t>
      </w:r>
      <w:r w:rsidR="00E01422" w:rsidRPr="004D7F3A">
        <w:rPr>
          <w:rFonts w:asciiTheme="majorHAnsi" w:hAnsiTheme="majorHAnsi"/>
          <w:lang w:val="en"/>
        </w:rPr>
        <w:t xml:space="preserve"> From Merck</w:t>
      </w:r>
      <w:r w:rsidRPr="004D7F3A">
        <w:rPr>
          <w:rFonts w:asciiTheme="majorHAnsi" w:hAnsiTheme="majorHAnsi"/>
          <w:lang w:val="en"/>
        </w:rPr>
        <w:t>. </w:t>
      </w:r>
      <w:r w:rsidR="00511D7E">
        <w:rPr>
          <w:rFonts w:asciiTheme="majorHAnsi" w:hAnsiTheme="majorHAnsi"/>
          <w:lang w:val="en"/>
        </w:rPr>
        <w:t xml:space="preserve"> </w:t>
      </w:r>
      <w:r w:rsidR="00511D7E" w:rsidRPr="00511D7E">
        <w:rPr>
          <w:rFonts w:asciiTheme="majorHAnsi" w:hAnsiTheme="majorHAnsi"/>
        </w:rPr>
        <w:t>All chemicals were used as received without further purification.</w:t>
      </w:r>
    </w:p>
    <w:p w14:paraId="1123CD6C" w14:textId="2E658A5F" w:rsidR="00FB4AE2" w:rsidRPr="00C73FEA" w:rsidRDefault="00FB4AE2" w:rsidP="00E53B28">
      <w:pPr>
        <w:pStyle w:val="ListParagraph"/>
        <w:numPr>
          <w:ilvl w:val="1"/>
          <w:numId w:val="5"/>
        </w:numPr>
        <w:spacing w:after="120" w:line="360" w:lineRule="auto"/>
        <w:contextualSpacing w:val="0"/>
        <w:jc w:val="both"/>
        <w:rPr>
          <w:rFonts w:asciiTheme="majorHAnsi" w:hAnsiTheme="majorHAnsi"/>
          <w:b/>
          <w:bCs/>
          <w:lang w:val="en"/>
        </w:rPr>
      </w:pPr>
      <w:r w:rsidRPr="00C73FEA">
        <w:rPr>
          <w:rFonts w:asciiTheme="majorHAnsi" w:hAnsiTheme="majorHAnsi"/>
          <w:b/>
          <w:bCs/>
          <w:lang w:val="en"/>
        </w:rPr>
        <w:t xml:space="preserve"> </w:t>
      </w:r>
      <w:r w:rsidR="00C73FEA" w:rsidRPr="00C73FEA">
        <w:rPr>
          <w:rFonts w:asciiTheme="majorHAnsi" w:hAnsiTheme="majorHAnsi"/>
          <w:b/>
          <w:bCs/>
          <w:lang w:val="en"/>
        </w:rPr>
        <w:t>P</w:t>
      </w:r>
      <w:r w:rsidRPr="00C73FEA">
        <w:rPr>
          <w:rFonts w:asciiTheme="majorHAnsi" w:hAnsiTheme="majorHAnsi"/>
          <w:b/>
          <w:bCs/>
          <w:lang w:val="en"/>
        </w:rPr>
        <w:t>reparation</w:t>
      </w:r>
    </w:p>
    <w:p w14:paraId="258C6DB2" w14:textId="34E6287F" w:rsidR="00FB4AE2" w:rsidRPr="004D7F3A" w:rsidRDefault="00FB4AE2" w:rsidP="00E53B28">
      <w:pPr>
        <w:spacing w:after="120" w:line="360" w:lineRule="auto"/>
        <w:jc w:val="both"/>
        <w:rPr>
          <w:rFonts w:asciiTheme="majorHAnsi" w:hAnsiTheme="majorHAnsi"/>
          <w:lang w:val="en"/>
        </w:rPr>
      </w:pPr>
      <w:bookmarkStart w:id="5" w:name="OLE_LINK5"/>
      <w:r w:rsidRPr="004D7F3A">
        <w:rPr>
          <w:rFonts w:asciiTheme="majorHAnsi" w:hAnsiTheme="majorHAnsi"/>
          <w:lang w:val="en"/>
        </w:rPr>
        <w:t xml:space="preserve">The PTAA solution with concentration of 1.5 mg/mL were prepared by dissolving </w:t>
      </w:r>
      <w:r w:rsidR="00511D7E">
        <w:rPr>
          <w:rFonts w:asciiTheme="majorHAnsi" w:hAnsiTheme="majorHAnsi"/>
          <w:lang w:val="en"/>
        </w:rPr>
        <w:t xml:space="preserve">it </w:t>
      </w:r>
      <w:r w:rsidRPr="004D7F3A">
        <w:rPr>
          <w:rFonts w:asciiTheme="majorHAnsi" w:hAnsiTheme="majorHAnsi"/>
          <w:lang w:val="en"/>
        </w:rPr>
        <w:t>in toluene.</w:t>
      </w:r>
      <w:bookmarkEnd w:id="5"/>
      <w:r w:rsidRPr="004D7F3A">
        <w:rPr>
          <w:rFonts w:asciiTheme="majorHAnsi" w:hAnsiTheme="majorHAnsi"/>
          <w:lang w:val="en"/>
        </w:rPr>
        <w:t xml:space="preserve"> The MeO-2PACz solution with concentration of 0.5 mg/mL were prepared by dissolving in EtOH. The 1.6 M perovskite precursor solution with the composition of FA0.8MA0.15Cs0.05PbI3 (bandgap: 1.55 eV) was prepared by fully dissolving </w:t>
      </w:r>
      <w:proofErr w:type="spellStart"/>
      <w:r w:rsidRPr="004D7F3A">
        <w:rPr>
          <w:rFonts w:asciiTheme="majorHAnsi" w:hAnsiTheme="majorHAnsi"/>
          <w:lang w:val="en"/>
        </w:rPr>
        <w:t>CsI</w:t>
      </w:r>
      <w:proofErr w:type="spellEnd"/>
      <w:r w:rsidRPr="004D7F3A">
        <w:rPr>
          <w:rFonts w:asciiTheme="majorHAnsi" w:hAnsiTheme="majorHAnsi"/>
          <w:lang w:val="en"/>
        </w:rPr>
        <w:t xml:space="preserve">: 20.8 mg, </w:t>
      </w:r>
      <w:proofErr w:type="spellStart"/>
      <w:r w:rsidRPr="004D7F3A">
        <w:rPr>
          <w:rFonts w:asciiTheme="majorHAnsi" w:hAnsiTheme="majorHAnsi"/>
          <w:lang w:val="en"/>
        </w:rPr>
        <w:t>MABr</w:t>
      </w:r>
      <w:proofErr w:type="spellEnd"/>
      <w:r w:rsidRPr="004D7F3A">
        <w:rPr>
          <w:rFonts w:asciiTheme="majorHAnsi" w:hAnsiTheme="majorHAnsi"/>
          <w:lang w:val="en"/>
        </w:rPr>
        <w:t xml:space="preserve">: 7.6 mg, MAI: 38.1 mg, FAI: 234 mg, PbI2: 738 mg, PbCl2:18 mg in a mixed solvent of DMF: 770 </w:t>
      </w:r>
      <w:proofErr w:type="spellStart"/>
      <w:r w:rsidRPr="004D7F3A">
        <w:rPr>
          <w:rFonts w:asciiTheme="majorHAnsi" w:hAnsiTheme="majorHAnsi"/>
          <w:lang w:val="en"/>
        </w:rPr>
        <w:t>μL</w:t>
      </w:r>
      <w:proofErr w:type="spellEnd"/>
      <w:r w:rsidRPr="004D7F3A">
        <w:rPr>
          <w:rFonts w:asciiTheme="majorHAnsi" w:hAnsiTheme="majorHAnsi"/>
          <w:lang w:val="en"/>
        </w:rPr>
        <w:t xml:space="preserve">, DMSO:230 </w:t>
      </w:r>
      <w:proofErr w:type="spellStart"/>
      <w:r w:rsidRPr="004D7F3A">
        <w:rPr>
          <w:rFonts w:asciiTheme="majorHAnsi" w:hAnsiTheme="majorHAnsi"/>
          <w:lang w:val="en"/>
        </w:rPr>
        <w:t>μL</w:t>
      </w:r>
      <w:proofErr w:type="spellEnd"/>
      <w:r w:rsidRPr="004D7F3A">
        <w:rPr>
          <w:rFonts w:asciiTheme="majorHAnsi" w:hAnsiTheme="majorHAnsi"/>
          <w:lang w:val="en"/>
        </w:rPr>
        <w:t xml:space="preserve">. </w:t>
      </w:r>
    </w:p>
    <w:p w14:paraId="175907C1" w14:textId="79FA169A" w:rsidR="00FB4AE2" w:rsidRPr="00C73FEA" w:rsidRDefault="00FB4AE2" w:rsidP="00E53B28">
      <w:pPr>
        <w:pStyle w:val="ListParagraph"/>
        <w:numPr>
          <w:ilvl w:val="1"/>
          <w:numId w:val="5"/>
        </w:numPr>
        <w:spacing w:after="120" w:line="360" w:lineRule="auto"/>
        <w:contextualSpacing w:val="0"/>
        <w:jc w:val="both"/>
        <w:rPr>
          <w:rFonts w:asciiTheme="majorHAnsi" w:hAnsiTheme="majorHAnsi"/>
          <w:b/>
          <w:bCs/>
          <w:lang w:val="en"/>
        </w:rPr>
      </w:pPr>
      <w:r w:rsidRPr="00C73FEA">
        <w:rPr>
          <w:rFonts w:asciiTheme="majorHAnsi" w:hAnsiTheme="majorHAnsi"/>
          <w:b/>
          <w:bCs/>
          <w:lang w:val="en"/>
        </w:rPr>
        <w:t>Solar Cell Fabrication</w:t>
      </w:r>
    </w:p>
    <w:p w14:paraId="28C1B909" w14:textId="0E725FE0" w:rsidR="00511D7E" w:rsidRPr="004D7F3A" w:rsidRDefault="00FB4AE2" w:rsidP="00E53B28">
      <w:pPr>
        <w:spacing w:after="120" w:line="360" w:lineRule="auto"/>
        <w:jc w:val="both"/>
        <w:rPr>
          <w:rFonts w:asciiTheme="majorHAnsi" w:hAnsiTheme="majorHAnsi"/>
          <w:lang w:val="en"/>
        </w:rPr>
      </w:pPr>
      <w:r w:rsidRPr="004D7F3A">
        <w:rPr>
          <w:rFonts w:asciiTheme="majorHAnsi" w:hAnsiTheme="majorHAnsi"/>
          <w:lang w:val="en"/>
        </w:rPr>
        <w:t>The inverted device architecture was ITO/SAMs/PVK/</w:t>
      </w:r>
      <w:r w:rsidR="00A1014E" w:rsidRPr="004D7F3A">
        <w:rPr>
          <w:rFonts w:asciiTheme="majorHAnsi" w:hAnsiTheme="majorHAnsi"/>
          <w:lang w:val="en"/>
        </w:rPr>
        <w:t>PC60BM/</w:t>
      </w:r>
      <w:r w:rsidRPr="004D7F3A">
        <w:rPr>
          <w:rFonts w:asciiTheme="majorHAnsi" w:hAnsiTheme="majorHAnsi"/>
          <w:lang w:val="en"/>
        </w:rPr>
        <w:t>BCP/Ag. The ITO was washed with detergent, deionized water, acetone, and ethanol in sequence for 30 minutes. After that, the cleaned ITO substrate was dried by N</w:t>
      </w:r>
      <w:r w:rsidRPr="00511D7E">
        <w:rPr>
          <w:rFonts w:asciiTheme="majorHAnsi" w:hAnsiTheme="majorHAnsi"/>
          <w:vertAlign w:val="subscript"/>
          <w:lang w:val="en"/>
        </w:rPr>
        <w:t>2</w:t>
      </w:r>
      <w:r w:rsidRPr="004D7F3A">
        <w:rPr>
          <w:rFonts w:asciiTheme="majorHAnsi" w:hAnsiTheme="majorHAnsi"/>
          <w:lang w:val="en"/>
        </w:rPr>
        <w:t xml:space="preserve"> gas and then treated with plasma for 15 minutes. </w:t>
      </w:r>
      <w:bookmarkStart w:id="6" w:name="OLE_LINK10"/>
      <w:r w:rsidRPr="004D7F3A">
        <w:rPr>
          <w:rFonts w:asciiTheme="majorHAnsi" w:hAnsiTheme="majorHAnsi"/>
          <w:lang w:val="en"/>
        </w:rPr>
        <w:t xml:space="preserve">The 100 </w:t>
      </w:r>
      <w:proofErr w:type="spellStart"/>
      <w:r w:rsidRPr="004D7F3A">
        <w:rPr>
          <w:rFonts w:asciiTheme="majorHAnsi" w:hAnsiTheme="majorHAnsi"/>
          <w:lang w:val="en"/>
        </w:rPr>
        <w:t>μL</w:t>
      </w:r>
      <w:proofErr w:type="spellEnd"/>
      <w:r w:rsidRPr="004D7F3A">
        <w:rPr>
          <w:rFonts w:asciiTheme="majorHAnsi" w:hAnsiTheme="majorHAnsi"/>
          <w:lang w:val="en"/>
        </w:rPr>
        <w:t xml:space="preserve"> PEDOT: PSS was spin-coated on ITO for 30 s at 3000 </w:t>
      </w:r>
      <w:proofErr w:type="gramStart"/>
      <w:r w:rsidRPr="004D7F3A">
        <w:rPr>
          <w:rFonts w:asciiTheme="majorHAnsi" w:hAnsiTheme="majorHAnsi"/>
          <w:lang w:val="en"/>
        </w:rPr>
        <w:t>rpm, and</w:t>
      </w:r>
      <w:proofErr w:type="gramEnd"/>
      <w:r w:rsidRPr="004D7F3A">
        <w:rPr>
          <w:rFonts w:asciiTheme="majorHAnsi" w:hAnsiTheme="majorHAnsi"/>
          <w:lang w:val="en"/>
        </w:rPr>
        <w:t xml:space="preserve"> then annealed at 130 °C for 10 minutes.</w:t>
      </w:r>
      <w:bookmarkStart w:id="7" w:name="OLE_LINK11"/>
      <w:bookmarkEnd w:id="6"/>
      <w:r w:rsidRPr="004D7F3A">
        <w:rPr>
          <w:rFonts w:asciiTheme="majorHAnsi" w:hAnsiTheme="majorHAnsi"/>
          <w:lang w:val="en"/>
        </w:rPr>
        <w:t xml:space="preserve"> </w:t>
      </w:r>
      <w:bookmarkStart w:id="8" w:name="OLE_LINK12"/>
      <w:bookmarkEnd w:id="7"/>
      <w:r w:rsidRPr="004D7F3A">
        <w:rPr>
          <w:rFonts w:asciiTheme="majorHAnsi" w:hAnsiTheme="majorHAnsi"/>
          <w:lang w:val="en"/>
        </w:rPr>
        <w:t xml:space="preserve">The 100 </w:t>
      </w:r>
      <w:proofErr w:type="spellStart"/>
      <w:r w:rsidRPr="004D7F3A">
        <w:rPr>
          <w:rFonts w:asciiTheme="majorHAnsi" w:hAnsiTheme="majorHAnsi"/>
          <w:lang w:val="en"/>
        </w:rPr>
        <w:t>μL</w:t>
      </w:r>
      <w:proofErr w:type="spellEnd"/>
      <w:r w:rsidRPr="004D7F3A">
        <w:rPr>
          <w:rFonts w:asciiTheme="majorHAnsi" w:hAnsiTheme="majorHAnsi"/>
          <w:lang w:val="en"/>
        </w:rPr>
        <w:t xml:space="preserve"> PTAA was spin-coated on ITO for 30 s at 3000 </w:t>
      </w:r>
      <w:proofErr w:type="gramStart"/>
      <w:r w:rsidRPr="004D7F3A">
        <w:rPr>
          <w:rFonts w:asciiTheme="majorHAnsi" w:hAnsiTheme="majorHAnsi"/>
          <w:lang w:val="en"/>
        </w:rPr>
        <w:t>rpm, and</w:t>
      </w:r>
      <w:proofErr w:type="gramEnd"/>
      <w:r w:rsidRPr="004D7F3A">
        <w:rPr>
          <w:rFonts w:asciiTheme="majorHAnsi" w:hAnsiTheme="majorHAnsi"/>
          <w:lang w:val="en"/>
        </w:rPr>
        <w:t xml:space="preserve"> then annealed at 100 °C for 10 minutes.</w:t>
      </w:r>
      <w:bookmarkEnd w:id="8"/>
      <w:r w:rsidRPr="004D7F3A">
        <w:rPr>
          <w:rFonts w:asciiTheme="majorHAnsi" w:hAnsiTheme="majorHAnsi"/>
          <w:lang w:val="en"/>
        </w:rPr>
        <w:t xml:space="preserve"> The 100 </w:t>
      </w:r>
      <w:proofErr w:type="spellStart"/>
      <w:r w:rsidRPr="004D7F3A">
        <w:rPr>
          <w:rFonts w:asciiTheme="majorHAnsi" w:hAnsiTheme="majorHAnsi"/>
          <w:lang w:val="en"/>
        </w:rPr>
        <w:t>μL</w:t>
      </w:r>
      <w:proofErr w:type="spellEnd"/>
      <w:r w:rsidRPr="004D7F3A">
        <w:rPr>
          <w:rFonts w:asciiTheme="majorHAnsi" w:hAnsiTheme="majorHAnsi"/>
          <w:lang w:val="en"/>
        </w:rPr>
        <w:t xml:space="preserve"> PTAA doped with 3% F4TCNQ on the weight was spin-coated on ITO for 30 s at 3000 </w:t>
      </w:r>
      <w:proofErr w:type="gramStart"/>
      <w:r w:rsidRPr="004D7F3A">
        <w:rPr>
          <w:rFonts w:asciiTheme="majorHAnsi" w:hAnsiTheme="majorHAnsi"/>
          <w:lang w:val="en"/>
        </w:rPr>
        <w:t>rpm, and</w:t>
      </w:r>
      <w:proofErr w:type="gramEnd"/>
      <w:r w:rsidRPr="004D7F3A">
        <w:rPr>
          <w:rFonts w:asciiTheme="majorHAnsi" w:hAnsiTheme="majorHAnsi"/>
          <w:lang w:val="en"/>
        </w:rPr>
        <w:t xml:space="preserve"> then annealed at 100 °C for 10 minutes. The 100 </w:t>
      </w:r>
      <w:proofErr w:type="spellStart"/>
      <w:r w:rsidRPr="004D7F3A">
        <w:rPr>
          <w:rFonts w:asciiTheme="majorHAnsi" w:hAnsiTheme="majorHAnsi"/>
          <w:lang w:val="en"/>
        </w:rPr>
        <w:t>μL</w:t>
      </w:r>
      <w:proofErr w:type="spellEnd"/>
      <w:r w:rsidRPr="004D7F3A">
        <w:rPr>
          <w:rFonts w:asciiTheme="majorHAnsi" w:hAnsiTheme="majorHAnsi"/>
          <w:lang w:val="en"/>
        </w:rPr>
        <w:t xml:space="preserve"> MeO-2PACz was spin-coated on ITO for 30 s at 3000 </w:t>
      </w:r>
      <w:proofErr w:type="gramStart"/>
      <w:r w:rsidRPr="004D7F3A">
        <w:rPr>
          <w:rFonts w:asciiTheme="majorHAnsi" w:hAnsiTheme="majorHAnsi"/>
          <w:lang w:val="en"/>
        </w:rPr>
        <w:t>rpm, and</w:t>
      </w:r>
      <w:proofErr w:type="gramEnd"/>
      <w:r w:rsidRPr="004D7F3A">
        <w:rPr>
          <w:rFonts w:asciiTheme="majorHAnsi" w:hAnsiTheme="majorHAnsi"/>
          <w:lang w:val="en"/>
        </w:rPr>
        <w:t xml:space="preserve"> then annealed at 100 °C for 10 minutes. </w:t>
      </w:r>
      <w:r w:rsidR="00511D7E" w:rsidRPr="00511D7E">
        <w:rPr>
          <w:rFonts w:asciiTheme="majorHAnsi" w:hAnsiTheme="majorHAnsi"/>
        </w:rPr>
        <w:t>To prevent non-wetting issues, an ultra-thin layer of PFN-Br (0.4 mg mL</w:t>
      </w:r>
      <w:r w:rsidR="00511D7E" w:rsidRPr="00511D7E">
        <w:rPr>
          <w:rFonts w:ascii="Cambria Math" w:hAnsi="Cambria Math" w:cs="Cambria Math"/>
        </w:rPr>
        <w:t>⁻</w:t>
      </w:r>
      <w:r w:rsidR="00511D7E" w:rsidRPr="00511D7E">
        <w:rPr>
          <w:rFonts w:ascii="Aptos Display" w:hAnsi="Aptos Display" w:cs="Aptos Display"/>
        </w:rPr>
        <w:t>¹</w:t>
      </w:r>
      <w:r w:rsidR="00511D7E" w:rsidRPr="00511D7E">
        <w:rPr>
          <w:rFonts w:asciiTheme="majorHAnsi" w:hAnsiTheme="majorHAnsi"/>
        </w:rPr>
        <w:t xml:space="preserve"> in methanol) was spin-coated onto the Poly-TPD and PTAA films at 5000 </w:t>
      </w:r>
      <w:r w:rsidR="00511D7E" w:rsidRPr="00511D7E">
        <w:rPr>
          <w:rFonts w:asciiTheme="majorHAnsi" w:hAnsiTheme="majorHAnsi"/>
        </w:rPr>
        <w:lastRenderedPageBreak/>
        <w:t>rpm</w:t>
      </w:r>
      <w:r w:rsidR="00511D7E">
        <w:rPr>
          <w:rFonts w:asciiTheme="majorHAnsi" w:hAnsiTheme="majorHAnsi"/>
        </w:rPr>
        <w:t xml:space="preserve"> dynamically</w:t>
      </w:r>
      <w:r w:rsidR="00511D7E" w:rsidRPr="00511D7E">
        <w:rPr>
          <w:rFonts w:asciiTheme="majorHAnsi" w:hAnsiTheme="majorHAnsi"/>
        </w:rPr>
        <w:t>.</w:t>
      </w:r>
      <w:r w:rsidR="00511D7E">
        <w:rPr>
          <w:rFonts w:asciiTheme="majorHAnsi" w:hAnsiTheme="majorHAnsi"/>
        </w:rPr>
        <w:t xml:space="preserve"> </w:t>
      </w:r>
      <w:r w:rsidRPr="004D7F3A">
        <w:rPr>
          <w:rFonts w:asciiTheme="majorHAnsi" w:hAnsiTheme="majorHAnsi"/>
          <w:lang w:val="en"/>
        </w:rPr>
        <w:t xml:space="preserve">Subsequently, 60 </w:t>
      </w:r>
      <w:proofErr w:type="spellStart"/>
      <w:r w:rsidRPr="004D7F3A">
        <w:rPr>
          <w:rFonts w:asciiTheme="majorHAnsi" w:hAnsiTheme="majorHAnsi"/>
          <w:lang w:val="en"/>
        </w:rPr>
        <w:t>μL</w:t>
      </w:r>
      <w:proofErr w:type="spellEnd"/>
      <w:r w:rsidRPr="004D7F3A">
        <w:rPr>
          <w:rFonts w:asciiTheme="majorHAnsi" w:hAnsiTheme="majorHAnsi"/>
          <w:lang w:val="en"/>
        </w:rPr>
        <w:t xml:space="preserve"> perovskite precursor was deposited on the HTL. The perovskite solution was spin-coated with 1000 rpm for 10 s, and 5000 rpm for 30 s. At 16 s before the end of the procedure, </w:t>
      </w:r>
      <w:r w:rsidR="00537275" w:rsidRPr="004D7F3A">
        <w:rPr>
          <w:rFonts w:asciiTheme="majorHAnsi" w:hAnsiTheme="majorHAnsi"/>
          <w:lang w:val="en"/>
        </w:rPr>
        <w:t>150</w:t>
      </w:r>
      <w:r w:rsidRPr="004D7F3A">
        <w:rPr>
          <w:rFonts w:asciiTheme="majorHAnsi" w:hAnsiTheme="majorHAnsi"/>
          <w:lang w:val="en"/>
        </w:rPr>
        <w:t xml:space="preserve"> </w:t>
      </w:r>
      <w:proofErr w:type="spellStart"/>
      <w:r w:rsidRPr="004D7F3A">
        <w:rPr>
          <w:rFonts w:asciiTheme="majorHAnsi" w:hAnsiTheme="majorHAnsi"/>
          <w:lang w:val="en"/>
        </w:rPr>
        <w:t>μL</w:t>
      </w:r>
      <w:proofErr w:type="spellEnd"/>
      <w:r w:rsidRPr="004D7F3A">
        <w:rPr>
          <w:rFonts w:asciiTheme="majorHAnsi" w:hAnsiTheme="majorHAnsi"/>
          <w:lang w:val="en"/>
        </w:rPr>
        <w:t xml:space="preserve"> CB as the antisolvent was dripped into the precast film surface. After that, the substrates were quickly transferred to a hot plate with 100 °C for 50 min annealing.</w:t>
      </w:r>
      <w:r w:rsidR="00170065" w:rsidRPr="004D7F3A">
        <w:rPr>
          <w:rFonts w:asciiTheme="majorHAnsi" w:hAnsiTheme="majorHAnsi"/>
          <w:lang w:val="en"/>
        </w:rPr>
        <w:t xml:space="preserve"> After annealing 20mg/ml PC60BM in CB was spin</w:t>
      </w:r>
      <w:r w:rsidR="001D3023" w:rsidRPr="004D7F3A">
        <w:rPr>
          <w:rFonts w:asciiTheme="majorHAnsi" w:hAnsiTheme="majorHAnsi"/>
          <w:lang w:val="en"/>
        </w:rPr>
        <w:t>-</w:t>
      </w:r>
      <w:r w:rsidR="00170065" w:rsidRPr="004D7F3A">
        <w:rPr>
          <w:rFonts w:asciiTheme="majorHAnsi" w:hAnsiTheme="majorHAnsi"/>
          <w:lang w:val="en"/>
        </w:rPr>
        <w:t>coated at 2500rpm on the PVK layer and annealed at 100</w:t>
      </w:r>
      <w:r w:rsidR="00E94825" w:rsidRPr="004D7F3A">
        <w:rPr>
          <w:rFonts w:asciiTheme="majorHAnsi" w:hAnsiTheme="majorHAnsi"/>
          <w:lang w:val="en"/>
        </w:rPr>
        <w:t>oC followed by 0.5mg/ml BCP in anhydrous IPA (no annealing).</w:t>
      </w:r>
      <w:r w:rsidRPr="004D7F3A">
        <w:rPr>
          <w:rFonts w:asciiTheme="majorHAnsi" w:hAnsiTheme="majorHAnsi"/>
          <w:lang w:val="en"/>
        </w:rPr>
        <w:t xml:space="preserve"> The spin-coating processes were all conducted at room temperature (about 25 </w:t>
      </w:r>
      <w:r w:rsidRPr="004D7F3A">
        <w:rPr>
          <w:rFonts w:ascii="Cambria Math" w:hAnsi="Cambria Math" w:cs="Cambria Math"/>
          <w:lang w:val="en"/>
        </w:rPr>
        <w:t>℃</w:t>
      </w:r>
      <w:r w:rsidRPr="004D7F3A">
        <w:rPr>
          <w:rFonts w:asciiTheme="majorHAnsi" w:hAnsiTheme="majorHAnsi"/>
          <w:lang w:val="en"/>
        </w:rPr>
        <w:t xml:space="preserve">) in a N2-filled glovebox. </w:t>
      </w:r>
      <w:r w:rsidR="00511D7E" w:rsidRPr="00511D7E">
        <w:rPr>
          <w:rFonts w:asciiTheme="majorHAnsi" w:hAnsiTheme="majorHAnsi"/>
        </w:rPr>
        <w:t>Finally, a 100 nm Ag electrode was thermally evaporated at a rate of 1.0 Å s</w:t>
      </w:r>
      <w:r w:rsidR="00511D7E" w:rsidRPr="00511D7E">
        <w:rPr>
          <w:rFonts w:ascii="Cambria Math" w:hAnsi="Cambria Math" w:cs="Cambria Math"/>
        </w:rPr>
        <w:t>⁻</w:t>
      </w:r>
      <w:r w:rsidR="00511D7E" w:rsidRPr="00511D7E">
        <w:rPr>
          <w:rFonts w:ascii="Aptos Display" w:hAnsi="Aptos Display" w:cs="Aptos Display"/>
        </w:rPr>
        <w:t>¹</w:t>
      </w:r>
      <w:r w:rsidR="00511D7E" w:rsidRPr="00511D7E">
        <w:rPr>
          <w:rFonts w:asciiTheme="majorHAnsi" w:hAnsiTheme="majorHAnsi"/>
        </w:rPr>
        <w:t xml:space="preserve"> under high vacuum (&lt; 4 </w:t>
      </w:r>
      <w:r w:rsidR="00511D7E" w:rsidRPr="00511D7E">
        <w:rPr>
          <w:rFonts w:ascii="Aptos Display" w:hAnsi="Aptos Display" w:cs="Aptos Display"/>
        </w:rPr>
        <w:t>×</w:t>
      </w:r>
      <w:r w:rsidR="00511D7E" w:rsidRPr="00511D7E">
        <w:rPr>
          <w:rFonts w:asciiTheme="majorHAnsi" w:hAnsiTheme="majorHAnsi"/>
        </w:rPr>
        <w:t xml:space="preserve"> 10</w:t>
      </w:r>
      <w:r w:rsidR="00511D7E" w:rsidRPr="00511D7E">
        <w:rPr>
          <w:rFonts w:ascii="Cambria Math" w:hAnsi="Cambria Math" w:cs="Cambria Math"/>
        </w:rPr>
        <w:t>⁻</w:t>
      </w:r>
      <w:r w:rsidR="00511D7E" w:rsidRPr="00511D7E">
        <w:rPr>
          <w:rFonts w:ascii="Aptos Display" w:hAnsi="Aptos Display" w:cs="Aptos Display"/>
        </w:rPr>
        <w:t>⁴</w:t>
      </w:r>
      <w:r w:rsidR="00511D7E" w:rsidRPr="00511D7E">
        <w:rPr>
          <w:rFonts w:asciiTheme="majorHAnsi" w:hAnsiTheme="majorHAnsi"/>
        </w:rPr>
        <w:t xml:space="preserve"> Torr).</w:t>
      </w:r>
    </w:p>
    <w:p w14:paraId="1DF1D9CF" w14:textId="58EA44AE" w:rsidR="00C73FEA" w:rsidRPr="00C73FEA" w:rsidRDefault="00C73FEA" w:rsidP="00E53B28">
      <w:pPr>
        <w:pStyle w:val="ListParagraph"/>
        <w:numPr>
          <w:ilvl w:val="1"/>
          <w:numId w:val="5"/>
        </w:numPr>
        <w:spacing w:after="120" w:line="360" w:lineRule="auto"/>
        <w:contextualSpacing w:val="0"/>
        <w:jc w:val="both"/>
        <w:rPr>
          <w:rFonts w:asciiTheme="majorHAnsi" w:hAnsiTheme="majorHAnsi"/>
          <w:b/>
          <w:bCs/>
          <w:lang w:val="en"/>
        </w:rPr>
      </w:pPr>
      <w:r w:rsidRPr="00C73FEA">
        <w:rPr>
          <w:rFonts w:asciiTheme="majorHAnsi" w:hAnsiTheme="majorHAnsi"/>
          <w:b/>
          <w:bCs/>
          <w:lang w:val="en"/>
        </w:rPr>
        <w:t>Device characterization</w:t>
      </w:r>
    </w:p>
    <w:p w14:paraId="00B3D256" w14:textId="338711CB" w:rsidR="00C73FEA" w:rsidRPr="00C73FEA" w:rsidRDefault="00C73FEA" w:rsidP="00E53B28">
      <w:pPr>
        <w:spacing w:after="120" w:line="360" w:lineRule="auto"/>
        <w:jc w:val="both"/>
        <w:rPr>
          <w:rFonts w:asciiTheme="majorHAnsi" w:hAnsiTheme="majorHAnsi"/>
          <w:i/>
          <w:iCs/>
          <w:u w:val="single"/>
        </w:rPr>
      </w:pPr>
      <w:r w:rsidRPr="00C73FEA">
        <w:rPr>
          <w:rFonts w:asciiTheme="majorHAnsi" w:hAnsiTheme="majorHAnsi"/>
          <w:i/>
          <w:iCs/>
          <w:u w:val="single"/>
        </w:rPr>
        <w:t>4.4.1. Current–voltage (J–V) measurements</w:t>
      </w:r>
    </w:p>
    <w:p w14:paraId="42D70396" w14:textId="7B582C99" w:rsidR="00E03E6E" w:rsidRPr="004D7F3A" w:rsidRDefault="00FB4AE2" w:rsidP="00E53B28">
      <w:pPr>
        <w:spacing w:after="120" w:line="360" w:lineRule="auto"/>
        <w:jc w:val="both"/>
        <w:rPr>
          <w:rFonts w:asciiTheme="majorHAnsi" w:hAnsiTheme="majorHAnsi"/>
          <w:lang w:val="en"/>
        </w:rPr>
      </w:pPr>
      <w:r w:rsidRPr="004D7F3A">
        <w:rPr>
          <w:rFonts w:asciiTheme="majorHAnsi" w:hAnsiTheme="majorHAnsi"/>
          <w:lang w:val="en"/>
        </w:rPr>
        <w:t xml:space="preserve">J–V measurement of the perovskite solar cells was determined using a Keithley 2400 source meter under simulated AM 1.5G illumination with an intensity of 100 </w:t>
      </w:r>
      <w:proofErr w:type="spellStart"/>
      <w:r w:rsidRPr="004D7F3A">
        <w:rPr>
          <w:rFonts w:asciiTheme="majorHAnsi" w:hAnsiTheme="majorHAnsi"/>
          <w:lang w:val="en"/>
        </w:rPr>
        <w:t>mW</w:t>
      </w:r>
      <w:proofErr w:type="spellEnd"/>
      <w:r w:rsidRPr="004D7F3A">
        <w:rPr>
          <w:rFonts w:asciiTheme="majorHAnsi" w:hAnsiTheme="majorHAnsi"/>
          <w:lang w:val="en"/>
        </w:rPr>
        <w:t>/cm</w:t>
      </w:r>
      <w:r w:rsidRPr="00511D7E">
        <w:rPr>
          <w:rFonts w:asciiTheme="majorHAnsi" w:hAnsiTheme="majorHAnsi"/>
          <w:vertAlign w:val="superscript"/>
          <w:lang w:val="en"/>
        </w:rPr>
        <w:t>2</w:t>
      </w:r>
      <w:r w:rsidRPr="004D7F3A">
        <w:rPr>
          <w:rFonts w:asciiTheme="majorHAnsi" w:hAnsiTheme="majorHAnsi"/>
          <w:lang w:val="en"/>
        </w:rPr>
        <w:t xml:space="preserve"> from a solar simulator (</w:t>
      </w:r>
      <w:r w:rsidR="00F37FF7" w:rsidRPr="004D7F3A">
        <w:rPr>
          <w:rFonts w:asciiTheme="majorHAnsi" w:hAnsiTheme="majorHAnsi"/>
          <w:lang w:val="en"/>
        </w:rPr>
        <w:t xml:space="preserve">Photo Emission Tech </w:t>
      </w:r>
      <w:r w:rsidR="009C557B" w:rsidRPr="004D7F3A">
        <w:rPr>
          <w:rFonts w:asciiTheme="majorHAnsi" w:hAnsiTheme="majorHAnsi"/>
          <w:lang w:val="en"/>
        </w:rPr>
        <w:t>SS80</w:t>
      </w:r>
      <w:r w:rsidR="00F37FF7" w:rsidRPr="004D7F3A">
        <w:rPr>
          <w:rFonts w:asciiTheme="majorHAnsi" w:hAnsiTheme="majorHAnsi"/>
          <w:lang w:val="en"/>
        </w:rPr>
        <w:t xml:space="preserve"> AAA</w:t>
      </w:r>
      <w:r w:rsidRPr="004D7F3A">
        <w:rPr>
          <w:rFonts w:asciiTheme="majorHAnsi" w:hAnsiTheme="majorHAnsi"/>
          <w:lang w:val="en"/>
        </w:rPr>
        <w:t>) in a</w:t>
      </w:r>
      <w:r w:rsidR="000822C1" w:rsidRPr="004D7F3A">
        <w:rPr>
          <w:rFonts w:asciiTheme="majorHAnsi" w:hAnsiTheme="majorHAnsi"/>
          <w:lang w:val="en"/>
        </w:rPr>
        <w:t>mbient conditions</w:t>
      </w:r>
      <w:r w:rsidRPr="004D7F3A">
        <w:rPr>
          <w:rFonts w:asciiTheme="majorHAnsi" w:hAnsiTheme="majorHAnsi"/>
          <w:lang w:val="en"/>
        </w:rPr>
        <w:t>. All J-V results are measured by scanning along the reverse and forward scans in the range of -0.</w:t>
      </w:r>
      <w:r w:rsidR="00F37FF7" w:rsidRPr="004D7F3A">
        <w:rPr>
          <w:rFonts w:asciiTheme="majorHAnsi" w:hAnsiTheme="majorHAnsi"/>
          <w:lang w:val="en"/>
        </w:rPr>
        <w:t>2</w:t>
      </w:r>
      <w:r w:rsidRPr="004D7F3A">
        <w:rPr>
          <w:rFonts w:asciiTheme="majorHAnsi" w:hAnsiTheme="majorHAnsi"/>
          <w:lang w:val="en"/>
        </w:rPr>
        <w:t xml:space="preserve"> V to 1.2 V with a step volt of 0.02 V and a delay time of 10 </w:t>
      </w:r>
      <w:proofErr w:type="spellStart"/>
      <w:r w:rsidRPr="004D7F3A">
        <w:rPr>
          <w:rFonts w:asciiTheme="majorHAnsi" w:hAnsiTheme="majorHAnsi"/>
          <w:lang w:val="en"/>
        </w:rPr>
        <w:t>ms.</w:t>
      </w:r>
      <w:proofErr w:type="spellEnd"/>
      <w:r w:rsidRPr="004D7F3A">
        <w:rPr>
          <w:rFonts w:asciiTheme="majorHAnsi" w:hAnsiTheme="majorHAnsi"/>
          <w:lang w:val="en"/>
        </w:rPr>
        <w:t xml:space="preserve"> Before testing, the light intensity was calibrated using a standard Si reference cell (</w:t>
      </w:r>
      <w:r w:rsidR="001416F6" w:rsidRPr="004D7F3A">
        <w:rPr>
          <w:rFonts w:asciiTheme="majorHAnsi" w:hAnsiTheme="majorHAnsi"/>
          <w:lang w:val="en"/>
        </w:rPr>
        <w:t>Newport 91150-KG5</w:t>
      </w:r>
      <w:r w:rsidRPr="004D7F3A">
        <w:rPr>
          <w:rFonts w:asciiTheme="majorHAnsi" w:hAnsiTheme="majorHAnsi"/>
          <w:lang w:val="en"/>
        </w:rPr>
        <w:t>). The device area was defined and characterized as 0.0</w:t>
      </w:r>
      <w:r w:rsidR="001416F6" w:rsidRPr="004D7F3A">
        <w:rPr>
          <w:rFonts w:asciiTheme="majorHAnsi" w:hAnsiTheme="majorHAnsi"/>
          <w:lang w:val="en"/>
        </w:rPr>
        <w:t>9</w:t>
      </w:r>
      <w:r w:rsidRPr="004D7F3A">
        <w:rPr>
          <w:rFonts w:asciiTheme="majorHAnsi" w:hAnsiTheme="majorHAnsi"/>
          <w:lang w:val="en"/>
        </w:rPr>
        <w:t xml:space="preserve"> cm2 by a metal shadow mask. The same cells were then encapsulated and tested under indoor light (1000 lux, 0.3 </w:t>
      </w:r>
      <w:proofErr w:type="spellStart"/>
      <w:r w:rsidRPr="004D7F3A">
        <w:rPr>
          <w:rFonts w:asciiTheme="majorHAnsi" w:hAnsiTheme="majorHAnsi"/>
          <w:lang w:val="en"/>
        </w:rPr>
        <w:t>mW</w:t>
      </w:r>
      <w:proofErr w:type="spellEnd"/>
      <w:r w:rsidRPr="004D7F3A">
        <w:rPr>
          <w:rFonts w:asciiTheme="majorHAnsi" w:hAnsiTheme="majorHAnsi"/>
          <w:lang w:val="en"/>
        </w:rPr>
        <w:t>/cm²) and 650 nm laser illumination (1</w:t>
      </w:r>
      <w:r w:rsidR="001E7EB0" w:rsidRPr="004D7F3A">
        <w:rPr>
          <w:rFonts w:asciiTheme="majorHAnsi" w:hAnsiTheme="majorHAnsi"/>
          <w:lang w:val="en"/>
        </w:rPr>
        <w:t>3</w:t>
      </w:r>
      <w:r w:rsidRPr="004D7F3A">
        <w:rPr>
          <w:rFonts w:asciiTheme="majorHAnsi" w:hAnsiTheme="majorHAnsi"/>
          <w:lang w:val="en"/>
        </w:rPr>
        <w:t xml:space="preserve"> </w:t>
      </w:r>
      <w:proofErr w:type="spellStart"/>
      <w:r w:rsidRPr="004D7F3A">
        <w:rPr>
          <w:rFonts w:asciiTheme="majorHAnsi" w:hAnsiTheme="majorHAnsi"/>
          <w:lang w:val="en"/>
        </w:rPr>
        <w:t>mW</w:t>
      </w:r>
      <w:proofErr w:type="spellEnd"/>
      <w:r w:rsidRPr="004D7F3A">
        <w:rPr>
          <w:rFonts w:asciiTheme="majorHAnsi" w:hAnsiTheme="majorHAnsi"/>
          <w:lang w:val="en"/>
        </w:rPr>
        <w:t>/cm²)</w:t>
      </w:r>
      <w:r w:rsidR="002B5BF0" w:rsidRPr="004D7F3A">
        <w:rPr>
          <w:rFonts w:asciiTheme="majorHAnsi" w:hAnsiTheme="majorHAnsi"/>
          <w:lang w:val="en"/>
        </w:rPr>
        <w:t xml:space="preserve">. The irradiance was measured using a </w:t>
      </w:r>
      <w:r w:rsidR="00511D7E" w:rsidRPr="00511D7E">
        <w:rPr>
          <w:rFonts w:asciiTheme="majorHAnsi" w:hAnsiTheme="majorHAnsi"/>
        </w:rPr>
        <w:t>spectroradiometer</w:t>
      </w:r>
      <w:r w:rsidR="00511D7E" w:rsidRPr="00511D7E">
        <w:rPr>
          <w:rFonts w:asciiTheme="majorHAnsi" w:hAnsiTheme="majorHAnsi"/>
          <w:lang w:val="en"/>
        </w:rPr>
        <w:t xml:space="preserve"> </w:t>
      </w:r>
      <w:r w:rsidR="002B5BF0" w:rsidRPr="004D7F3A">
        <w:rPr>
          <w:rFonts w:asciiTheme="majorHAnsi" w:hAnsiTheme="majorHAnsi"/>
          <w:lang w:val="en"/>
        </w:rPr>
        <w:t>(</w:t>
      </w:r>
      <w:r w:rsidR="000D2DE8" w:rsidRPr="004D7F3A">
        <w:rPr>
          <w:rFonts w:asciiTheme="majorHAnsi" w:hAnsiTheme="majorHAnsi"/>
          <w:lang w:val="en"/>
        </w:rPr>
        <w:t>MSC15 Spectral Light Meter Gigahertz-Optik).</w:t>
      </w:r>
    </w:p>
    <w:p w14:paraId="0B3B3C64" w14:textId="7C3896B7" w:rsidR="00601C6A" w:rsidRPr="00C73FEA" w:rsidRDefault="00C73FEA" w:rsidP="00E53B28">
      <w:pPr>
        <w:pStyle w:val="ListParagraph"/>
        <w:numPr>
          <w:ilvl w:val="2"/>
          <w:numId w:val="6"/>
        </w:numPr>
        <w:spacing w:after="120" w:line="360" w:lineRule="auto"/>
        <w:contextualSpacing w:val="0"/>
        <w:jc w:val="both"/>
        <w:rPr>
          <w:rFonts w:asciiTheme="majorHAnsi" w:hAnsiTheme="majorHAnsi" w:cs="Times New Roman"/>
          <w:i/>
          <w:iCs/>
          <w:u w:val="single"/>
        </w:rPr>
      </w:pPr>
      <w:r w:rsidRPr="00C73FEA">
        <w:rPr>
          <w:rFonts w:asciiTheme="majorHAnsi" w:hAnsiTheme="majorHAnsi" w:cs="Times New Roman"/>
          <w:i/>
          <w:iCs/>
          <w:u w:val="single"/>
        </w:rPr>
        <w:t>Electrochemical impedance spectroscopy (EIS)</w:t>
      </w:r>
    </w:p>
    <w:p w14:paraId="2D007F3F" w14:textId="5CC7A123" w:rsidR="008668AB" w:rsidRPr="00C73FEA" w:rsidRDefault="00FD537A" w:rsidP="00E53B28">
      <w:pPr>
        <w:tabs>
          <w:tab w:val="left" w:pos="7860"/>
        </w:tabs>
        <w:spacing w:after="120" w:line="360" w:lineRule="auto"/>
        <w:jc w:val="both"/>
        <w:rPr>
          <w:rFonts w:asciiTheme="majorHAnsi" w:hAnsiTheme="majorHAnsi"/>
        </w:rPr>
      </w:pPr>
      <w:r w:rsidRPr="00C73FEA">
        <w:rPr>
          <w:rFonts w:asciiTheme="majorHAnsi" w:hAnsiTheme="majorHAnsi"/>
        </w:rPr>
        <w:t xml:space="preserve">EIS measurements were performed using a Biologic </w:t>
      </w:r>
      <w:proofErr w:type="spellStart"/>
      <w:r w:rsidRPr="00C73FEA">
        <w:rPr>
          <w:rFonts w:asciiTheme="majorHAnsi" w:hAnsiTheme="majorHAnsi"/>
        </w:rPr>
        <w:t>potentiostat</w:t>
      </w:r>
      <w:proofErr w:type="spellEnd"/>
      <w:r w:rsidRPr="00C73FEA">
        <w:rPr>
          <w:rFonts w:asciiTheme="majorHAnsi" w:hAnsiTheme="majorHAnsi"/>
        </w:rPr>
        <w:t xml:space="preserve"> in a two-electrode configuration. A 10 mV AC perturbation was applied while sweeping frequencies from 4 MHz to 100 </w:t>
      </w:r>
      <w:proofErr w:type="spellStart"/>
      <w:r w:rsidRPr="00C73FEA">
        <w:rPr>
          <w:rFonts w:asciiTheme="majorHAnsi" w:hAnsiTheme="majorHAnsi"/>
        </w:rPr>
        <w:t>mHz</w:t>
      </w:r>
      <w:proofErr w:type="spellEnd"/>
      <w:r w:rsidRPr="00C73FEA">
        <w:rPr>
          <w:rFonts w:asciiTheme="majorHAnsi" w:hAnsiTheme="majorHAnsi"/>
        </w:rPr>
        <w:t xml:space="preserve"> under 650 nm illumination. At high frequencies, ionic motion is effectively frozen, and the response reflects electronic transport and recombination processes within the perovskite and at its interfaces.</w:t>
      </w:r>
    </w:p>
    <w:p w14:paraId="071E4C16" w14:textId="77777777" w:rsidR="008668AB" w:rsidRPr="004D7F3A" w:rsidRDefault="00F23545" w:rsidP="00E53B28">
      <w:pPr>
        <w:tabs>
          <w:tab w:val="left" w:pos="7860"/>
        </w:tabs>
        <w:spacing w:after="120" w:line="360" w:lineRule="auto"/>
        <w:jc w:val="both"/>
        <w:rPr>
          <w:rFonts w:asciiTheme="majorHAnsi" w:hAnsiTheme="majorHAnsi"/>
          <w:highlight w:val="yellow"/>
        </w:rPr>
      </w:pPr>
      <m:oMathPara>
        <m:oMath>
          <m:sSub>
            <m:sSubPr>
              <m:ctrlPr>
                <w:rPr>
                  <w:rFonts w:ascii="Cambria Math" w:hAnsi="Cambria Math"/>
                </w:rPr>
              </m:ctrlPr>
            </m:sSubPr>
            <m:e>
              <m:r>
                <w:rPr>
                  <w:rFonts w:ascii="Cambria Math" w:hAnsi="Cambria Math"/>
                </w:rPr>
                <m:t>f</m:t>
              </m:r>
            </m:e>
            <m:sub>
              <m:r>
                <w:rPr>
                  <w:rFonts w:ascii="Cambria Math" w:hAnsi="Cambria Math"/>
                </w:rPr>
                <m:t>3dB</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2π</m:t>
              </m:r>
              <m:sSub>
                <m:sSubPr>
                  <m:ctrlPr>
                    <w:rPr>
                      <w:rFonts w:ascii="Cambria Math" w:hAnsi="Cambria Math"/>
                    </w:rPr>
                  </m:ctrlPr>
                </m:sSubPr>
                <m:e>
                  <m:r>
                    <w:rPr>
                      <w:rFonts w:ascii="Cambria Math" w:hAnsi="Cambria Math"/>
                    </w:rPr>
                    <m:t>R</m:t>
                  </m:r>
                </m:e>
                <m:sub>
                  <m:r>
                    <w:rPr>
                      <w:rFonts w:ascii="Cambria Math" w:hAnsi="Cambria Math"/>
                    </w:rPr>
                    <m:t>tot</m:t>
                  </m:r>
                </m:sub>
              </m:sSub>
              <m:sSub>
                <m:sSubPr>
                  <m:ctrlPr>
                    <w:rPr>
                      <w:rFonts w:ascii="Cambria Math" w:hAnsi="Cambria Math"/>
                    </w:rPr>
                  </m:ctrlPr>
                </m:sSubPr>
                <m:e>
                  <m:r>
                    <w:rPr>
                      <w:rFonts w:ascii="Cambria Math" w:hAnsi="Cambria Math"/>
                    </w:rPr>
                    <m:t>C</m:t>
                  </m:r>
                </m:e>
                <m:sub>
                  <m:r>
                    <w:rPr>
                      <w:rFonts w:ascii="Cambria Math" w:hAnsi="Cambria Math"/>
                    </w:rPr>
                    <m:t>tot</m:t>
                  </m:r>
                </m:sub>
              </m:sSub>
            </m:den>
          </m:f>
        </m:oMath>
      </m:oMathPara>
    </w:p>
    <w:p w14:paraId="3059A450" w14:textId="354DC7DB" w:rsidR="008668AB" w:rsidRDefault="008668AB" w:rsidP="00E53B28">
      <w:pPr>
        <w:tabs>
          <w:tab w:val="left" w:pos="7860"/>
        </w:tabs>
        <w:spacing w:after="120" w:line="360" w:lineRule="auto"/>
        <w:jc w:val="both"/>
        <w:rPr>
          <w:rFonts w:asciiTheme="majorHAnsi" w:hAnsiTheme="majorHAnsi"/>
        </w:rPr>
      </w:pPr>
      <w:r w:rsidRPr="00FD537A">
        <w:rPr>
          <w:rFonts w:asciiTheme="majorHAnsi" w:hAnsiTheme="majorHAnsi"/>
        </w:rPr>
        <w:t>The −3 dB frequency response is inversely proportional to the RC product</w:t>
      </w:r>
      <w:r w:rsidR="00FD537A" w:rsidRPr="00FD537A">
        <w:rPr>
          <w:rFonts w:asciiTheme="majorHAnsi" w:hAnsiTheme="majorHAnsi"/>
        </w:rPr>
        <w:t xml:space="preserve">, </w:t>
      </w:r>
      <w:r w:rsidR="00FD537A" w:rsidRPr="00511D7E">
        <w:rPr>
          <w:rFonts w:asciiTheme="majorHAnsi" w:hAnsiTheme="majorHAnsi"/>
        </w:rPr>
        <w:t>where R includes series resistance (R</w:t>
      </w:r>
      <w:r w:rsidR="00FD537A" w:rsidRPr="00511D7E">
        <w:rPr>
          <w:rFonts w:ascii="Cambria Math" w:hAnsi="Cambria Math" w:cs="Cambria Math"/>
        </w:rPr>
        <w:t>ₛ</w:t>
      </w:r>
      <w:r w:rsidR="00FD537A" w:rsidRPr="00511D7E">
        <w:rPr>
          <w:rFonts w:asciiTheme="majorHAnsi" w:hAnsiTheme="majorHAnsi"/>
        </w:rPr>
        <w:t xml:space="preserve">) contributions and C corresponds primarily to the geometric capacitance </w:t>
      </w:r>
      <w:r w:rsidRPr="00FD537A">
        <w:rPr>
          <w:rFonts w:asciiTheme="majorHAnsi" w:hAnsiTheme="majorHAnsi"/>
        </w:rPr>
        <w:t>Cg</w:t>
      </w:r>
      <w:r w:rsidRPr="004D7F3A">
        <w:rPr>
          <w:rFonts w:asciiTheme="majorHAnsi" w:hAnsiTheme="majorHAnsi"/>
        </w:rPr>
        <w:t xml:space="preserve"> </w:t>
      </w:r>
    </w:p>
    <w:p w14:paraId="247BCFCD" w14:textId="77777777" w:rsidR="00A46043" w:rsidRDefault="00A46043" w:rsidP="00E53B28">
      <w:pPr>
        <w:spacing w:after="120" w:line="360" w:lineRule="auto"/>
        <w:jc w:val="both"/>
        <w:rPr>
          <w:rFonts w:asciiTheme="majorHAnsi" w:hAnsiTheme="majorHAnsi"/>
          <w:i/>
          <w:iCs/>
          <w:noProof/>
          <w:u w:val="single"/>
        </w:rPr>
      </w:pPr>
    </w:p>
    <w:p w14:paraId="6B575122" w14:textId="77777777" w:rsidR="00A46043" w:rsidRDefault="00A46043" w:rsidP="00E53B28">
      <w:pPr>
        <w:spacing w:after="120" w:line="360" w:lineRule="auto"/>
        <w:jc w:val="both"/>
        <w:rPr>
          <w:rFonts w:asciiTheme="majorHAnsi" w:hAnsiTheme="majorHAnsi"/>
          <w:i/>
          <w:iCs/>
          <w:noProof/>
          <w:u w:val="single"/>
        </w:rPr>
      </w:pPr>
    </w:p>
    <w:p w14:paraId="4DC2E8C8" w14:textId="77777777" w:rsidR="00A46043" w:rsidRDefault="00A46043" w:rsidP="00E53B28">
      <w:pPr>
        <w:spacing w:after="120" w:line="360" w:lineRule="auto"/>
        <w:jc w:val="both"/>
        <w:rPr>
          <w:rFonts w:asciiTheme="majorHAnsi" w:hAnsiTheme="majorHAnsi"/>
          <w:i/>
          <w:iCs/>
          <w:noProof/>
          <w:u w:val="single"/>
        </w:rPr>
      </w:pPr>
    </w:p>
    <w:p w14:paraId="601989FB" w14:textId="27CE1704" w:rsidR="00601C6A" w:rsidRPr="00C73FEA" w:rsidRDefault="007C29CF" w:rsidP="00E53B28">
      <w:pPr>
        <w:spacing w:after="120" w:line="360" w:lineRule="auto"/>
        <w:jc w:val="both"/>
        <w:rPr>
          <w:rFonts w:asciiTheme="majorHAnsi" w:hAnsiTheme="majorHAnsi"/>
          <w:i/>
          <w:iCs/>
          <w:noProof/>
          <w:u w:val="single"/>
        </w:rPr>
      </w:pPr>
      <w:r w:rsidRPr="00C73FEA">
        <w:rPr>
          <w:rFonts w:asciiTheme="majorHAnsi" w:hAnsiTheme="majorHAnsi"/>
          <w:i/>
          <w:iCs/>
          <w:noProof/>
          <w:u w:val="single"/>
        </w:rPr>
        <w:t xml:space="preserve">Equivalent circuit </w:t>
      </w:r>
      <w:r w:rsidR="00DD0C47" w:rsidRPr="00C73FEA">
        <w:rPr>
          <w:rFonts w:asciiTheme="majorHAnsi" w:hAnsiTheme="majorHAnsi"/>
          <w:i/>
          <w:iCs/>
          <w:noProof/>
          <w:u w:val="single"/>
        </w:rPr>
        <w:t xml:space="preserve">used </w:t>
      </w:r>
      <w:r w:rsidR="00487220" w:rsidRPr="00C73FEA">
        <w:rPr>
          <w:rFonts w:asciiTheme="majorHAnsi" w:hAnsiTheme="majorHAnsi"/>
          <w:i/>
          <w:iCs/>
          <w:noProof/>
          <w:u w:val="single"/>
        </w:rPr>
        <w:t>to fit the Nyquist plot</w:t>
      </w:r>
    </w:p>
    <w:p w14:paraId="03381613" w14:textId="2855C9CC" w:rsidR="00601C6A" w:rsidRPr="004D7F3A" w:rsidRDefault="005339E5" w:rsidP="00E53B28">
      <w:pPr>
        <w:spacing w:after="120" w:line="360" w:lineRule="auto"/>
        <w:jc w:val="both"/>
        <w:rPr>
          <w:rFonts w:asciiTheme="majorHAnsi" w:hAnsiTheme="majorHAnsi"/>
          <w:noProof/>
        </w:rPr>
      </w:pPr>
      <w:r w:rsidRPr="00C73FEA">
        <w:rPr>
          <w:rFonts w:asciiTheme="majorHAnsi" w:hAnsiTheme="majorHAnsi"/>
          <w:i/>
          <w:iCs/>
          <w:noProof/>
        </w:rPr>
        <w:drawing>
          <wp:anchor distT="0" distB="0" distL="114300" distR="114300" simplePos="0" relativeHeight="251658243" behindDoc="0" locked="0" layoutInCell="1" allowOverlap="1" wp14:anchorId="46B104D1" wp14:editId="2CA283CD">
            <wp:simplePos x="0" y="0"/>
            <wp:positionH relativeFrom="margin">
              <wp:posOffset>636905</wp:posOffset>
            </wp:positionH>
            <wp:positionV relativeFrom="paragraph">
              <wp:posOffset>29210</wp:posOffset>
            </wp:positionV>
            <wp:extent cx="4926330" cy="1204595"/>
            <wp:effectExtent l="0" t="0" r="7620" b="0"/>
            <wp:wrapSquare wrapText="bothSides"/>
            <wp:docPr id="1577040947" name="Picture 1" descr="A diagram of a block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40947" name="Picture 1" descr="A diagram of a block diagram&#10;&#10;AI-generated content may be incorrect."/>
                    <pic:cNvPicPr/>
                  </pic:nvPicPr>
                  <pic:blipFill rotWithShape="1">
                    <a:blip r:embed="rId12">
                      <a:extLst>
                        <a:ext uri="{28A0092B-C50C-407E-A947-70E740481C1C}">
                          <a14:useLocalDpi xmlns:a14="http://schemas.microsoft.com/office/drawing/2010/main" val="0"/>
                        </a:ext>
                      </a:extLst>
                    </a:blip>
                    <a:srcRect t="18479"/>
                    <a:stretch>
                      <a:fillRect/>
                    </a:stretch>
                  </pic:blipFill>
                  <pic:spPr bwMode="auto">
                    <a:xfrm>
                      <a:off x="0" y="0"/>
                      <a:ext cx="4926330" cy="1204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F4DF3E" w14:textId="5F27F130" w:rsidR="0071693E" w:rsidRPr="004D7F3A" w:rsidRDefault="0071693E" w:rsidP="00E53B28">
      <w:pPr>
        <w:spacing w:after="120" w:line="360" w:lineRule="auto"/>
        <w:jc w:val="both"/>
        <w:rPr>
          <w:rFonts w:asciiTheme="majorHAnsi" w:hAnsiTheme="majorHAnsi"/>
          <w:noProof/>
        </w:rPr>
      </w:pPr>
    </w:p>
    <w:p w14:paraId="1D408ECE" w14:textId="77777777" w:rsidR="00A46043" w:rsidRDefault="00A46043" w:rsidP="00A46043">
      <w:pPr>
        <w:pStyle w:val="Caption"/>
        <w:jc w:val="center"/>
        <w:rPr>
          <w:b/>
          <w:bCs/>
          <w:sz w:val="22"/>
          <w:szCs w:val="22"/>
        </w:rPr>
      </w:pPr>
    </w:p>
    <w:p w14:paraId="04801257" w14:textId="77777777" w:rsidR="00A46043" w:rsidRDefault="00A46043" w:rsidP="00A46043">
      <w:pPr>
        <w:pStyle w:val="Caption"/>
        <w:jc w:val="center"/>
        <w:rPr>
          <w:b/>
          <w:bCs/>
          <w:sz w:val="22"/>
          <w:szCs w:val="22"/>
        </w:rPr>
      </w:pPr>
    </w:p>
    <w:p w14:paraId="55BD6A34" w14:textId="7CF0B390" w:rsidR="00A46043" w:rsidRPr="00FD537A" w:rsidRDefault="00A46043" w:rsidP="00A46043">
      <w:pPr>
        <w:pStyle w:val="Caption"/>
        <w:jc w:val="center"/>
        <w:rPr>
          <w:noProof/>
          <w:sz w:val="22"/>
          <w:szCs w:val="22"/>
        </w:rPr>
      </w:pPr>
      <w:r w:rsidRPr="00FD537A">
        <w:rPr>
          <w:b/>
          <w:bCs/>
          <w:sz w:val="22"/>
          <w:szCs w:val="22"/>
        </w:rPr>
        <w:t>Figure S</w:t>
      </w:r>
      <w:r w:rsidRPr="00FD537A">
        <w:rPr>
          <w:b/>
          <w:bCs/>
          <w:sz w:val="22"/>
          <w:szCs w:val="22"/>
        </w:rPr>
        <w:fldChar w:fldCharType="begin"/>
      </w:r>
      <w:r w:rsidRPr="00FD537A">
        <w:rPr>
          <w:b/>
          <w:bCs/>
          <w:sz w:val="22"/>
          <w:szCs w:val="22"/>
        </w:rPr>
        <w:instrText xml:space="preserve"> SEQ Figure \* ARABIC </w:instrText>
      </w:r>
      <w:r w:rsidRPr="00FD537A">
        <w:rPr>
          <w:b/>
          <w:bCs/>
          <w:sz w:val="22"/>
          <w:szCs w:val="22"/>
        </w:rPr>
        <w:fldChar w:fldCharType="separate"/>
      </w:r>
      <w:r w:rsidR="008179E0">
        <w:rPr>
          <w:b/>
          <w:bCs/>
          <w:noProof/>
          <w:sz w:val="22"/>
          <w:szCs w:val="22"/>
        </w:rPr>
        <w:t>2</w:t>
      </w:r>
      <w:r w:rsidRPr="00FD537A">
        <w:rPr>
          <w:b/>
          <w:bCs/>
          <w:noProof/>
          <w:sz w:val="22"/>
          <w:szCs w:val="22"/>
        </w:rPr>
        <w:fldChar w:fldCharType="end"/>
      </w:r>
      <w:r w:rsidRPr="00FD537A">
        <w:rPr>
          <w:b/>
          <w:bCs/>
          <w:sz w:val="22"/>
          <w:szCs w:val="22"/>
        </w:rPr>
        <w:t>:</w:t>
      </w:r>
      <w:r w:rsidRPr="00FD537A">
        <w:rPr>
          <w:sz w:val="22"/>
          <w:szCs w:val="22"/>
        </w:rPr>
        <w:t xml:space="preserve"> Equivalent circuit used to fit the Nyquist plots obtained from EIS measurements.</w:t>
      </w:r>
    </w:p>
    <w:p w14:paraId="0939E449" w14:textId="26E5656F" w:rsidR="00A714C2" w:rsidRPr="004D7F3A" w:rsidRDefault="00A714C2" w:rsidP="00E53B28">
      <w:pPr>
        <w:tabs>
          <w:tab w:val="left" w:pos="4644"/>
        </w:tabs>
        <w:spacing w:after="120" w:line="360" w:lineRule="auto"/>
        <w:jc w:val="both"/>
        <w:rPr>
          <w:rFonts w:asciiTheme="majorHAnsi" w:hAnsiTheme="majorHAnsi"/>
        </w:rPr>
      </w:pPr>
    </w:p>
    <w:p w14:paraId="0EA34DB7" w14:textId="5CF25659" w:rsidR="00A714C2" w:rsidRPr="00C73FEA" w:rsidRDefault="00E06699" w:rsidP="00E53B28">
      <w:pPr>
        <w:tabs>
          <w:tab w:val="left" w:pos="4644"/>
        </w:tabs>
        <w:spacing w:after="120" w:line="360" w:lineRule="auto"/>
        <w:jc w:val="both"/>
        <w:rPr>
          <w:rFonts w:asciiTheme="majorHAnsi" w:hAnsiTheme="majorHAnsi"/>
          <w:i/>
          <w:iCs/>
          <w:u w:val="single"/>
        </w:rPr>
      </w:pPr>
      <w:r w:rsidRPr="00C73FEA">
        <w:rPr>
          <w:rFonts w:asciiTheme="majorHAnsi" w:hAnsiTheme="majorHAnsi"/>
          <w:i/>
          <w:iCs/>
          <w:u w:val="single"/>
        </w:rPr>
        <w:t xml:space="preserve">Evolution of the Nyquist spectra with </w:t>
      </w:r>
      <w:r w:rsidR="00DF07C9" w:rsidRPr="00C73FEA">
        <w:rPr>
          <w:rFonts w:asciiTheme="majorHAnsi" w:hAnsiTheme="majorHAnsi"/>
          <w:i/>
          <w:iCs/>
          <w:u w:val="single"/>
        </w:rPr>
        <w:t xml:space="preserve">operational </w:t>
      </w:r>
      <w:r w:rsidR="0020363B" w:rsidRPr="00C73FEA">
        <w:rPr>
          <w:rFonts w:asciiTheme="majorHAnsi" w:hAnsiTheme="majorHAnsi"/>
          <w:i/>
          <w:iCs/>
          <w:u w:val="single"/>
        </w:rPr>
        <w:t>point</w:t>
      </w:r>
    </w:p>
    <w:p w14:paraId="0FD6D7B6" w14:textId="48CA934B" w:rsidR="00FA4E7A" w:rsidRDefault="00FA4E7A" w:rsidP="00E53B28">
      <w:pPr>
        <w:tabs>
          <w:tab w:val="left" w:pos="4644"/>
        </w:tabs>
        <w:spacing w:after="120" w:line="360" w:lineRule="auto"/>
        <w:jc w:val="center"/>
        <w:rPr>
          <w:rFonts w:asciiTheme="majorHAnsi" w:hAnsiTheme="majorHAnsi"/>
        </w:rPr>
      </w:pPr>
      <w:r w:rsidRPr="004D7F3A">
        <w:rPr>
          <w:rFonts w:asciiTheme="majorHAnsi" w:hAnsiTheme="majorHAnsi"/>
          <w:noProof/>
        </w:rPr>
        <w:drawing>
          <wp:anchor distT="0" distB="0" distL="114300" distR="114300" simplePos="0" relativeHeight="251659275" behindDoc="0" locked="0" layoutInCell="1" allowOverlap="1" wp14:anchorId="08976B63" wp14:editId="1E817FF6">
            <wp:simplePos x="0" y="0"/>
            <wp:positionH relativeFrom="margin">
              <wp:align>center</wp:align>
            </wp:positionH>
            <wp:positionV relativeFrom="paragraph">
              <wp:posOffset>113426</wp:posOffset>
            </wp:positionV>
            <wp:extent cx="3676650" cy="3020783"/>
            <wp:effectExtent l="0" t="0" r="0" b="8255"/>
            <wp:wrapSquare wrapText="bothSides"/>
            <wp:docPr id="4771355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35558" name="Picture 47713555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76650" cy="3020783"/>
                    </a:xfrm>
                    <a:prstGeom prst="rect">
                      <a:avLst/>
                    </a:prstGeom>
                  </pic:spPr>
                </pic:pic>
              </a:graphicData>
            </a:graphic>
          </wp:anchor>
        </w:drawing>
      </w:r>
    </w:p>
    <w:p w14:paraId="4CF4E824" w14:textId="6EEC3B7D" w:rsidR="00FA4E7A" w:rsidRPr="00FD537A" w:rsidRDefault="00FA4E7A" w:rsidP="00FA4E7A">
      <w:pPr>
        <w:pStyle w:val="Caption"/>
        <w:rPr>
          <w:sz w:val="22"/>
          <w:szCs w:val="22"/>
        </w:rPr>
      </w:pPr>
      <w:r>
        <w:rPr>
          <w:rFonts w:asciiTheme="majorHAnsi" w:hAnsiTheme="majorHAnsi"/>
        </w:rPr>
        <w:br w:type="textWrapping" w:clear="all"/>
      </w:r>
      <w:r w:rsidRPr="00FD537A">
        <w:rPr>
          <w:b/>
          <w:bCs/>
          <w:sz w:val="22"/>
          <w:szCs w:val="22"/>
        </w:rPr>
        <w:t>Figure S</w:t>
      </w:r>
      <w:r w:rsidRPr="00FD537A">
        <w:rPr>
          <w:b/>
          <w:bCs/>
          <w:sz w:val="22"/>
          <w:szCs w:val="22"/>
        </w:rPr>
        <w:fldChar w:fldCharType="begin"/>
      </w:r>
      <w:r w:rsidRPr="00FD537A">
        <w:rPr>
          <w:b/>
          <w:bCs/>
          <w:sz w:val="22"/>
          <w:szCs w:val="22"/>
        </w:rPr>
        <w:instrText xml:space="preserve"> SEQ Figure \* ARABIC </w:instrText>
      </w:r>
      <w:r w:rsidRPr="00FD537A">
        <w:rPr>
          <w:b/>
          <w:bCs/>
          <w:sz w:val="22"/>
          <w:szCs w:val="22"/>
        </w:rPr>
        <w:fldChar w:fldCharType="separate"/>
      </w:r>
      <w:r w:rsidR="008179E0">
        <w:rPr>
          <w:b/>
          <w:bCs/>
          <w:noProof/>
          <w:sz w:val="22"/>
          <w:szCs w:val="22"/>
        </w:rPr>
        <w:t>3</w:t>
      </w:r>
      <w:r w:rsidRPr="00FD537A">
        <w:rPr>
          <w:b/>
          <w:bCs/>
          <w:noProof/>
          <w:sz w:val="22"/>
          <w:szCs w:val="22"/>
        </w:rPr>
        <w:fldChar w:fldCharType="end"/>
      </w:r>
      <w:r w:rsidRPr="00FD537A">
        <w:rPr>
          <w:b/>
          <w:bCs/>
          <w:sz w:val="22"/>
          <w:szCs w:val="22"/>
        </w:rPr>
        <w:t>:</w:t>
      </w:r>
      <w:r w:rsidRPr="00FD537A">
        <w:rPr>
          <w:sz w:val="22"/>
          <w:szCs w:val="22"/>
        </w:rPr>
        <w:t xml:space="preserve"> Evolution of Nyquist spectra as a function of applied bias. Blue shades indicate the transition from short circuit to MPP, green corresponds to MPP, and red indicates the transition from MPP to open circuit.</w:t>
      </w:r>
    </w:p>
    <w:p w14:paraId="3658829F" w14:textId="0C1C4AA8" w:rsidR="00522FF4" w:rsidRPr="00C73FEA" w:rsidRDefault="0071735E" w:rsidP="00E53B28">
      <w:pPr>
        <w:tabs>
          <w:tab w:val="left" w:pos="4644"/>
        </w:tabs>
        <w:spacing w:after="120" w:line="360" w:lineRule="auto"/>
        <w:jc w:val="both"/>
        <w:rPr>
          <w:rFonts w:asciiTheme="majorHAnsi" w:hAnsiTheme="majorHAnsi"/>
          <w:i/>
          <w:iCs/>
          <w:u w:val="single"/>
        </w:rPr>
      </w:pPr>
      <w:r w:rsidRPr="00C73FEA">
        <w:rPr>
          <w:rFonts w:asciiTheme="majorHAnsi" w:hAnsiTheme="majorHAnsi"/>
          <w:i/>
          <w:iCs/>
        </w:rPr>
        <w:t xml:space="preserve"> </w:t>
      </w:r>
      <w:r w:rsidR="0020363B" w:rsidRPr="00C73FEA">
        <w:rPr>
          <w:rFonts w:asciiTheme="majorHAnsi" w:hAnsiTheme="majorHAnsi"/>
          <w:i/>
          <w:iCs/>
        </w:rPr>
        <w:t xml:space="preserve"> </w:t>
      </w:r>
      <w:r w:rsidR="00C73FEA" w:rsidRPr="00C73FEA">
        <w:rPr>
          <w:rFonts w:asciiTheme="majorHAnsi" w:hAnsiTheme="majorHAnsi"/>
          <w:i/>
          <w:iCs/>
          <w:u w:val="single"/>
        </w:rPr>
        <w:t xml:space="preserve">4.4.3 Geometric capacitance </w:t>
      </w:r>
      <w:r w:rsidR="00B21CB0" w:rsidRPr="00C73FEA">
        <w:rPr>
          <w:rFonts w:asciiTheme="majorHAnsi" w:hAnsiTheme="majorHAnsi"/>
          <w:i/>
          <w:iCs/>
          <w:u w:val="single"/>
        </w:rPr>
        <w:t>estimation</w:t>
      </w:r>
    </w:p>
    <w:p w14:paraId="04BF633B" w14:textId="1E2B5268" w:rsidR="00522FF4" w:rsidRPr="004D7F3A" w:rsidRDefault="00FD537A" w:rsidP="00E53B28">
      <w:pPr>
        <w:tabs>
          <w:tab w:val="left" w:pos="4644"/>
        </w:tabs>
        <w:spacing w:after="120" w:line="360" w:lineRule="auto"/>
        <w:jc w:val="both"/>
        <w:rPr>
          <w:rFonts w:asciiTheme="majorHAnsi" w:hAnsiTheme="majorHAnsi"/>
        </w:rPr>
      </w:pPr>
      <w:r w:rsidRPr="00FD537A">
        <w:rPr>
          <w:rFonts w:asciiTheme="majorHAnsi" w:hAnsiTheme="majorHAnsi"/>
        </w:rPr>
        <w:t>Bandwidth is strongly influenced by device capacitance, which can be estimated as:</w:t>
      </w:r>
    </w:p>
    <w:p w14:paraId="3D4E8309" w14:textId="002E0CBD" w:rsidR="00522FF4" w:rsidRPr="004D7F3A" w:rsidRDefault="00522FF4" w:rsidP="00E53B28">
      <w:pPr>
        <w:tabs>
          <w:tab w:val="left" w:pos="4644"/>
        </w:tabs>
        <w:spacing w:after="120" w:line="360" w:lineRule="auto"/>
        <w:jc w:val="center"/>
        <w:rPr>
          <w:rFonts w:asciiTheme="majorHAnsi" w:hAnsiTheme="majorHAnsi"/>
        </w:rPr>
      </w:pPr>
      <w:r w:rsidRPr="004D7F3A">
        <w:rPr>
          <w:rFonts w:asciiTheme="majorHAnsi" w:hAnsiTheme="majorHAnsi"/>
          <w:noProof/>
        </w:rPr>
        <w:drawing>
          <wp:inline distT="0" distB="0" distL="0" distR="0" wp14:anchorId="29CBA681" wp14:editId="74912B10">
            <wp:extent cx="685800" cy="381000"/>
            <wp:effectExtent l="0" t="0" r="0" b="0"/>
            <wp:docPr id="1570553694"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381000"/>
                    </a:xfrm>
                    <a:prstGeom prst="rect">
                      <a:avLst/>
                    </a:prstGeom>
                    <a:noFill/>
                    <a:ln>
                      <a:noFill/>
                    </a:ln>
                  </pic:spPr>
                </pic:pic>
              </a:graphicData>
            </a:graphic>
          </wp:inline>
        </w:drawing>
      </w:r>
    </w:p>
    <w:p w14:paraId="207432EB" w14:textId="6C8A9458" w:rsidR="00172207" w:rsidRDefault="00FD537A" w:rsidP="00E53B28">
      <w:pPr>
        <w:tabs>
          <w:tab w:val="left" w:pos="4644"/>
        </w:tabs>
        <w:spacing w:after="120" w:line="360" w:lineRule="auto"/>
        <w:jc w:val="both"/>
        <w:rPr>
          <w:rFonts w:asciiTheme="majorHAnsi" w:hAnsiTheme="majorHAnsi"/>
        </w:rPr>
      </w:pPr>
      <w:r w:rsidRPr="00FD537A">
        <w:rPr>
          <w:rFonts w:asciiTheme="majorHAnsi" w:hAnsiTheme="majorHAnsi"/>
        </w:rPr>
        <w:t>Since the active area (A) and perovskite thickness (d ≈ 500 nm) are identical for all devices, and the perovskite composition is unchanged, differences in capacitance primarily arise from variations in HTL material properties.</w:t>
      </w:r>
    </w:p>
    <w:p w14:paraId="459C4833" w14:textId="659007D2" w:rsidR="002060C3" w:rsidRPr="002060C3" w:rsidRDefault="002060C3" w:rsidP="00E53B28">
      <w:pPr>
        <w:pStyle w:val="ListParagraph"/>
        <w:numPr>
          <w:ilvl w:val="1"/>
          <w:numId w:val="5"/>
        </w:numPr>
        <w:spacing w:after="120" w:line="360" w:lineRule="auto"/>
        <w:contextualSpacing w:val="0"/>
        <w:jc w:val="both"/>
        <w:rPr>
          <w:rFonts w:asciiTheme="majorHAnsi" w:hAnsiTheme="majorHAnsi"/>
          <w:b/>
          <w:bCs/>
        </w:rPr>
      </w:pPr>
      <w:r w:rsidRPr="002060C3">
        <w:rPr>
          <w:rFonts w:asciiTheme="majorHAnsi" w:hAnsiTheme="majorHAnsi"/>
          <w:b/>
          <w:bCs/>
        </w:rPr>
        <w:lastRenderedPageBreak/>
        <w:t>Communication measurements</w:t>
      </w:r>
    </w:p>
    <w:p w14:paraId="3CB2DA9B" w14:textId="21FE16F4" w:rsidR="002060C3" w:rsidRDefault="008179E0" w:rsidP="00E53B28">
      <w:pPr>
        <w:spacing w:after="120" w:line="360" w:lineRule="auto"/>
        <w:jc w:val="both"/>
        <w:rPr>
          <w:rFonts w:asciiTheme="majorHAnsi" w:hAnsiTheme="majorHAnsi"/>
        </w:rPr>
      </w:pPr>
      <w:r>
        <w:rPr>
          <w:noProof/>
        </w:rPr>
        <mc:AlternateContent>
          <mc:Choice Requires="wps">
            <w:drawing>
              <wp:anchor distT="0" distB="0" distL="114300" distR="114300" simplePos="0" relativeHeight="251663371" behindDoc="0" locked="0" layoutInCell="1" allowOverlap="1" wp14:anchorId="7FD513E4" wp14:editId="0D4C5C87">
                <wp:simplePos x="0" y="0"/>
                <wp:positionH relativeFrom="column">
                  <wp:posOffset>1835150</wp:posOffset>
                </wp:positionH>
                <wp:positionV relativeFrom="paragraph">
                  <wp:posOffset>5152390</wp:posOffset>
                </wp:positionV>
                <wp:extent cx="2449830" cy="635"/>
                <wp:effectExtent l="0" t="0" r="0" b="0"/>
                <wp:wrapTopAndBottom/>
                <wp:docPr id="1036267137" name="Text Box 1"/>
                <wp:cNvGraphicFramePr/>
                <a:graphic xmlns:a="http://schemas.openxmlformats.org/drawingml/2006/main">
                  <a:graphicData uri="http://schemas.microsoft.com/office/word/2010/wordprocessingShape">
                    <wps:wsp>
                      <wps:cNvSpPr txBox="1"/>
                      <wps:spPr>
                        <a:xfrm>
                          <a:off x="0" y="0"/>
                          <a:ext cx="2449830" cy="635"/>
                        </a:xfrm>
                        <a:prstGeom prst="rect">
                          <a:avLst/>
                        </a:prstGeom>
                        <a:solidFill>
                          <a:prstClr val="white"/>
                        </a:solidFill>
                        <a:ln>
                          <a:noFill/>
                        </a:ln>
                      </wps:spPr>
                      <wps:txbx>
                        <w:txbxContent>
                          <w:p w14:paraId="4DE4419B" w14:textId="37FAD8D6" w:rsidR="008179E0" w:rsidRPr="008179E0" w:rsidRDefault="008179E0" w:rsidP="008179E0">
                            <w:pPr>
                              <w:spacing w:after="120" w:line="360" w:lineRule="auto"/>
                              <w:jc w:val="center"/>
                              <w:rPr>
                                <w:b/>
                                <w:bCs/>
                                <w:i/>
                                <w:iCs/>
                                <w:color w:val="0E2841" w:themeColor="text2"/>
                                <w:sz w:val="22"/>
                                <w:szCs w:val="22"/>
                              </w:rPr>
                            </w:pPr>
                            <w:r w:rsidRPr="008179E0">
                              <w:rPr>
                                <w:b/>
                                <w:bCs/>
                                <w:i/>
                                <w:iCs/>
                                <w:color w:val="0E2841" w:themeColor="text2"/>
                                <w:sz w:val="22"/>
                                <w:szCs w:val="22"/>
                              </w:rPr>
                              <w:t xml:space="preserve">Figure </w:t>
                            </w:r>
                            <w:r w:rsidR="00002DDA">
                              <w:rPr>
                                <w:b/>
                                <w:bCs/>
                                <w:i/>
                                <w:iCs/>
                                <w:color w:val="0E2841" w:themeColor="text2"/>
                                <w:sz w:val="22"/>
                                <w:szCs w:val="22"/>
                              </w:rPr>
                              <w:t>S</w:t>
                            </w:r>
                            <w:r w:rsidRPr="008179E0">
                              <w:rPr>
                                <w:b/>
                                <w:bCs/>
                                <w:i/>
                                <w:iCs/>
                                <w:color w:val="0E2841" w:themeColor="text2"/>
                                <w:sz w:val="22"/>
                                <w:szCs w:val="22"/>
                              </w:rPr>
                              <w:fldChar w:fldCharType="begin"/>
                            </w:r>
                            <w:r w:rsidRPr="008179E0">
                              <w:rPr>
                                <w:b/>
                                <w:bCs/>
                                <w:i/>
                                <w:iCs/>
                                <w:color w:val="0E2841" w:themeColor="text2"/>
                                <w:sz w:val="22"/>
                                <w:szCs w:val="22"/>
                              </w:rPr>
                              <w:instrText xml:space="preserve"> SEQ Figure \* ARABIC </w:instrText>
                            </w:r>
                            <w:r w:rsidRPr="008179E0">
                              <w:rPr>
                                <w:b/>
                                <w:bCs/>
                                <w:i/>
                                <w:iCs/>
                                <w:color w:val="0E2841" w:themeColor="text2"/>
                                <w:sz w:val="22"/>
                                <w:szCs w:val="22"/>
                              </w:rPr>
                              <w:fldChar w:fldCharType="separate"/>
                            </w:r>
                            <w:r w:rsidRPr="008179E0">
                              <w:rPr>
                                <w:b/>
                                <w:bCs/>
                                <w:i/>
                                <w:iCs/>
                                <w:color w:val="0E2841" w:themeColor="text2"/>
                                <w:sz w:val="22"/>
                                <w:szCs w:val="22"/>
                              </w:rPr>
                              <w:t>4</w:t>
                            </w:r>
                            <w:r w:rsidRPr="008179E0">
                              <w:rPr>
                                <w:b/>
                                <w:bCs/>
                                <w:i/>
                                <w:iCs/>
                                <w:color w:val="0E2841" w:themeColor="text2"/>
                                <w:sz w:val="22"/>
                                <w:szCs w:val="22"/>
                              </w:rPr>
                              <w:fldChar w:fldCharType="end"/>
                            </w:r>
                            <w:r w:rsidRPr="008179E0">
                              <w:rPr>
                                <w:b/>
                                <w:bCs/>
                                <w:i/>
                                <w:iCs/>
                                <w:color w:val="0E2841" w:themeColor="text2"/>
                                <w:sz w:val="22"/>
                                <w:szCs w:val="22"/>
                              </w:rPr>
                              <w:t xml:space="preserve">: </w:t>
                            </w:r>
                            <w:r w:rsidRPr="008179E0">
                              <w:rPr>
                                <w:i/>
                                <w:iCs/>
                                <w:color w:val="0E2841" w:themeColor="text2"/>
                                <w:sz w:val="22"/>
                                <w:szCs w:val="22"/>
                              </w:rPr>
                              <w:t>Bias-tee configuration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FD513E4" id="Text Box 1" o:spid="_x0000_s1027" type="#_x0000_t202" style="position:absolute;left:0;text-align:left;margin-left:144.5pt;margin-top:405.7pt;width:192.9pt;height:.05pt;z-index:2516633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" stroked="f">
                <v:textbox style="mso-fit-shape-to-text:t" inset="0,0,0,0">
                  <w:txbxContent>
                    <w:p w14:paraId="4DE4419B" w14:textId="37FAD8D6" w:rsidR="008179E0" w:rsidRPr="008179E0" w:rsidRDefault="008179E0" w:rsidP="008179E0">
                      <w:pPr>
                        <w:spacing w:after="120" w:line="360" w:lineRule="auto"/>
                        <w:jc w:val="center"/>
                        <w:rPr>
                          <w:b/>
                          <w:bCs/>
                          <w:i/>
                          <w:iCs/>
                          <w:color w:val="0E2841" w:themeColor="text2"/>
                          <w:sz w:val="22"/>
                          <w:szCs w:val="22"/>
                        </w:rPr>
                      </w:pPr>
                      <w:r w:rsidRPr="008179E0">
                        <w:rPr>
                          <w:b/>
                          <w:bCs/>
                          <w:i/>
                          <w:iCs/>
                          <w:color w:val="0E2841" w:themeColor="text2"/>
                          <w:sz w:val="22"/>
                          <w:szCs w:val="22"/>
                        </w:rPr>
                        <w:t xml:space="preserve">Figure </w:t>
                      </w:r>
                      <w:r w:rsidR="00002DDA">
                        <w:rPr>
                          <w:b/>
                          <w:bCs/>
                          <w:i/>
                          <w:iCs/>
                          <w:color w:val="0E2841" w:themeColor="text2"/>
                          <w:sz w:val="22"/>
                          <w:szCs w:val="22"/>
                        </w:rPr>
                        <w:t>S</w:t>
                      </w:r>
                      <w:r w:rsidRPr="008179E0">
                        <w:rPr>
                          <w:b/>
                          <w:bCs/>
                          <w:i/>
                          <w:iCs/>
                          <w:color w:val="0E2841" w:themeColor="text2"/>
                          <w:sz w:val="22"/>
                          <w:szCs w:val="22"/>
                        </w:rPr>
                        <w:fldChar w:fldCharType="begin"/>
                      </w:r>
                      <w:r w:rsidRPr="008179E0">
                        <w:rPr>
                          <w:b/>
                          <w:bCs/>
                          <w:i/>
                          <w:iCs/>
                          <w:color w:val="0E2841" w:themeColor="text2"/>
                          <w:sz w:val="22"/>
                          <w:szCs w:val="22"/>
                        </w:rPr>
                        <w:instrText xml:space="preserve"> SEQ Figure \* ARABIC </w:instrText>
                      </w:r>
                      <w:r w:rsidRPr="008179E0">
                        <w:rPr>
                          <w:b/>
                          <w:bCs/>
                          <w:i/>
                          <w:iCs/>
                          <w:color w:val="0E2841" w:themeColor="text2"/>
                          <w:sz w:val="22"/>
                          <w:szCs w:val="22"/>
                        </w:rPr>
                        <w:fldChar w:fldCharType="separate"/>
                      </w:r>
                      <w:r w:rsidRPr="008179E0">
                        <w:rPr>
                          <w:b/>
                          <w:bCs/>
                          <w:i/>
                          <w:iCs/>
                          <w:color w:val="0E2841" w:themeColor="text2"/>
                          <w:sz w:val="22"/>
                          <w:szCs w:val="22"/>
                        </w:rPr>
                        <w:t>4</w:t>
                      </w:r>
                      <w:r w:rsidRPr="008179E0">
                        <w:rPr>
                          <w:b/>
                          <w:bCs/>
                          <w:i/>
                          <w:iCs/>
                          <w:color w:val="0E2841" w:themeColor="text2"/>
                          <w:sz w:val="22"/>
                          <w:szCs w:val="22"/>
                        </w:rPr>
                        <w:fldChar w:fldCharType="end"/>
                      </w:r>
                      <w:r w:rsidRPr="008179E0">
                        <w:rPr>
                          <w:b/>
                          <w:bCs/>
                          <w:i/>
                          <w:iCs/>
                          <w:color w:val="0E2841" w:themeColor="text2"/>
                          <w:sz w:val="22"/>
                          <w:szCs w:val="22"/>
                        </w:rPr>
                        <w:t xml:space="preserve">: </w:t>
                      </w:r>
                      <w:r w:rsidRPr="008179E0">
                        <w:rPr>
                          <w:i/>
                          <w:iCs/>
                          <w:color w:val="0E2841" w:themeColor="text2"/>
                          <w:sz w:val="22"/>
                          <w:szCs w:val="22"/>
                        </w:rPr>
                        <w:t>Bias-tee configuration</w:t>
                      </w:r>
                    </w:p>
                  </w:txbxContent>
                </v:textbox>
                <w10:wrap type="topAndBottom"/>
              </v:shape>
            </w:pict>
          </mc:Fallback>
        </mc:AlternateContent>
      </w:r>
      <w:r w:rsidR="002060C3" w:rsidRPr="004D7F3A">
        <w:rPr>
          <w:rFonts w:asciiTheme="majorHAnsi" w:hAnsiTheme="majorHAnsi"/>
        </w:rPr>
        <w:t xml:space="preserve">The experimental setup for characterizing the PSCs for the SNR and data rates consists of a ~1 m free-space optical link using a 650 nm laser diode (LD), The LD is modulated by an arbitrary waveform generator (AWG). The laser beam is collimated at the transmitter and focused by a second lens onto the perovskite receiver. The receiver’s AC output is amplified by a low-noise amplifier (Mini-Circuits ZFL-1000LN+, +20 dB gain) before being recorded by an oscilloscope (Keysight MSO7104B). Both the oscilloscope and AWG (Keysight 33600A) are controlled by a PC, which also collects the measurement data. The oscilloscope’s 20 MHz low-pass filter is enabled. The AWG operates at its maximum sampling frequency of 1 </w:t>
      </w:r>
      <w:proofErr w:type="spellStart"/>
      <w:r w:rsidR="002060C3" w:rsidRPr="004D7F3A">
        <w:rPr>
          <w:rFonts w:asciiTheme="majorHAnsi" w:hAnsiTheme="majorHAnsi"/>
        </w:rPr>
        <w:t>GSa</w:t>
      </w:r>
      <w:proofErr w:type="spellEnd"/>
      <w:r w:rsidR="002060C3" w:rsidRPr="004D7F3A">
        <w:rPr>
          <w:rFonts w:asciiTheme="majorHAnsi" w:hAnsiTheme="majorHAnsi"/>
        </w:rPr>
        <w:t xml:space="preserve">/s, with 25 samples per symbol and a </w:t>
      </w:r>
      <w:proofErr w:type="gramStart"/>
      <w:r w:rsidR="002060C3" w:rsidRPr="004D7F3A">
        <w:rPr>
          <w:rFonts w:asciiTheme="majorHAnsi" w:hAnsiTheme="majorHAnsi"/>
        </w:rPr>
        <w:t>750 mV</w:t>
      </w:r>
      <w:proofErr w:type="gramEnd"/>
      <w:r w:rsidR="002060C3" w:rsidRPr="004D7F3A">
        <w:rPr>
          <w:rFonts w:asciiTheme="majorHAnsi" w:hAnsiTheme="majorHAnsi"/>
        </w:rPr>
        <w:t xml:space="preserve"> drive signal for laser modulation. Schematic of the setup used is shown in the. </w:t>
      </w:r>
      <w:r w:rsidR="002060C3" w:rsidRPr="00D31A84">
        <w:rPr>
          <w:rFonts w:asciiTheme="majorHAnsi" w:hAnsiTheme="majorHAnsi"/>
        </w:rPr>
        <w:t>For simultaneous energy harvesting, a bias-tee was introduced to separate AC and DC component</w:t>
      </w:r>
      <w:r w:rsidR="002740B0">
        <w:rPr>
          <w:rFonts w:asciiTheme="majorHAnsi" w:hAnsiTheme="majorHAnsi"/>
        </w:rPr>
        <w:t>s</w:t>
      </w:r>
      <w:r w:rsidR="002060C3" w:rsidRPr="00D31A84">
        <w:rPr>
          <w:rFonts w:asciiTheme="majorHAnsi" w:hAnsiTheme="majorHAnsi"/>
        </w:rPr>
        <w:t>.</w:t>
      </w:r>
      <w:r w:rsidR="002740B0">
        <w:rPr>
          <w:rFonts w:asciiTheme="majorHAnsi" w:hAnsiTheme="majorHAnsi"/>
        </w:rPr>
        <w:t xml:space="preserve"> Schematic is shown in</w:t>
      </w:r>
      <w:r w:rsidR="002060C3" w:rsidRPr="00D31A84">
        <w:rPr>
          <w:rFonts w:asciiTheme="majorHAnsi" w:hAnsiTheme="majorHAnsi"/>
        </w:rPr>
        <w:t xml:space="preserve"> </w:t>
      </w:r>
      <w:r w:rsidR="002740B0" w:rsidRPr="002740B0">
        <w:rPr>
          <w:rFonts w:asciiTheme="majorHAnsi" w:hAnsiTheme="majorHAnsi"/>
          <w:b/>
          <w:bCs/>
        </w:rPr>
        <w:t>Figure S4</w:t>
      </w:r>
      <w:r w:rsidR="002740B0">
        <w:rPr>
          <w:rFonts w:asciiTheme="majorHAnsi" w:hAnsiTheme="majorHAnsi"/>
        </w:rPr>
        <w:t xml:space="preserve">: </w:t>
      </w:r>
      <w:r w:rsidR="002060C3" w:rsidRPr="00D31A84">
        <w:rPr>
          <w:rFonts w:asciiTheme="majorHAnsi" w:hAnsiTheme="majorHAnsi"/>
        </w:rPr>
        <w:t>Port 1 serves as the device input, port 2 outputs the RF signal through a capacitor (blocking DC), and port 3 extracts the DC component via an inductor that suppresses RF signals.</w:t>
      </w:r>
    </w:p>
    <w:p w14:paraId="2D825208" w14:textId="0A9B9415" w:rsidR="00703E38" w:rsidRDefault="0051043E" w:rsidP="0051043E">
      <w:pPr>
        <w:spacing w:after="120" w:line="360" w:lineRule="auto"/>
        <w:jc w:val="center"/>
        <w:rPr>
          <w:rFonts w:asciiTheme="majorHAnsi" w:hAnsiTheme="majorHAnsi"/>
        </w:rPr>
      </w:pPr>
      <w:r>
        <w:rPr>
          <w:rFonts w:asciiTheme="majorHAnsi" w:hAnsiTheme="majorHAnsi"/>
          <w:noProof/>
        </w:rPr>
        <w:drawing>
          <wp:inline distT="0" distB="0" distL="0" distR="0" wp14:anchorId="0D8C9DB6" wp14:editId="668AFC70">
            <wp:extent cx="2467610" cy="1704975"/>
            <wp:effectExtent l="0" t="0" r="0" b="0"/>
            <wp:docPr id="280114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7610" cy="1704975"/>
                    </a:xfrm>
                    <a:prstGeom prst="rect">
                      <a:avLst/>
                    </a:prstGeom>
                    <a:noFill/>
                  </pic:spPr>
                </pic:pic>
              </a:graphicData>
            </a:graphic>
          </wp:inline>
        </w:drawing>
      </w:r>
    </w:p>
    <w:p w14:paraId="347944BA" w14:textId="21ACB955" w:rsidR="002060C3" w:rsidRPr="004D7F3A" w:rsidRDefault="002060C3" w:rsidP="00E53B28">
      <w:pPr>
        <w:tabs>
          <w:tab w:val="left" w:pos="7860"/>
        </w:tabs>
        <w:spacing w:after="120" w:line="360" w:lineRule="auto"/>
        <w:jc w:val="both"/>
        <w:rPr>
          <w:rFonts w:asciiTheme="majorHAnsi" w:hAnsiTheme="majorHAnsi"/>
        </w:rPr>
      </w:pPr>
      <w:r w:rsidRPr="004D7F3A">
        <w:rPr>
          <w:rFonts w:asciiTheme="majorHAnsi" w:hAnsiTheme="majorHAnsi"/>
        </w:rPr>
        <w:t xml:space="preserve">Data transmission is conducted with direct-current biased optical orthogonal frequency-division multiplexing (DCO-OFDM) the chosen modulation technique, owing to spectral efficiency. Moreover, the achievable data-rate is maximised using an adaptive bit and power loading algorithm to ensure the economical allocation of frequency resources, optimizing the bandwidth utilization under varying signal-to-noise ratio (SNR) conditions. </w:t>
      </w:r>
    </w:p>
    <w:p w14:paraId="3892ACF8" w14:textId="7A4EC20D" w:rsidR="00296220" w:rsidRDefault="002A54AB" w:rsidP="00E53B28">
      <w:pPr>
        <w:pStyle w:val="ListParagraph"/>
        <w:numPr>
          <w:ilvl w:val="0"/>
          <w:numId w:val="5"/>
        </w:numPr>
        <w:spacing w:after="120" w:line="360" w:lineRule="auto"/>
        <w:contextualSpacing w:val="0"/>
        <w:jc w:val="both"/>
        <w:rPr>
          <w:rFonts w:asciiTheme="majorHAnsi" w:hAnsiTheme="majorHAnsi"/>
        </w:rPr>
      </w:pPr>
      <w:r w:rsidRPr="004D7F3A">
        <w:rPr>
          <w:rFonts w:asciiTheme="majorHAnsi" w:hAnsiTheme="majorHAnsi"/>
          <w:noProof/>
        </w:rPr>
        <w:lastRenderedPageBreak/>
        <w:drawing>
          <wp:anchor distT="0" distB="0" distL="114300" distR="114300" simplePos="0" relativeHeight="251658251" behindDoc="0" locked="0" layoutInCell="1" allowOverlap="1" wp14:anchorId="34FCCFFC" wp14:editId="54BB11F2">
            <wp:simplePos x="0" y="0"/>
            <wp:positionH relativeFrom="margin">
              <wp:posOffset>273050</wp:posOffset>
            </wp:positionH>
            <wp:positionV relativeFrom="paragraph">
              <wp:posOffset>267335</wp:posOffset>
            </wp:positionV>
            <wp:extent cx="5040000" cy="3966209"/>
            <wp:effectExtent l="0" t="0" r="8255" b="0"/>
            <wp:wrapTopAndBottom/>
            <wp:docPr id="204550248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502488" name="Picture 204550248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40000" cy="3966209"/>
                    </a:xfrm>
                    <a:prstGeom prst="rect">
                      <a:avLst/>
                    </a:prstGeom>
                  </pic:spPr>
                </pic:pic>
              </a:graphicData>
            </a:graphic>
            <wp14:sizeRelH relativeFrom="margin">
              <wp14:pctWidth>0</wp14:pctWidth>
            </wp14:sizeRelH>
            <wp14:sizeRelV relativeFrom="margin">
              <wp14:pctHeight>0</wp14:pctHeight>
            </wp14:sizeRelV>
          </wp:anchor>
        </w:drawing>
      </w:r>
      <w:r w:rsidR="00971B9F" w:rsidRPr="004D7F3A">
        <w:rPr>
          <w:rFonts w:asciiTheme="majorHAnsi" w:hAnsiTheme="majorHAnsi" w:cs="Times New Roman"/>
          <w:b/>
          <w:bCs/>
          <w:u w:val="single"/>
        </w:rPr>
        <w:t>C</w:t>
      </w:r>
      <w:r w:rsidR="00A714C2" w:rsidRPr="004D7F3A">
        <w:rPr>
          <w:rFonts w:asciiTheme="majorHAnsi" w:hAnsiTheme="majorHAnsi" w:cs="Times New Roman"/>
          <w:b/>
          <w:bCs/>
          <w:u w:val="single"/>
        </w:rPr>
        <w:t xml:space="preserve">omparison of the power form </w:t>
      </w:r>
      <w:r w:rsidR="00A13B16" w:rsidRPr="004D7F3A">
        <w:rPr>
          <w:rFonts w:asciiTheme="majorHAnsi" w:hAnsiTheme="majorHAnsi" w:cs="Times New Roman"/>
          <w:b/>
          <w:bCs/>
          <w:u w:val="single"/>
        </w:rPr>
        <w:t xml:space="preserve">JV curve </w:t>
      </w:r>
      <w:r w:rsidR="004F2CF4" w:rsidRPr="004D7F3A">
        <w:rPr>
          <w:rFonts w:asciiTheme="majorHAnsi" w:hAnsiTheme="majorHAnsi" w:cs="Times New Roman"/>
          <w:b/>
          <w:bCs/>
          <w:u w:val="single"/>
        </w:rPr>
        <w:t xml:space="preserve">and </w:t>
      </w:r>
      <w:r w:rsidR="00F26DCD" w:rsidRPr="004D7F3A">
        <w:rPr>
          <w:rFonts w:asciiTheme="majorHAnsi" w:hAnsiTheme="majorHAnsi" w:cs="Times New Roman"/>
          <w:b/>
          <w:bCs/>
          <w:u w:val="single"/>
        </w:rPr>
        <w:t xml:space="preserve">power </w:t>
      </w:r>
      <w:r w:rsidR="00A13B16" w:rsidRPr="004D7F3A">
        <w:rPr>
          <w:rFonts w:asciiTheme="majorHAnsi" w:hAnsiTheme="majorHAnsi" w:cs="Times New Roman"/>
          <w:b/>
          <w:bCs/>
          <w:u w:val="single"/>
        </w:rPr>
        <w:t>measure from SLIPT</w:t>
      </w:r>
      <w:r w:rsidR="00296220" w:rsidRPr="004D7F3A">
        <w:rPr>
          <w:rFonts w:asciiTheme="majorHAnsi" w:hAnsiTheme="majorHAnsi"/>
        </w:rPr>
        <w:tab/>
      </w:r>
    </w:p>
    <w:p w14:paraId="136C4A0F" w14:textId="20C259A1" w:rsidR="00B031AF" w:rsidRDefault="00B031AF" w:rsidP="003F3DE8">
      <w:pPr>
        <w:spacing w:before="120" w:after="120" w:line="360" w:lineRule="auto"/>
        <w:rPr>
          <w:i/>
          <w:iCs/>
          <w:color w:val="0E2841" w:themeColor="text2"/>
          <w:sz w:val="22"/>
          <w:szCs w:val="22"/>
        </w:rPr>
      </w:pPr>
      <w:r w:rsidRPr="00B031AF">
        <w:rPr>
          <w:b/>
          <w:bCs/>
          <w:i/>
          <w:iCs/>
          <w:color w:val="0E2841" w:themeColor="text2"/>
          <w:sz w:val="22"/>
          <w:szCs w:val="22"/>
        </w:rPr>
        <w:t>Figure S</w:t>
      </w:r>
      <w:r w:rsidR="00002DDA">
        <w:rPr>
          <w:b/>
          <w:bCs/>
          <w:i/>
          <w:iCs/>
          <w:color w:val="0E2841" w:themeColor="text2"/>
          <w:sz w:val="22"/>
          <w:szCs w:val="22"/>
        </w:rPr>
        <w:t>5</w:t>
      </w:r>
      <w:r w:rsidRPr="00B031AF">
        <w:rPr>
          <w:b/>
          <w:bCs/>
          <w:i/>
          <w:iCs/>
          <w:color w:val="0E2841" w:themeColor="text2"/>
          <w:sz w:val="22"/>
          <w:szCs w:val="22"/>
        </w:rPr>
        <w:t xml:space="preserve">: </w:t>
      </w:r>
      <w:r w:rsidRPr="00FA4E7A">
        <w:rPr>
          <w:i/>
          <w:iCs/>
          <w:color w:val="0E2841" w:themeColor="text2"/>
          <w:sz w:val="22"/>
          <w:szCs w:val="22"/>
        </w:rPr>
        <w:t>Comparison of harvested power measured during SLIPT operation and extracted from J–V curves</w:t>
      </w:r>
    </w:p>
    <w:p w14:paraId="6610BF0B" w14:textId="00B465F8" w:rsidR="002A54AB" w:rsidRPr="00C73FEA" w:rsidRDefault="003F3DE8" w:rsidP="002A54AB">
      <w:pPr>
        <w:spacing w:after="120" w:line="360" w:lineRule="auto"/>
        <w:jc w:val="both"/>
        <w:rPr>
          <w:rFonts w:asciiTheme="majorHAnsi" w:hAnsiTheme="majorHAnsi"/>
        </w:rPr>
      </w:pPr>
      <w:r w:rsidRPr="004D7F3A">
        <w:rPr>
          <w:rFonts w:asciiTheme="majorHAnsi" w:hAnsiTheme="majorHAnsi"/>
          <w:noProof/>
        </w:rPr>
        <w:drawing>
          <wp:anchor distT="0" distB="0" distL="114300" distR="114300" simplePos="0" relativeHeight="251657215" behindDoc="0" locked="0" layoutInCell="1" allowOverlap="1" wp14:anchorId="514B7700" wp14:editId="489710EC">
            <wp:simplePos x="0" y="0"/>
            <wp:positionH relativeFrom="margin">
              <wp:posOffset>1313180</wp:posOffset>
            </wp:positionH>
            <wp:positionV relativeFrom="paragraph">
              <wp:posOffset>1086485</wp:posOffset>
            </wp:positionV>
            <wp:extent cx="3599180" cy="2771775"/>
            <wp:effectExtent l="0" t="0" r="1270" b="9525"/>
            <wp:wrapSquare wrapText="bothSides"/>
            <wp:docPr id="12874870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4870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599180" cy="2771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4AB" w:rsidRPr="00C73FEA">
        <w:rPr>
          <w:rFonts w:asciiTheme="majorHAnsi" w:hAnsiTheme="majorHAnsi"/>
        </w:rPr>
        <w:t>Power harvesting during SLIPT operation was measured using a variable load. The SLIPT power curves (blue) are based on discrete measurement points and exhibit lower accuracy compared to the J–V-derived power curves (red), which were obtained using a source-measurement unit. Both methods show consistent trends; therefore, J–V-derived power values were used for analysis.</w:t>
      </w:r>
    </w:p>
    <w:p w14:paraId="3B8FECF1" w14:textId="5DAAE8DE" w:rsidR="002A54AB" w:rsidRPr="00FA4E7A" w:rsidRDefault="002A54AB" w:rsidP="002A54AB">
      <w:pPr>
        <w:spacing w:after="120" w:line="360" w:lineRule="auto"/>
        <w:jc w:val="both"/>
        <w:rPr>
          <w:i/>
          <w:iCs/>
          <w:color w:val="0E2841" w:themeColor="text2"/>
          <w:sz w:val="22"/>
          <w:szCs w:val="22"/>
        </w:rPr>
      </w:pPr>
    </w:p>
    <w:p w14:paraId="2D561F9A" w14:textId="03BF8A87" w:rsidR="001E5264" w:rsidRDefault="001E5264" w:rsidP="00E53B28">
      <w:pPr>
        <w:spacing w:after="120" w:line="360" w:lineRule="auto"/>
        <w:jc w:val="both"/>
        <w:rPr>
          <w:rFonts w:asciiTheme="majorHAnsi" w:hAnsiTheme="majorHAnsi"/>
          <w:u w:val="single"/>
        </w:rPr>
      </w:pPr>
    </w:p>
    <w:p w14:paraId="1AB3A306" w14:textId="7DA5BDB6" w:rsidR="001E5264" w:rsidRDefault="001E5264" w:rsidP="00E53B28">
      <w:pPr>
        <w:spacing w:after="120" w:line="360" w:lineRule="auto"/>
        <w:jc w:val="both"/>
        <w:rPr>
          <w:rFonts w:asciiTheme="majorHAnsi" w:hAnsiTheme="majorHAnsi"/>
          <w:u w:val="single"/>
        </w:rPr>
      </w:pPr>
    </w:p>
    <w:p w14:paraId="718ECDA4" w14:textId="4DE73CDE" w:rsidR="00FD7DC2" w:rsidRPr="004D7F3A" w:rsidRDefault="00FD7DC2" w:rsidP="00E53B28">
      <w:pPr>
        <w:spacing w:after="120" w:line="360" w:lineRule="auto"/>
        <w:jc w:val="both"/>
        <w:rPr>
          <w:rFonts w:asciiTheme="majorHAnsi" w:hAnsiTheme="majorHAnsi"/>
          <w:u w:val="single"/>
        </w:rPr>
      </w:pPr>
    </w:p>
    <w:p w14:paraId="14912C9D" w14:textId="5E042D34" w:rsidR="00FD7DC2" w:rsidRPr="004D7F3A" w:rsidRDefault="00FD7DC2" w:rsidP="00E53B28">
      <w:pPr>
        <w:spacing w:after="120" w:line="360" w:lineRule="auto"/>
        <w:jc w:val="both"/>
        <w:rPr>
          <w:rFonts w:asciiTheme="majorHAnsi" w:hAnsiTheme="majorHAnsi"/>
          <w:u w:val="single"/>
        </w:rPr>
      </w:pPr>
    </w:p>
    <w:p w14:paraId="448BB4B6" w14:textId="4FEB5E1D" w:rsidR="009A077B" w:rsidRPr="004D7F3A" w:rsidRDefault="009A077B" w:rsidP="00E53B28">
      <w:pPr>
        <w:spacing w:after="120" w:line="360" w:lineRule="auto"/>
        <w:jc w:val="both"/>
        <w:rPr>
          <w:rFonts w:asciiTheme="majorHAnsi" w:hAnsiTheme="majorHAnsi"/>
          <w:u w:val="single"/>
        </w:rPr>
      </w:pPr>
    </w:p>
    <w:p w14:paraId="3F80529E" w14:textId="77777777" w:rsidR="00CB72B4" w:rsidRDefault="00CB72B4" w:rsidP="00CB72B4">
      <w:pPr>
        <w:pStyle w:val="Caption"/>
        <w:rPr>
          <w:b/>
          <w:bCs/>
          <w:sz w:val="22"/>
          <w:szCs w:val="22"/>
        </w:rPr>
      </w:pPr>
      <w:bookmarkStart w:id="9" w:name="_Ref215516146"/>
    </w:p>
    <w:p w14:paraId="167AAE46" w14:textId="77777777" w:rsidR="003F3DE8" w:rsidRDefault="003F3DE8" w:rsidP="00CB72B4">
      <w:pPr>
        <w:pStyle w:val="Caption"/>
        <w:jc w:val="center"/>
        <w:rPr>
          <w:b/>
          <w:bCs/>
          <w:sz w:val="22"/>
          <w:szCs w:val="22"/>
        </w:rPr>
      </w:pPr>
    </w:p>
    <w:p w14:paraId="2D9CFD3C" w14:textId="27AC425D" w:rsidR="00CB72B4" w:rsidRPr="00D3461F" w:rsidRDefault="00CB72B4" w:rsidP="00CB72B4">
      <w:pPr>
        <w:pStyle w:val="Caption"/>
        <w:jc w:val="center"/>
      </w:pPr>
      <w:r w:rsidRPr="00D3461F">
        <w:rPr>
          <w:b/>
          <w:bCs/>
          <w:sz w:val="22"/>
          <w:szCs w:val="22"/>
        </w:rPr>
        <w:t xml:space="preserve">Figure </w:t>
      </w:r>
      <w:bookmarkEnd w:id="9"/>
      <w:r>
        <w:rPr>
          <w:b/>
          <w:bCs/>
          <w:sz w:val="22"/>
          <w:szCs w:val="22"/>
        </w:rPr>
        <w:t>S</w:t>
      </w:r>
      <w:r w:rsidR="00002DDA">
        <w:rPr>
          <w:b/>
          <w:bCs/>
          <w:sz w:val="22"/>
          <w:szCs w:val="22"/>
        </w:rPr>
        <w:t>6</w:t>
      </w:r>
      <w:r w:rsidRPr="00D3461F">
        <w:rPr>
          <w:b/>
          <w:bCs/>
          <w:sz w:val="22"/>
          <w:szCs w:val="22"/>
        </w:rPr>
        <w:t xml:space="preserve">: </w:t>
      </w:r>
      <w:r w:rsidRPr="00D3461F">
        <w:rPr>
          <w:sz w:val="22"/>
          <w:szCs w:val="22"/>
        </w:rPr>
        <w:t xml:space="preserve">Data </w:t>
      </w:r>
      <w:r w:rsidR="00CF12F2">
        <w:rPr>
          <w:sz w:val="22"/>
          <w:szCs w:val="22"/>
        </w:rPr>
        <w:t>r</w:t>
      </w:r>
      <w:r w:rsidRPr="00D3461F">
        <w:rPr>
          <w:sz w:val="22"/>
          <w:szCs w:val="22"/>
        </w:rPr>
        <w:t>ates and power generated at different operational points</w:t>
      </w:r>
      <w:r w:rsidRPr="00D3461F">
        <w:t>.</w:t>
      </w:r>
    </w:p>
    <w:p w14:paraId="62B9DC5B" w14:textId="77777777" w:rsidR="00AF446F" w:rsidRDefault="002947DC" w:rsidP="00AF446F">
      <w:pPr>
        <w:spacing w:after="120" w:line="360" w:lineRule="auto"/>
        <w:jc w:val="both"/>
        <w:rPr>
          <w:rFonts w:asciiTheme="majorHAnsi" w:hAnsiTheme="majorHAnsi"/>
        </w:rPr>
      </w:pPr>
      <w:r w:rsidRPr="002947DC">
        <w:rPr>
          <w:rFonts w:asciiTheme="majorHAnsi" w:hAnsiTheme="majorHAnsi"/>
        </w:rPr>
        <w:lastRenderedPageBreak/>
        <w:t xml:space="preserve">The data rates at different operational points are shown in </w:t>
      </w:r>
      <w:r w:rsidRPr="003F3DE8">
        <w:rPr>
          <w:rFonts w:asciiTheme="majorHAnsi" w:hAnsiTheme="majorHAnsi"/>
          <w:b/>
          <w:bCs/>
        </w:rPr>
        <w:t>Figure S</w:t>
      </w:r>
      <w:r w:rsidR="003F3DE8" w:rsidRPr="003F3DE8">
        <w:rPr>
          <w:rFonts w:asciiTheme="majorHAnsi" w:hAnsiTheme="majorHAnsi"/>
          <w:b/>
          <w:bCs/>
        </w:rPr>
        <w:t>6</w:t>
      </w:r>
      <w:r w:rsidRPr="002947DC">
        <w:rPr>
          <w:rFonts w:asciiTheme="majorHAnsi" w:hAnsiTheme="majorHAnsi"/>
        </w:rPr>
        <w:t xml:space="preserve">. As the bias is swept from </w:t>
      </w:r>
      <w:r>
        <w:rPr>
          <w:rFonts w:asciiTheme="majorHAnsi" w:hAnsiTheme="majorHAnsi"/>
        </w:rPr>
        <w:t>J</w:t>
      </w:r>
      <w:r w:rsidRPr="002947DC">
        <w:rPr>
          <w:rFonts w:asciiTheme="majorHAnsi" w:hAnsiTheme="majorHAnsi"/>
          <w:vertAlign w:val="subscript"/>
        </w:rPr>
        <w:t xml:space="preserve">SC </w:t>
      </w:r>
      <w:r w:rsidRPr="002947DC">
        <w:rPr>
          <w:rFonts w:asciiTheme="majorHAnsi" w:hAnsiTheme="majorHAnsi"/>
        </w:rPr>
        <w:t>toward the maximum power point (MPP), the data rate initially decreases until ~0.3 V, followed by an increase as the bias approaches the MPP (~0.7 V). Moving further toward</w:t>
      </w:r>
      <w:r>
        <w:rPr>
          <w:rFonts w:asciiTheme="majorHAnsi" w:hAnsiTheme="majorHAnsi"/>
        </w:rPr>
        <w:t>s V</w:t>
      </w:r>
      <w:r w:rsidRPr="002947DC">
        <w:rPr>
          <w:rFonts w:asciiTheme="majorHAnsi" w:hAnsiTheme="majorHAnsi"/>
          <w:vertAlign w:val="subscript"/>
        </w:rPr>
        <w:t>OC</w:t>
      </w:r>
      <w:r w:rsidRPr="002947DC">
        <w:rPr>
          <w:rFonts w:asciiTheme="majorHAnsi" w:hAnsiTheme="majorHAnsi"/>
        </w:rPr>
        <w:t xml:space="preserve">, a slight reduction in data rate is observed. This trend is consistent with our discussion in the main text, where the internal RC dynamics partially compensate for the reduction in internal electric field as the bias shifts from </w:t>
      </w:r>
      <w:r>
        <w:rPr>
          <w:rFonts w:asciiTheme="majorHAnsi" w:hAnsiTheme="majorHAnsi"/>
        </w:rPr>
        <w:t>J</w:t>
      </w:r>
      <w:r w:rsidRPr="002947DC">
        <w:rPr>
          <w:rFonts w:asciiTheme="majorHAnsi" w:hAnsiTheme="majorHAnsi"/>
          <w:vertAlign w:val="subscript"/>
        </w:rPr>
        <w:t>SC</w:t>
      </w:r>
      <w:r>
        <w:rPr>
          <w:rFonts w:asciiTheme="majorHAnsi" w:hAnsiTheme="majorHAnsi"/>
        </w:rPr>
        <w:t xml:space="preserve"> </w:t>
      </w:r>
      <w:r w:rsidRPr="002947DC">
        <w:rPr>
          <w:rFonts w:asciiTheme="majorHAnsi" w:hAnsiTheme="majorHAnsi"/>
        </w:rPr>
        <w:t>toward</w:t>
      </w:r>
      <w:r>
        <w:rPr>
          <w:rFonts w:asciiTheme="majorHAnsi" w:hAnsiTheme="majorHAnsi"/>
        </w:rPr>
        <w:t xml:space="preserve"> V</w:t>
      </w:r>
      <w:r w:rsidRPr="002947DC">
        <w:rPr>
          <w:rFonts w:asciiTheme="majorHAnsi" w:hAnsiTheme="majorHAnsi"/>
          <w:vertAlign w:val="subscript"/>
        </w:rPr>
        <w:t>OC</w:t>
      </w:r>
      <w:r w:rsidRPr="002947DC">
        <w:rPr>
          <w:rFonts w:asciiTheme="majorHAnsi" w:hAnsiTheme="majorHAnsi"/>
        </w:rPr>
        <w:t xml:space="preserve">. </w:t>
      </w:r>
    </w:p>
    <w:p w14:paraId="417D05C0" w14:textId="2948A39F" w:rsidR="005C7B34" w:rsidRPr="00AF446F" w:rsidRDefault="002060C3" w:rsidP="00AF446F">
      <w:pPr>
        <w:spacing w:after="120" w:line="360" w:lineRule="auto"/>
        <w:jc w:val="both"/>
        <w:rPr>
          <w:rFonts w:asciiTheme="majorHAnsi" w:hAnsiTheme="majorHAnsi"/>
        </w:rPr>
      </w:pPr>
      <w:r w:rsidRPr="003F3DE8">
        <w:rPr>
          <w:rFonts w:asciiTheme="majorHAnsi" w:hAnsiTheme="majorHAnsi" w:cs="Times New Roman"/>
          <w:b/>
          <w:bCs/>
          <w:u w:val="single"/>
        </w:rPr>
        <w:t xml:space="preserve">Stability measurement  </w:t>
      </w:r>
    </w:p>
    <w:p w14:paraId="6F1343EE" w14:textId="44927A19" w:rsidR="002060C3" w:rsidRDefault="001D225D" w:rsidP="00E53B28">
      <w:pPr>
        <w:spacing w:after="120" w:line="360" w:lineRule="auto"/>
        <w:jc w:val="both"/>
        <w:rPr>
          <w:rFonts w:asciiTheme="majorHAnsi" w:hAnsiTheme="majorHAnsi" w:cs="Times New Roman"/>
          <w:i/>
          <w:iCs/>
          <w:u w:val="single"/>
        </w:rPr>
      </w:pPr>
      <w:r>
        <w:rPr>
          <w:rFonts w:asciiTheme="majorHAnsi" w:hAnsiTheme="majorHAnsi" w:cs="Times New Roman"/>
          <w:i/>
          <w:iCs/>
          <w:u w:val="single"/>
        </w:rPr>
        <w:t>6</w:t>
      </w:r>
      <w:r w:rsidR="002060C3" w:rsidRPr="002060C3">
        <w:rPr>
          <w:rFonts w:asciiTheme="majorHAnsi" w:hAnsiTheme="majorHAnsi" w:cs="Times New Roman"/>
          <w:i/>
          <w:iCs/>
          <w:u w:val="single"/>
        </w:rPr>
        <w:t>.1 Maximum power point tracking (MPPT)</w:t>
      </w:r>
    </w:p>
    <w:p w14:paraId="457FDDA5" w14:textId="4E95C2A4" w:rsidR="00CB72B4" w:rsidRDefault="002060C3" w:rsidP="003F3DE8">
      <w:pPr>
        <w:spacing w:after="120" w:line="360" w:lineRule="auto"/>
        <w:jc w:val="both"/>
        <w:rPr>
          <w:b/>
          <w:bCs/>
          <w:sz w:val="22"/>
          <w:szCs w:val="22"/>
        </w:rPr>
      </w:pPr>
      <w:r w:rsidRPr="002060C3">
        <w:rPr>
          <w:rFonts w:asciiTheme="majorHAnsi" w:hAnsiTheme="majorHAnsi" w:cs="Times New Roman"/>
        </w:rPr>
        <w:t>Devices were operated under maximum power point tracking for 500 hours while monitoring data rate and harvested power</w:t>
      </w:r>
    </w:p>
    <w:p w14:paraId="64030F6A" w14:textId="2ACBA265" w:rsidR="00CB72B4" w:rsidRDefault="00CB72B4" w:rsidP="00CB72B4">
      <w:pPr>
        <w:pStyle w:val="Caption"/>
        <w:jc w:val="center"/>
        <w:rPr>
          <w:b/>
          <w:bCs/>
          <w:sz w:val="22"/>
          <w:szCs w:val="22"/>
        </w:rPr>
      </w:pPr>
      <w:r w:rsidRPr="004D7F3A">
        <w:rPr>
          <w:rFonts w:asciiTheme="majorHAnsi" w:hAnsiTheme="majorHAnsi" w:cs="Times New Roman"/>
          <w:b/>
          <w:bCs/>
          <w:noProof/>
        </w:rPr>
        <w:drawing>
          <wp:inline distT="0" distB="0" distL="0" distR="0" wp14:anchorId="6121B51C" wp14:editId="0CF0B6A4">
            <wp:extent cx="6120130" cy="2792276"/>
            <wp:effectExtent l="0" t="0" r="0" b="8255"/>
            <wp:docPr id="20977839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130" cy="2792276"/>
                    </a:xfrm>
                    <a:prstGeom prst="rect">
                      <a:avLst/>
                    </a:prstGeom>
                    <a:noFill/>
                    <a:ln>
                      <a:noFill/>
                    </a:ln>
                  </pic:spPr>
                </pic:pic>
              </a:graphicData>
            </a:graphic>
          </wp:inline>
        </w:drawing>
      </w:r>
    </w:p>
    <w:p w14:paraId="6B487891" w14:textId="1AA5D1EB" w:rsidR="00CB72B4" w:rsidRPr="00D31A84" w:rsidRDefault="00CB72B4" w:rsidP="00002DDA">
      <w:pPr>
        <w:pStyle w:val="Caption"/>
        <w:rPr>
          <w:rFonts w:cs="Times New Roman"/>
          <w:b/>
          <w:bCs/>
          <w:sz w:val="22"/>
          <w:szCs w:val="22"/>
        </w:rPr>
      </w:pPr>
      <w:r w:rsidRPr="00D31A84">
        <w:rPr>
          <w:b/>
          <w:bCs/>
          <w:sz w:val="22"/>
          <w:szCs w:val="22"/>
        </w:rPr>
        <w:t>Figure S</w:t>
      </w:r>
      <w:r w:rsidR="00002DDA">
        <w:rPr>
          <w:b/>
          <w:bCs/>
          <w:sz w:val="22"/>
          <w:szCs w:val="22"/>
        </w:rPr>
        <w:t>7</w:t>
      </w:r>
      <w:r w:rsidRPr="00D31A84">
        <w:rPr>
          <w:b/>
          <w:bCs/>
          <w:sz w:val="22"/>
          <w:szCs w:val="22"/>
        </w:rPr>
        <w:t>:</w:t>
      </w:r>
      <w:r w:rsidRPr="00D31A84">
        <w:rPr>
          <w:sz w:val="22"/>
          <w:szCs w:val="22"/>
        </w:rPr>
        <w:t xml:space="preserve"> Maximum power point tracking (MPPT) stability measurements for devices incorporating different HTLs.</w:t>
      </w:r>
    </w:p>
    <w:p w14:paraId="2C44D382" w14:textId="17D4E270" w:rsidR="00C92594" w:rsidRDefault="00C92594" w:rsidP="00E53B28">
      <w:pPr>
        <w:pStyle w:val="ListParagraph"/>
        <w:spacing w:line="360" w:lineRule="auto"/>
        <w:ind w:left="0"/>
        <w:jc w:val="center"/>
        <w:rPr>
          <w:rFonts w:asciiTheme="majorHAnsi" w:hAnsiTheme="majorHAnsi" w:cs="Times New Roman"/>
          <w:b/>
          <w:bCs/>
          <w:noProof/>
        </w:rPr>
      </w:pPr>
    </w:p>
    <w:p w14:paraId="555E5C84" w14:textId="4F5B21FE" w:rsidR="007A3F8F" w:rsidRPr="003F3DE8" w:rsidRDefault="003F3DE8" w:rsidP="007A3F8F">
      <w:pPr>
        <w:tabs>
          <w:tab w:val="left" w:pos="1291"/>
        </w:tabs>
        <w:rPr>
          <w:b/>
          <w:bCs/>
        </w:rPr>
      </w:pPr>
      <w:r w:rsidRPr="003F3DE8">
        <w:rPr>
          <w:b/>
          <w:bCs/>
        </w:rPr>
        <w:t>Reference</w:t>
      </w:r>
      <w:r>
        <w:rPr>
          <w:b/>
          <w:bCs/>
        </w:rPr>
        <w:t>s</w:t>
      </w:r>
    </w:p>
    <w:p w14:paraId="2265C7EB" w14:textId="77777777" w:rsidR="007A3F8F" w:rsidRPr="003F3DE8" w:rsidRDefault="007A3F8F" w:rsidP="003F3DE8">
      <w:pPr>
        <w:pStyle w:val="Bibliography"/>
        <w:spacing w:after="120"/>
        <w:ind w:left="386" w:hanging="386"/>
        <w:rPr>
          <w:rFonts w:ascii="Aptos" w:hAnsi="Aptos"/>
          <w:sz w:val="22"/>
          <w:szCs w:val="22"/>
        </w:rPr>
      </w:pPr>
      <w:r>
        <w:fldChar w:fldCharType="begin"/>
      </w:r>
      <w:r>
        <w:instrText xml:space="preserve"> ADDIN ZOTERO_BIBL {"uncited":[],"omitted":[],"custom":[]} CSL_BIBLIOGRAPHY </w:instrText>
      </w:r>
      <w:r>
        <w:fldChar w:fldCharType="separate"/>
      </w:r>
      <w:r w:rsidRPr="007A3F8F">
        <w:rPr>
          <w:rFonts w:ascii="Aptos" w:hAnsi="Aptos"/>
        </w:rPr>
        <w:t>[1]</w:t>
      </w:r>
      <w:r w:rsidRPr="007A3F8F">
        <w:rPr>
          <w:rFonts w:ascii="Aptos" w:hAnsi="Aptos"/>
        </w:rPr>
        <w:tab/>
        <w:t xml:space="preserve">M. Stolterfoht </w:t>
      </w:r>
      <w:r w:rsidRPr="007A3F8F">
        <w:rPr>
          <w:rFonts w:ascii="Aptos" w:hAnsi="Aptos"/>
          <w:i/>
          <w:iCs/>
        </w:rPr>
        <w:t>et al.</w:t>
      </w:r>
      <w:r w:rsidRPr="007A3F8F">
        <w:rPr>
          <w:rFonts w:ascii="Aptos" w:hAnsi="Aptos"/>
        </w:rPr>
        <w:t>, ‘Visualization and suppression of interfacial recombination for high-</w:t>
      </w:r>
      <w:r w:rsidRPr="003F3DE8">
        <w:rPr>
          <w:rFonts w:ascii="Aptos" w:hAnsi="Aptos"/>
          <w:sz w:val="22"/>
          <w:szCs w:val="22"/>
        </w:rPr>
        <w:t xml:space="preserve">efficiency large-area pin perovskite solar cells’, </w:t>
      </w:r>
      <w:r w:rsidRPr="003F3DE8">
        <w:rPr>
          <w:rFonts w:ascii="Aptos" w:hAnsi="Aptos"/>
          <w:i/>
          <w:iCs/>
          <w:sz w:val="22"/>
          <w:szCs w:val="22"/>
        </w:rPr>
        <w:t>Nat. Energy</w:t>
      </w:r>
      <w:r w:rsidRPr="003F3DE8">
        <w:rPr>
          <w:rFonts w:ascii="Aptos" w:hAnsi="Aptos"/>
          <w:sz w:val="22"/>
          <w:szCs w:val="22"/>
        </w:rPr>
        <w:t>, vol. 3, no. 10, pp. 847–854, Oct. 2018, doi: 10.1038/s41560-018-0219-8.</w:t>
      </w:r>
    </w:p>
    <w:p w14:paraId="35B342E3" w14:textId="77777777" w:rsidR="007A3F8F" w:rsidRPr="007A3F8F" w:rsidRDefault="007A3F8F" w:rsidP="003F3DE8">
      <w:pPr>
        <w:pStyle w:val="Bibliography"/>
        <w:spacing w:after="120"/>
        <w:ind w:left="386" w:hanging="386"/>
        <w:rPr>
          <w:rFonts w:ascii="Aptos" w:hAnsi="Aptos"/>
        </w:rPr>
      </w:pPr>
      <w:r w:rsidRPr="003F3DE8">
        <w:rPr>
          <w:rFonts w:ascii="Aptos" w:hAnsi="Aptos"/>
          <w:sz w:val="22"/>
          <w:szCs w:val="22"/>
        </w:rPr>
        <w:t>[2]</w:t>
      </w:r>
      <w:r w:rsidRPr="003F3DE8">
        <w:rPr>
          <w:rFonts w:ascii="Aptos" w:hAnsi="Aptos"/>
          <w:sz w:val="22"/>
          <w:szCs w:val="22"/>
        </w:rPr>
        <w:tab/>
        <w:t xml:space="preserve">P. Gratia </w:t>
      </w:r>
      <w:r w:rsidRPr="003F3DE8">
        <w:rPr>
          <w:rFonts w:ascii="Aptos" w:hAnsi="Aptos"/>
          <w:i/>
          <w:iCs/>
          <w:sz w:val="22"/>
          <w:szCs w:val="22"/>
        </w:rPr>
        <w:t>et al.</w:t>
      </w:r>
      <w:r w:rsidRPr="003F3DE8">
        <w:rPr>
          <w:rFonts w:ascii="Aptos" w:hAnsi="Aptos"/>
          <w:sz w:val="22"/>
          <w:szCs w:val="22"/>
        </w:rPr>
        <w:t xml:space="preserve">, ‘The Many Faces of Mixed Ion Perovskites: Unraveling and Understanding the Crystallization Process’, </w:t>
      </w:r>
      <w:r w:rsidRPr="003F3DE8">
        <w:rPr>
          <w:rFonts w:ascii="Aptos" w:hAnsi="Aptos"/>
          <w:i/>
          <w:iCs/>
          <w:sz w:val="22"/>
          <w:szCs w:val="22"/>
        </w:rPr>
        <w:t>ACS En</w:t>
      </w:r>
      <w:r w:rsidRPr="007A3F8F">
        <w:rPr>
          <w:rFonts w:ascii="Aptos" w:hAnsi="Aptos"/>
          <w:i/>
          <w:iCs/>
        </w:rPr>
        <w:t>ergy Lett.</w:t>
      </w:r>
      <w:r w:rsidRPr="007A3F8F">
        <w:rPr>
          <w:rFonts w:ascii="Aptos" w:hAnsi="Aptos"/>
        </w:rPr>
        <w:t>, vol. 2, no. 12, pp. 2686–2693, Dec. 2017, doi: 10.1021/acsenergylett.7b00981.</w:t>
      </w:r>
    </w:p>
    <w:p w14:paraId="27FE7D7F" w14:textId="3078541F" w:rsidR="007A3F8F" w:rsidRPr="007A3F8F" w:rsidRDefault="007A3F8F" w:rsidP="007A3F8F">
      <w:pPr>
        <w:tabs>
          <w:tab w:val="left" w:pos="1291"/>
        </w:tabs>
      </w:pPr>
      <w:r>
        <w:fldChar w:fldCharType="end"/>
      </w:r>
    </w:p>
    <w:sectPr w:rsidR="007A3F8F" w:rsidRPr="007A3F8F" w:rsidSect="009A077B">
      <w:headerReference w:type="default" r:id="rId19"/>
      <w:footerReference w:type="default" r:id="rId2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965D9" w14:textId="77777777" w:rsidR="00F23545" w:rsidRDefault="00F23545" w:rsidP="00C5459F">
      <w:pPr>
        <w:spacing w:after="0" w:line="240" w:lineRule="auto"/>
      </w:pPr>
      <w:r>
        <w:separator/>
      </w:r>
    </w:p>
  </w:endnote>
  <w:endnote w:type="continuationSeparator" w:id="0">
    <w:p w14:paraId="5406F033" w14:textId="77777777" w:rsidR="00F23545" w:rsidRDefault="00F23545" w:rsidP="00C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255842"/>
      <w:docPartObj>
        <w:docPartGallery w:val="Page Numbers (Bottom of Page)"/>
        <w:docPartUnique/>
      </w:docPartObj>
    </w:sdtPr>
    <w:sdtEndPr>
      <w:rPr>
        <w:noProof/>
      </w:rPr>
    </w:sdtEndPr>
    <w:sdtContent>
      <w:p w14:paraId="38B5A8B2" w14:textId="2979023B" w:rsidR="003F3DE8" w:rsidRDefault="003F3D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C12030" w14:textId="77777777" w:rsidR="003F3DE8" w:rsidRDefault="003F3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666D" w14:textId="77777777" w:rsidR="00F23545" w:rsidRDefault="00F23545" w:rsidP="00C5459F">
      <w:pPr>
        <w:spacing w:after="0" w:line="240" w:lineRule="auto"/>
      </w:pPr>
      <w:r>
        <w:separator/>
      </w:r>
    </w:p>
  </w:footnote>
  <w:footnote w:type="continuationSeparator" w:id="0">
    <w:p w14:paraId="49563344" w14:textId="77777777" w:rsidR="00F23545" w:rsidRDefault="00F23545" w:rsidP="00C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07C3" w14:textId="64CA2689" w:rsidR="005339E5" w:rsidRPr="003F3DE8" w:rsidRDefault="005339E5" w:rsidP="005339E5">
    <w:pPr>
      <w:pStyle w:val="Header"/>
      <w:jc w:val="center"/>
      <w:rPr>
        <w:sz w:val="28"/>
        <w:szCs w:val="28"/>
      </w:rPr>
    </w:pPr>
    <w:r w:rsidRPr="003F3DE8">
      <w:rPr>
        <w:sz w:val="28"/>
        <w:szCs w:val="28"/>
      </w:rPr>
      <w:t>Supplementary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A4C"/>
    <w:multiLevelType w:val="multilevel"/>
    <w:tmpl w:val="E23255CC"/>
    <w:lvl w:ilvl="0">
      <w:start w:val="4"/>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744223"/>
    <w:multiLevelType w:val="multilevel"/>
    <w:tmpl w:val="DDF0FFC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640191E"/>
    <w:multiLevelType w:val="hybridMultilevel"/>
    <w:tmpl w:val="600051A2"/>
    <w:lvl w:ilvl="0" w:tplc="A9A809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E02DB"/>
    <w:multiLevelType w:val="hybridMultilevel"/>
    <w:tmpl w:val="E75E97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162BAC"/>
    <w:multiLevelType w:val="multilevel"/>
    <w:tmpl w:val="A8542304"/>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372500C"/>
    <w:multiLevelType w:val="hybridMultilevel"/>
    <w:tmpl w:val="5A608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774E7B"/>
    <w:multiLevelType w:val="hybridMultilevel"/>
    <w:tmpl w:val="B83C7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2D69B6"/>
    <w:multiLevelType w:val="hybridMultilevel"/>
    <w:tmpl w:val="66762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3445472">
    <w:abstractNumId w:val="5"/>
  </w:num>
  <w:num w:numId="2" w16cid:durableId="1717003562">
    <w:abstractNumId w:val="2"/>
  </w:num>
  <w:num w:numId="3" w16cid:durableId="726533953">
    <w:abstractNumId w:val="3"/>
  </w:num>
  <w:num w:numId="4" w16cid:durableId="1665283407">
    <w:abstractNumId w:val="6"/>
  </w:num>
  <w:num w:numId="5" w16cid:durableId="630673610">
    <w:abstractNumId w:val="4"/>
  </w:num>
  <w:num w:numId="6" w16cid:durableId="1803618578">
    <w:abstractNumId w:val="0"/>
  </w:num>
  <w:num w:numId="7" w16cid:durableId="2146509945">
    <w:abstractNumId w:val="1"/>
  </w:num>
  <w:num w:numId="8" w16cid:durableId="2101946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9D"/>
    <w:rsid w:val="000002C1"/>
    <w:rsid w:val="00001B31"/>
    <w:rsid w:val="000026F1"/>
    <w:rsid w:val="00002DDA"/>
    <w:rsid w:val="00023E52"/>
    <w:rsid w:val="00024093"/>
    <w:rsid w:val="00040AA8"/>
    <w:rsid w:val="00042E6F"/>
    <w:rsid w:val="000438F7"/>
    <w:rsid w:val="00074D62"/>
    <w:rsid w:val="000822C1"/>
    <w:rsid w:val="0008271C"/>
    <w:rsid w:val="00085733"/>
    <w:rsid w:val="000859BA"/>
    <w:rsid w:val="000B1371"/>
    <w:rsid w:val="000C7DE3"/>
    <w:rsid w:val="000D2DE8"/>
    <w:rsid w:val="000E45CE"/>
    <w:rsid w:val="00110CD5"/>
    <w:rsid w:val="00116491"/>
    <w:rsid w:val="001179FD"/>
    <w:rsid w:val="00135E99"/>
    <w:rsid w:val="001416F6"/>
    <w:rsid w:val="00164AB6"/>
    <w:rsid w:val="00170065"/>
    <w:rsid w:val="00171F66"/>
    <w:rsid w:val="00172207"/>
    <w:rsid w:val="001750F0"/>
    <w:rsid w:val="0017760E"/>
    <w:rsid w:val="00190028"/>
    <w:rsid w:val="001A457A"/>
    <w:rsid w:val="001B422C"/>
    <w:rsid w:val="001B5D9C"/>
    <w:rsid w:val="001B66DE"/>
    <w:rsid w:val="001D225D"/>
    <w:rsid w:val="001D3023"/>
    <w:rsid w:val="001D77C1"/>
    <w:rsid w:val="001E1340"/>
    <w:rsid w:val="001E3B22"/>
    <w:rsid w:val="001E5264"/>
    <w:rsid w:val="001E7EB0"/>
    <w:rsid w:val="0020363B"/>
    <w:rsid w:val="002060C3"/>
    <w:rsid w:val="00207350"/>
    <w:rsid w:val="00215482"/>
    <w:rsid w:val="00215544"/>
    <w:rsid w:val="00245283"/>
    <w:rsid w:val="002604F6"/>
    <w:rsid w:val="00261264"/>
    <w:rsid w:val="00272051"/>
    <w:rsid w:val="002740B0"/>
    <w:rsid w:val="0027649F"/>
    <w:rsid w:val="00276E10"/>
    <w:rsid w:val="00277B73"/>
    <w:rsid w:val="00284DAA"/>
    <w:rsid w:val="002947DC"/>
    <w:rsid w:val="00296220"/>
    <w:rsid w:val="002A2C6A"/>
    <w:rsid w:val="002A54AB"/>
    <w:rsid w:val="002B1F36"/>
    <w:rsid w:val="002B5BF0"/>
    <w:rsid w:val="002C5150"/>
    <w:rsid w:val="002D23E5"/>
    <w:rsid w:val="002E7328"/>
    <w:rsid w:val="0030136A"/>
    <w:rsid w:val="0030488B"/>
    <w:rsid w:val="00312620"/>
    <w:rsid w:val="00324936"/>
    <w:rsid w:val="00327D8E"/>
    <w:rsid w:val="00346B4B"/>
    <w:rsid w:val="00346CFF"/>
    <w:rsid w:val="00352234"/>
    <w:rsid w:val="003674D6"/>
    <w:rsid w:val="003712CE"/>
    <w:rsid w:val="003864DD"/>
    <w:rsid w:val="00390F61"/>
    <w:rsid w:val="003922FD"/>
    <w:rsid w:val="00396E31"/>
    <w:rsid w:val="00397DD5"/>
    <w:rsid w:val="003A059D"/>
    <w:rsid w:val="003C39FB"/>
    <w:rsid w:val="003C5217"/>
    <w:rsid w:val="003D61A8"/>
    <w:rsid w:val="003E01F5"/>
    <w:rsid w:val="003E3566"/>
    <w:rsid w:val="003E4A2D"/>
    <w:rsid w:val="003E546A"/>
    <w:rsid w:val="003F3DE8"/>
    <w:rsid w:val="00416FD5"/>
    <w:rsid w:val="004271E1"/>
    <w:rsid w:val="00433870"/>
    <w:rsid w:val="00434297"/>
    <w:rsid w:val="00435C72"/>
    <w:rsid w:val="00450CC9"/>
    <w:rsid w:val="00451565"/>
    <w:rsid w:val="00460889"/>
    <w:rsid w:val="00464A9C"/>
    <w:rsid w:val="00473EAD"/>
    <w:rsid w:val="00487220"/>
    <w:rsid w:val="00487340"/>
    <w:rsid w:val="00492D4A"/>
    <w:rsid w:val="004A697C"/>
    <w:rsid w:val="004B11B2"/>
    <w:rsid w:val="004B3E0C"/>
    <w:rsid w:val="004D7F3A"/>
    <w:rsid w:val="004E1F46"/>
    <w:rsid w:val="004F0EB6"/>
    <w:rsid w:val="004F2310"/>
    <w:rsid w:val="004F2CF4"/>
    <w:rsid w:val="004F64C1"/>
    <w:rsid w:val="004F64C9"/>
    <w:rsid w:val="0051043E"/>
    <w:rsid w:val="00511D7E"/>
    <w:rsid w:val="005120D5"/>
    <w:rsid w:val="005207BF"/>
    <w:rsid w:val="00522FF4"/>
    <w:rsid w:val="005339E5"/>
    <w:rsid w:val="005351E3"/>
    <w:rsid w:val="00537275"/>
    <w:rsid w:val="00540DA5"/>
    <w:rsid w:val="005654D9"/>
    <w:rsid w:val="00574E8D"/>
    <w:rsid w:val="00577E2F"/>
    <w:rsid w:val="00583335"/>
    <w:rsid w:val="00596FED"/>
    <w:rsid w:val="00597968"/>
    <w:rsid w:val="005A047A"/>
    <w:rsid w:val="005B2863"/>
    <w:rsid w:val="005B6CB5"/>
    <w:rsid w:val="005C3C91"/>
    <w:rsid w:val="005C7B34"/>
    <w:rsid w:val="005E43C7"/>
    <w:rsid w:val="005F27FC"/>
    <w:rsid w:val="00601C6A"/>
    <w:rsid w:val="00611759"/>
    <w:rsid w:val="006176C6"/>
    <w:rsid w:val="0062357D"/>
    <w:rsid w:val="00623A0F"/>
    <w:rsid w:val="006336A7"/>
    <w:rsid w:val="006405B2"/>
    <w:rsid w:val="00641CAC"/>
    <w:rsid w:val="00645397"/>
    <w:rsid w:val="00653CE1"/>
    <w:rsid w:val="0065629A"/>
    <w:rsid w:val="00665244"/>
    <w:rsid w:val="006674D4"/>
    <w:rsid w:val="00680E23"/>
    <w:rsid w:val="00682914"/>
    <w:rsid w:val="0069631F"/>
    <w:rsid w:val="00696DB8"/>
    <w:rsid w:val="006A517C"/>
    <w:rsid w:val="006C1C44"/>
    <w:rsid w:val="006D0A72"/>
    <w:rsid w:val="006D4FD1"/>
    <w:rsid w:val="006D7653"/>
    <w:rsid w:val="006F363A"/>
    <w:rsid w:val="006F76E4"/>
    <w:rsid w:val="00702793"/>
    <w:rsid w:val="00703384"/>
    <w:rsid w:val="00703E38"/>
    <w:rsid w:val="00706C5F"/>
    <w:rsid w:val="0071003C"/>
    <w:rsid w:val="0071693E"/>
    <w:rsid w:val="0071735E"/>
    <w:rsid w:val="007221D5"/>
    <w:rsid w:val="00727800"/>
    <w:rsid w:val="00735D9B"/>
    <w:rsid w:val="00740D1C"/>
    <w:rsid w:val="00751841"/>
    <w:rsid w:val="00756FB4"/>
    <w:rsid w:val="00761C80"/>
    <w:rsid w:val="00763DBA"/>
    <w:rsid w:val="0076670B"/>
    <w:rsid w:val="00780A23"/>
    <w:rsid w:val="0079443C"/>
    <w:rsid w:val="007A3F8F"/>
    <w:rsid w:val="007B569D"/>
    <w:rsid w:val="007C29CF"/>
    <w:rsid w:val="007F17B3"/>
    <w:rsid w:val="00812234"/>
    <w:rsid w:val="0081332A"/>
    <w:rsid w:val="008153D8"/>
    <w:rsid w:val="008179E0"/>
    <w:rsid w:val="008240B9"/>
    <w:rsid w:val="00824B82"/>
    <w:rsid w:val="00824EC4"/>
    <w:rsid w:val="00830FDE"/>
    <w:rsid w:val="008445E1"/>
    <w:rsid w:val="00847514"/>
    <w:rsid w:val="00850335"/>
    <w:rsid w:val="00862786"/>
    <w:rsid w:val="008668AB"/>
    <w:rsid w:val="008A0B37"/>
    <w:rsid w:val="008A12CA"/>
    <w:rsid w:val="008C30E9"/>
    <w:rsid w:val="008D2483"/>
    <w:rsid w:val="008D2930"/>
    <w:rsid w:val="008E5323"/>
    <w:rsid w:val="008F5B31"/>
    <w:rsid w:val="00901B35"/>
    <w:rsid w:val="00903F97"/>
    <w:rsid w:val="009077BE"/>
    <w:rsid w:val="00911363"/>
    <w:rsid w:val="00911CB5"/>
    <w:rsid w:val="00920931"/>
    <w:rsid w:val="00950DF7"/>
    <w:rsid w:val="00971B9F"/>
    <w:rsid w:val="009767BE"/>
    <w:rsid w:val="009A077B"/>
    <w:rsid w:val="009A1131"/>
    <w:rsid w:val="009A52E8"/>
    <w:rsid w:val="009A68B8"/>
    <w:rsid w:val="009B088C"/>
    <w:rsid w:val="009B7320"/>
    <w:rsid w:val="009C557B"/>
    <w:rsid w:val="009D2221"/>
    <w:rsid w:val="009E5F48"/>
    <w:rsid w:val="009F53A2"/>
    <w:rsid w:val="00A0252C"/>
    <w:rsid w:val="00A1014E"/>
    <w:rsid w:val="00A13B16"/>
    <w:rsid w:val="00A26EB0"/>
    <w:rsid w:val="00A3174A"/>
    <w:rsid w:val="00A46043"/>
    <w:rsid w:val="00A62A94"/>
    <w:rsid w:val="00A714C2"/>
    <w:rsid w:val="00AA3B3B"/>
    <w:rsid w:val="00AA61A0"/>
    <w:rsid w:val="00AB1669"/>
    <w:rsid w:val="00AC0288"/>
    <w:rsid w:val="00AC2874"/>
    <w:rsid w:val="00AC6C36"/>
    <w:rsid w:val="00AD4F21"/>
    <w:rsid w:val="00AD5DF3"/>
    <w:rsid w:val="00AE0E74"/>
    <w:rsid w:val="00AE2B65"/>
    <w:rsid w:val="00AF3EBB"/>
    <w:rsid w:val="00AF446F"/>
    <w:rsid w:val="00AF4C86"/>
    <w:rsid w:val="00B000EF"/>
    <w:rsid w:val="00B031AF"/>
    <w:rsid w:val="00B144DE"/>
    <w:rsid w:val="00B21CB0"/>
    <w:rsid w:val="00B25968"/>
    <w:rsid w:val="00B26587"/>
    <w:rsid w:val="00B33A1C"/>
    <w:rsid w:val="00B400D4"/>
    <w:rsid w:val="00B46BCD"/>
    <w:rsid w:val="00B476D4"/>
    <w:rsid w:val="00B62D49"/>
    <w:rsid w:val="00B66284"/>
    <w:rsid w:val="00B67E81"/>
    <w:rsid w:val="00B72BD7"/>
    <w:rsid w:val="00B73D51"/>
    <w:rsid w:val="00B74656"/>
    <w:rsid w:val="00B8449E"/>
    <w:rsid w:val="00B876A8"/>
    <w:rsid w:val="00BC5215"/>
    <w:rsid w:val="00BC59D9"/>
    <w:rsid w:val="00BC69AA"/>
    <w:rsid w:val="00BD1550"/>
    <w:rsid w:val="00BE3C8A"/>
    <w:rsid w:val="00BE46E8"/>
    <w:rsid w:val="00BF69FE"/>
    <w:rsid w:val="00C07232"/>
    <w:rsid w:val="00C2497B"/>
    <w:rsid w:val="00C3368C"/>
    <w:rsid w:val="00C3523C"/>
    <w:rsid w:val="00C36011"/>
    <w:rsid w:val="00C3741B"/>
    <w:rsid w:val="00C4684B"/>
    <w:rsid w:val="00C50CBC"/>
    <w:rsid w:val="00C51325"/>
    <w:rsid w:val="00C51E81"/>
    <w:rsid w:val="00C5459F"/>
    <w:rsid w:val="00C57A9D"/>
    <w:rsid w:val="00C64FFB"/>
    <w:rsid w:val="00C73FEA"/>
    <w:rsid w:val="00C80895"/>
    <w:rsid w:val="00C86F0E"/>
    <w:rsid w:val="00C92594"/>
    <w:rsid w:val="00C95021"/>
    <w:rsid w:val="00CA2F3F"/>
    <w:rsid w:val="00CA3DA8"/>
    <w:rsid w:val="00CA4D7A"/>
    <w:rsid w:val="00CB2047"/>
    <w:rsid w:val="00CB72B4"/>
    <w:rsid w:val="00CC194E"/>
    <w:rsid w:val="00CC66CC"/>
    <w:rsid w:val="00CD56A2"/>
    <w:rsid w:val="00CD5970"/>
    <w:rsid w:val="00CF12F2"/>
    <w:rsid w:val="00D024F2"/>
    <w:rsid w:val="00D074AC"/>
    <w:rsid w:val="00D17E2A"/>
    <w:rsid w:val="00D31A84"/>
    <w:rsid w:val="00D33D87"/>
    <w:rsid w:val="00D3461F"/>
    <w:rsid w:val="00D35E60"/>
    <w:rsid w:val="00D377D4"/>
    <w:rsid w:val="00D477B4"/>
    <w:rsid w:val="00D47DAE"/>
    <w:rsid w:val="00D53E25"/>
    <w:rsid w:val="00D62CE8"/>
    <w:rsid w:val="00D6622C"/>
    <w:rsid w:val="00D75CC8"/>
    <w:rsid w:val="00D97DB5"/>
    <w:rsid w:val="00DA24F3"/>
    <w:rsid w:val="00DB3F55"/>
    <w:rsid w:val="00DC090B"/>
    <w:rsid w:val="00DC47F5"/>
    <w:rsid w:val="00DD0C47"/>
    <w:rsid w:val="00DD60E3"/>
    <w:rsid w:val="00DE3F60"/>
    <w:rsid w:val="00DE7652"/>
    <w:rsid w:val="00DF07C9"/>
    <w:rsid w:val="00DF1083"/>
    <w:rsid w:val="00DF4983"/>
    <w:rsid w:val="00E01422"/>
    <w:rsid w:val="00E03E6E"/>
    <w:rsid w:val="00E047B3"/>
    <w:rsid w:val="00E06699"/>
    <w:rsid w:val="00E11F07"/>
    <w:rsid w:val="00E12043"/>
    <w:rsid w:val="00E1245F"/>
    <w:rsid w:val="00E178BE"/>
    <w:rsid w:val="00E34D29"/>
    <w:rsid w:val="00E35552"/>
    <w:rsid w:val="00E40C84"/>
    <w:rsid w:val="00E43340"/>
    <w:rsid w:val="00E51BD2"/>
    <w:rsid w:val="00E53B28"/>
    <w:rsid w:val="00E53BAB"/>
    <w:rsid w:val="00E74B65"/>
    <w:rsid w:val="00E87620"/>
    <w:rsid w:val="00E94825"/>
    <w:rsid w:val="00EA1F25"/>
    <w:rsid w:val="00EA5078"/>
    <w:rsid w:val="00ED6F55"/>
    <w:rsid w:val="00EE351A"/>
    <w:rsid w:val="00F070DA"/>
    <w:rsid w:val="00F138EF"/>
    <w:rsid w:val="00F23545"/>
    <w:rsid w:val="00F26DCD"/>
    <w:rsid w:val="00F31209"/>
    <w:rsid w:val="00F356DF"/>
    <w:rsid w:val="00F37FF7"/>
    <w:rsid w:val="00F50F3C"/>
    <w:rsid w:val="00F605BB"/>
    <w:rsid w:val="00F674E8"/>
    <w:rsid w:val="00F71536"/>
    <w:rsid w:val="00F75F1C"/>
    <w:rsid w:val="00F82C18"/>
    <w:rsid w:val="00F83CCB"/>
    <w:rsid w:val="00F95FD7"/>
    <w:rsid w:val="00FA4E7A"/>
    <w:rsid w:val="00FB2BFC"/>
    <w:rsid w:val="00FB4AE2"/>
    <w:rsid w:val="00FC0809"/>
    <w:rsid w:val="00FC3746"/>
    <w:rsid w:val="00FC4C63"/>
    <w:rsid w:val="00FD031B"/>
    <w:rsid w:val="00FD537A"/>
    <w:rsid w:val="00FD7DC2"/>
    <w:rsid w:val="00FE23FE"/>
    <w:rsid w:val="00FF3AE9"/>
    <w:rsid w:val="00FF50BE"/>
    <w:rsid w:val="267747C5"/>
    <w:rsid w:val="4AE3F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B3A9"/>
  <w15:chartTrackingRefBased/>
  <w15:docId w15:val="{2B117123-8F38-42B1-866C-C3595007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69D"/>
    <w:rPr>
      <w:rFonts w:eastAsiaTheme="majorEastAsia" w:cstheme="majorBidi"/>
      <w:color w:val="272727" w:themeColor="text1" w:themeTint="D8"/>
    </w:rPr>
  </w:style>
  <w:style w:type="paragraph" w:styleId="Title">
    <w:name w:val="Title"/>
    <w:basedOn w:val="Normal"/>
    <w:next w:val="Normal"/>
    <w:link w:val="TitleChar"/>
    <w:uiPriority w:val="10"/>
    <w:qFormat/>
    <w:rsid w:val="007B5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69D"/>
    <w:pPr>
      <w:spacing w:before="160"/>
      <w:jc w:val="center"/>
    </w:pPr>
    <w:rPr>
      <w:i/>
      <w:iCs/>
      <w:color w:val="404040" w:themeColor="text1" w:themeTint="BF"/>
    </w:rPr>
  </w:style>
  <w:style w:type="character" w:customStyle="1" w:styleId="QuoteChar">
    <w:name w:val="Quote Char"/>
    <w:basedOn w:val="DefaultParagraphFont"/>
    <w:link w:val="Quote"/>
    <w:uiPriority w:val="29"/>
    <w:rsid w:val="007B569D"/>
    <w:rPr>
      <w:i/>
      <w:iCs/>
      <w:color w:val="404040" w:themeColor="text1" w:themeTint="BF"/>
    </w:rPr>
  </w:style>
  <w:style w:type="paragraph" w:styleId="ListParagraph">
    <w:name w:val="List Paragraph"/>
    <w:basedOn w:val="Normal"/>
    <w:uiPriority w:val="34"/>
    <w:qFormat/>
    <w:rsid w:val="007B569D"/>
    <w:pPr>
      <w:ind w:left="720"/>
      <w:contextualSpacing/>
    </w:pPr>
  </w:style>
  <w:style w:type="character" w:styleId="IntenseEmphasis">
    <w:name w:val="Intense Emphasis"/>
    <w:basedOn w:val="DefaultParagraphFont"/>
    <w:uiPriority w:val="21"/>
    <w:qFormat/>
    <w:rsid w:val="007B569D"/>
    <w:rPr>
      <w:i/>
      <w:iCs/>
      <w:color w:val="0F4761" w:themeColor="accent1" w:themeShade="BF"/>
    </w:rPr>
  </w:style>
  <w:style w:type="paragraph" w:styleId="IntenseQuote">
    <w:name w:val="Intense Quote"/>
    <w:basedOn w:val="Normal"/>
    <w:next w:val="Normal"/>
    <w:link w:val="IntenseQuoteChar"/>
    <w:uiPriority w:val="30"/>
    <w:qFormat/>
    <w:rsid w:val="007B5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69D"/>
    <w:rPr>
      <w:i/>
      <w:iCs/>
      <w:color w:val="0F4761" w:themeColor="accent1" w:themeShade="BF"/>
    </w:rPr>
  </w:style>
  <w:style w:type="character" w:styleId="IntenseReference">
    <w:name w:val="Intense Reference"/>
    <w:basedOn w:val="DefaultParagraphFont"/>
    <w:uiPriority w:val="32"/>
    <w:qFormat/>
    <w:rsid w:val="007B569D"/>
    <w:rPr>
      <w:b/>
      <w:bCs/>
      <w:smallCaps/>
      <w:color w:val="0F4761" w:themeColor="accent1" w:themeShade="BF"/>
      <w:spacing w:val="5"/>
    </w:rPr>
  </w:style>
  <w:style w:type="paragraph" w:styleId="Bibliography">
    <w:name w:val="Bibliography"/>
    <w:basedOn w:val="Normal"/>
    <w:next w:val="Normal"/>
    <w:uiPriority w:val="37"/>
    <w:unhideWhenUsed/>
    <w:rsid w:val="009B088C"/>
    <w:pPr>
      <w:tabs>
        <w:tab w:val="left" w:pos="384"/>
      </w:tabs>
      <w:spacing w:after="0" w:line="240" w:lineRule="auto"/>
      <w:ind w:left="384" w:hanging="384"/>
    </w:pPr>
  </w:style>
  <w:style w:type="paragraph" w:styleId="Header">
    <w:name w:val="header"/>
    <w:basedOn w:val="Normal"/>
    <w:link w:val="HeaderChar"/>
    <w:uiPriority w:val="99"/>
    <w:unhideWhenUsed/>
    <w:rsid w:val="00C54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59F"/>
  </w:style>
  <w:style w:type="paragraph" w:styleId="Footer">
    <w:name w:val="footer"/>
    <w:basedOn w:val="Normal"/>
    <w:link w:val="FooterChar"/>
    <w:uiPriority w:val="99"/>
    <w:unhideWhenUsed/>
    <w:rsid w:val="00C54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59F"/>
  </w:style>
  <w:style w:type="table" w:styleId="TableGrid">
    <w:name w:val="Table Grid"/>
    <w:basedOn w:val="TableNormal"/>
    <w:uiPriority w:val="39"/>
    <w:rsid w:val="003E5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E546A"/>
    <w:pPr>
      <w:spacing w:line="240" w:lineRule="auto"/>
    </w:pPr>
    <w:rPr>
      <w:sz w:val="20"/>
      <w:szCs w:val="20"/>
    </w:rPr>
  </w:style>
  <w:style w:type="character" w:customStyle="1" w:styleId="CommentTextChar">
    <w:name w:val="Comment Text Char"/>
    <w:basedOn w:val="DefaultParagraphFont"/>
    <w:link w:val="CommentText"/>
    <w:uiPriority w:val="99"/>
    <w:rsid w:val="003E546A"/>
    <w:rPr>
      <w:sz w:val="20"/>
      <w:szCs w:val="20"/>
    </w:rPr>
  </w:style>
  <w:style w:type="character" w:styleId="CommentReference">
    <w:name w:val="annotation reference"/>
    <w:basedOn w:val="DefaultParagraphFont"/>
    <w:uiPriority w:val="99"/>
    <w:semiHidden/>
    <w:unhideWhenUsed/>
    <w:rsid w:val="003E546A"/>
    <w:rPr>
      <w:sz w:val="16"/>
      <w:szCs w:val="16"/>
    </w:rPr>
  </w:style>
  <w:style w:type="table" w:styleId="PlainTable4">
    <w:name w:val="Plain Table 4"/>
    <w:basedOn w:val="TableNormal"/>
    <w:uiPriority w:val="44"/>
    <w:rsid w:val="00C50CB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434297"/>
    <w:pPr>
      <w:spacing w:after="200" w:line="240" w:lineRule="auto"/>
    </w:pPr>
    <w:rPr>
      <w:i/>
      <w:iCs/>
      <w:color w:val="0E2841" w:themeColor="text2"/>
      <w:sz w:val="18"/>
      <w:szCs w:val="18"/>
    </w:rPr>
  </w:style>
  <w:style w:type="paragraph" w:customStyle="1" w:styleId="SubHead">
    <w:name w:val="SubHead"/>
    <w:basedOn w:val="Normal"/>
    <w:link w:val="SubHeadChar"/>
    <w:qFormat/>
    <w:rsid w:val="00FB4AE2"/>
    <w:pPr>
      <w:spacing w:line="259" w:lineRule="auto"/>
    </w:pPr>
    <w:rPr>
      <w:sz w:val="22"/>
      <w:szCs w:val="22"/>
      <w:lang w:val="en-US"/>
    </w:rPr>
  </w:style>
  <w:style w:type="character" w:customStyle="1" w:styleId="SubHeadChar">
    <w:name w:val="SubHead Char"/>
    <w:basedOn w:val="DefaultParagraphFont"/>
    <w:link w:val="SubHead"/>
    <w:rsid w:val="00FB4AE2"/>
    <w:rPr>
      <w:sz w:val="22"/>
      <w:szCs w:val="22"/>
      <w:lang w:val="en-US"/>
    </w:rPr>
  </w:style>
  <w:style w:type="table" w:styleId="PlainTable2">
    <w:name w:val="Plain Table 2"/>
    <w:basedOn w:val="TableNormal"/>
    <w:uiPriority w:val="42"/>
    <w:rsid w:val="00492D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473E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4AE3FD4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jjadt@lsbu.ac.uk"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m.jalebi@ucl.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t360@cam.ac.uk"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4EEB0-3F8D-4AC9-B460-83025C15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2683</Words>
  <Characters>15297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Rajapaksha Mudiyanselage Himal Widooshak Muwanwella</dc:creator>
  <cp:keywords/>
  <dc:description/>
  <cp:lastModifiedBy>Tariq Sajjad</cp:lastModifiedBy>
  <cp:revision>3</cp:revision>
  <dcterms:created xsi:type="dcterms:W3CDTF">2026-02-15T20:20:00Z</dcterms:created>
  <dcterms:modified xsi:type="dcterms:W3CDTF">2026-02-15T20:53:00Z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id="h6a4MiIv"/&gt;&lt;style id="http://www.zotero.org/styles/ieee" locale="en-GB"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