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5A277" w14:textId="77777777" w:rsidR="00BA3C6E" w:rsidRDefault="00BA3C6E" w:rsidP="00BA3C6E">
      <w:pPr>
        <w:pStyle w:val="Heading1"/>
        <w:spacing w:line="360" w:lineRule="auto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Supplementary information</w:t>
      </w:r>
    </w:p>
    <w:p w14:paraId="4AB6949C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1: </w:t>
      </w:r>
      <w:r>
        <w:t>Table S1. Complete genome-wide co-expression rankings for PELO, LTN1, and NEMF in Brain–Frontal Cortex (BA9). (CSV)</w:t>
      </w:r>
    </w:p>
    <w:p w14:paraId="596FF54B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2: </w:t>
      </w:r>
      <w:r>
        <w:t>Table S2. Full Gene Ontology and Reactome enrichment results for all gene sets analyzed. (CSV)</w:t>
      </w:r>
    </w:p>
    <w:p w14:paraId="3722292B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3: </w:t>
      </w:r>
      <w:r>
        <w:t>Table S3. Custom gene set enrichment results across all five brain regions, including sensitivity analyses. (CSV)</w:t>
      </w:r>
    </w:p>
    <w:p w14:paraId="3492382E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4: </w:t>
      </w:r>
      <w:r>
        <w:t>Table S4. Complete list of 166 genes shared by all three RQC component top 5% co-expression networks. (CSV)</w:t>
      </w:r>
    </w:p>
    <w:p w14:paraId="68820337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5: </w:t>
      </w:r>
      <w:r>
        <w:t>Table S5. Permutation null distribution of Jaccard indices (10,000 random gene pairs). (CSV)</w:t>
      </w:r>
    </w:p>
    <w:p w14:paraId="5EC25242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6: </w:t>
      </w:r>
      <w:r>
        <w:t>Table S6. Complete pairwise cross-region Spearman rank correlations for all 30 region pairs (10 per gene), with sample sizes and threshold classification. (CSV)</w:t>
      </w:r>
    </w:p>
    <w:p w14:paraId="5FDAA2CA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7: </w:t>
      </w:r>
      <w:r>
        <w:t>Table S7. Bootstrap 95% confidence intervals for Jaccard indices and Spearman rank correlations (1,000 resamples). (CSV)</w:t>
      </w:r>
    </w:p>
    <w:p w14:paraId="61A4000A" w14:textId="77777777" w:rsidR="00BA3C6E" w:rsidRDefault="00BA3C6E" w:rsidP="00BA3C6E">
      <w:pPr>
        <w:spacing w:after="200" w:line="360" w:lineRule="auto"/>
        <w:jc w:val="both"/>
      </w:pPr>
      <w:r>
        <w:rPr>
          <w:b/>
          <w:bCs/>
        </w:rPr>
        <w:t xml:space="preserve">Additional file 8: </w:t>
      </w:r>
      <w:r>
        <w:t>Table S8. Threshold sensitivity analysis: Jaccard indices and partition ratios across eight network thresholds (1–20%). (CSV)</w:t>
      </w:r>
    </w:p>
    <w:p w14:paraId="78D439F9" w14:textId="77777777" w:rsidR="009542D6" w:rsidRDefault="009542D6"/>
    <w:sectPr w:rsidR="009542D6" w:rsidSect="00BA3C6E">
      <w:headerReference w:type="default" r:id="rId4"/>
      <w:footerReference w:type="default" r:id="rId5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1242B" w14:textId="77777777" w:rsidR="00BA3C6E" w:rsidRDefault="00BA3C6E"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2659C" w14:textId="77777777" w:rsidR="00BA3C6E" w:rsidRDefault="00BA3C6E">
    <w:pPr>
      <w:jc w:val="right"/>
    </w:pPr>
    <w:r>
      <w:rPr>
        <w:i/>
        <w:iCs/>
        <w:color w:val="888888"/>
        <w:sz w:val="18"/>
        <w:szCs w:val="18"/>
      </w:rPr>
      <w:t>Harbert — RQC two-module architecture in human brain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C6E"/>
    <w:rsid w:val="001465F4"/>
    <w:rsid w:val="00264C10"/>
    <w:rsid w:val="00470242"/>
    <w:rsid w:val="00726E03"/>
    <w:rsid w:val="009542D6"/>
    <w:rsid w:val="00BA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B7A56"/>
  <w15:chartTrackingRefBased/>
  <w15:docId w15:val="{E2B3CFB4-34F6-46EC-91B3-C47251610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C6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3C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C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C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C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C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C6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C6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C6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C6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C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C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C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C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C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C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C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3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C6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3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C6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3C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C6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3C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C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C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956</Characters>
  <Application>Microsoft Office Word</Application>
  <DocSecurity>0</DocSecurity>
  <Lines>16</Lines>
  <Paragraphs>5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2026-02-26T17:22:00Z</dcterms:created>
  <dcterms:modified xsi:type="dcterms:W3CDTF">2026-02-26T17:22:00Z</dcterms:modified>
</cp:coreProperties>
</file>