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0C9CF" w14:textId="77777777" w:rsidR="00DB288E" w:rsidRPr="00CE7C5E" w:rsidRDefault="00DB288E" w:rsidP="001A5613">
      <w:pPr>
        <w:pStyle w:val="Title"/>
        <w:spacing w:line="360" w:lineRule="auto"/>
        <w:jc w:val="center"/>
      </w:pPr>
      <w:bookmarkStart w:id="0" w:name="_tcm7ap6p91yn" w:colFirst="0" w:colLast="0"/>
      <w:bookmarkEnd w:id="0"/>
      <w:r w:rsidRPr="00CE7C5E">
        <w:t>Meat</w:t>
      </w:r>
      <w:r w:rsidRPr="00CE7C5E">
        <w:rPr>
          <w:rFonts w:eastAsia="Times New Roman"/>
        </w:rPr>
        <w:t xml:space="preserve"> </w:t>
      </w:r>
      <w:r w:rsidRPr="00CE7C5E">
        <w:t>intake</w:t>
      </w:r>
      <w:r w:rsidRPr="00CE7C5E">
        <w:rPr>
          <w:rFonts w:eastAsia="Times New Roman"/>
        </w:rPr>
        <w:t xml:space="preserve"> frequency and its associations with incident dementia </w:t>
      </w:r>
      <w:r w:rsidRPr="00CE7C5E">
        <w:t>and cognitive performance</w:t>
      </w:r>
      <w:r w:rsidRPr="00CE7C5E">
        <w:rPr>
          <w:rFonts w:eastAsia="Times New Roman"/>
        </w:rPr>
        <w:t xml:space="preserve">: </w:t>
      </w:r>
      <w:r w:rsidRPr="00CE7C5E">
        <w:t>F</w:t>
      </w:r>
      <w:r w:rsidRPr="00CE7C5E">
        <w:rPr>
          <w:rFonts w:eastAsia="Times New Roman"/>
        </w:rPr>
        <w:t>indings from the UK Biobank</w:t>
      </w:r>
    </w:p>
    <w:p w14:paraId="28DACF36" w14:textId="77777777" w:rsidR="00DB288E" w:rsidRPr="00CE7C5E" w:rsidRDefault="00DB288E" w:rsidP="001A5613">
      <w:pPr>
        <w:spacing w:line="360" w:lineRule="auto"/>
      </w:pPr>
    </w:p>
    <w:p w14:paraId="6D4C0941" w14:textId="77777777" w:rsidR="00DB288E" w:rsidRPr="00CE7C5E" w:rsidRDefault="00DB288E" w:rsidP="001A5613">
      <w:pPr>
        <w:spacing w:line="360" w:lineRule="auto"/>
      </w:pPr>
      <w:r w:rsidRPr="00CE7C5E">
        <w:t>Johannes Volkmer</w:t>
      </w:r>
      <w:r w:rsidRPr="00CE7C5E">
        <w:rPr>
          <w:vertAlign w:val="superscript"/>
        </w:rPr>
        <w:t>1,2</w:t>
      </w:r>
      <w:r w:rsidRPr="00CE7C5E">
        <w:t>, Lisa Reisinger</w:t>
      </w:r>
      <w:r w:rsidRPr="00CE7C5E">
        <w:rPr>
          <w:vertAlign w:val="superscript"/>
        </w:rPr>
        <w:t>1,2</w:t>
      </w:r>
      <w:r w:rsidRPr="00CE7C5E">
        <w:t>, Nathan Weisz</w:t>
      </w:r>
      <w:r w:rsidRPr="00CE7C5E">
        <w:rPr>
          <w:vertAlign w:val="superscript"/>
        </w:rPr>
        <w:t>1,2,3</w:t>
      </w:r>
      <w:r w:rsidRPr="00CE7C5E">
        <w:t>, Ya-Ping Chen</w:t>
      </w:r>
      <w:r w:rsidRPr="00CE7C5E">
        <w:rPr>
          <w:vertAlign w:val="superscript"/>
        </w:rPr>
        <w:t>1,2*</w:t>
      </w:r>
    </w:p>
    <w:p w14:paraId="190BFD20" w14:textId="77777777" w:rsidR="00DB288E" w:rsidRPr="00CE7C5E" w:rsidRDefault="00DB288E" w:rsidP="001A5613">
      <w:pPr>
        <w:spacing w:line="360" w:lineRule="auto"/>
      </w:pPr>
    </w:p>
    <w:p w14:paraId="7BFA677F" w14:textId="77777777" w:rsidR="00DB288E" w:rsidRPr="007F7B59" w:rsidRDefault="00DB288E" w:rsidP="001A5613">
      <w:pPr>
        <w:spacing w:line="360" w:lineRule="auto"/>
        <w:rPr>
          <w:rFonts w:hint="eastAsia"/>
        </w:rPr>
      </w:pPr>
      <w:r>
        <w:t>1</w:t>
      </w:r>
      <w:r w:rsidRPr="00CE7C5E">
        <w:t>. Department of Psychology, University of Salzburg, Salzburg, Austria</w:t>
      </w:r>
    </w:p>
    <w:p w14:paraId="50618027" w14:textId="77777777" w:rsidR="00DB288E" w:rsidRPr="00CE7C5E" w:rsidRDefault="00DB288E" w:rsidP="001A5613">
      <w:pPr>
        <w:spacing w:line="360" w:lineRule="auto"/>
      </w:pPr>
      <w:r>
        <w:t>2</w:t>
      </w:r>
      <w:r w:rsidRPr="00CE7C5E">
        <w:t>. Centre for Cognitive Neuroscience, University of Salzburg, Salzburg, Austria</w:t>
      </w:r>
    </w:p>
    <w:p w14:paraId="477E2C50" w14:textId="77777777" w:rsidR="00DB288E" w:rsidRPr="00CE7C5E" w:rsidRDefault="00DB288E" w:rsidP="001A5613">
      <w:pPr>
        <w:spacing w:line="360" w:lineRule="auto"/>
        <w:ind w:left="283" w:hanging="285"/>
      </w:pPr>
      <w:r w:rsidRPr="00CE7C5E">
        <w:t>3. Neuroscience Institute, Christian Doppler University Hospital, Paracelsus Medical University, Salzburg, Austria</w:t>
      </w:r>
    </w:p>
    <w:p w14:paraId="4E76D23A" w14:textId="77777777" w:rsidR="00DB288E" w:rsidRPr="00CE7C5E" w:rsidRDefault="00DB288E" w:rsidP="001A5613">
      <w:pPr>
        <w:spacing w:line="360" w:lineRule="auto"/>
        <w:ind w:left="-1"/>
      </w:pPr>
    </w:p>
    <w:p w14:paraId="3F6BDAC1" w14:textId="77777777" w:rsidR="00DB288E" w:rsidRPr="00CE7C5E" w:rsidRDefault="00DB288E" w:rsidP="001A5613">
      <w:pPr>
        <w:spacing w:line="360" w:lineRule="auto"/>
      </w:pPr>
      <w:r w:rsidRPr="00CE7C5E">
        <w:t>* Corresponding author: ya-ping.chen@plus.ac.at</w:t>
      </w:r>
    </w:p>
    <w:p w14:paraId="6F017EB5" w14:textId="5184AFEC" w:rsidR="00DB288E" w:rsidRDefault="00DB288E">
      <w:pPr>
        <w:spacing w:after="200"/>
      </w:pPr>
    </w:p>
    <w:sdt>
      <w:sdtPr>
        <w:id w:val="1540245868"/>
        <w:docPartObj>
          <w:docPartGallery w:val="Table of Contents"/>
          <w:docPartUnique/>
        </w:docPartObj>
      </w:sdtPr>
      <w:sdtEndPr>
        <w:rPr>
          <w:b/>
          <w:bCs/>
          <w:noProof/>
          <w:sz w:val="24"/>
          <w:szCs w:val="24"/>
        </w:rPr>
      </w:sdtEndPr>
      <w:sdtContent>
        <w:p w14:paraId="0E0E74B7" w14:textId="2A23790C" w:rsidR="004B3BC9" w:rsidRDefault="004B3BC9" w:rsidP="00412BBF">
          <w:pPr>
            <w:pStyle w:val="TOCHeading"/>
          </w:pPr>
          <w:r>
            <w:t>Table of Contents</w:t>
          </w:r>
        </w:p>
        <w:p w14:paraId="715E7AA1" w14:textId="6D8E9B5B" w:rsidR="00563BFB" w:rsidRDefault="004B3BC9">
          <w:pPr>
            <w:pStyle w:val="TOC1"/>
            <w:tabs>
              <w:tab w:val="right" w:leader="dot" w:pos="9962"/>
            </w:tabs>
            <w:rPr>
              <w:rFonts w:eastAsiaTheme="minorEastAsia" w:cstheme="minorBidi"/>
              <w:b w:val="0"/>
              <w:bCs w:val="0"/>
              <w:i w:val="0"/>
              <w:iCs w:val="0"/>
              <w:noProof/>
              <w:kern w:val="2"/>
            </w:rPr>
          </w:pPr>
          <w:r>
            <w:rPr>
              <w:b w:val="0"/>
              <w:bCs w:val="0"/>
            </w:rPr>
            <w:fldChar w:fldCharType="begin"/>
          </w:r>
          <w:r>
            <w:instrText xml:space="preserve"> TOC \o "1-3" \h \z \u </w:instrText>
          </w:r>
          <w:r>
            <w:rPr>
              <w:b w:val="0"/>
              <w:bCs w:val="0"/>
            </w:rPr>
            <w:fldChar w:fldCharType="separate"/>
          </w:r>
          <w:hyperlink w:anchor="_Toc222048263" w:history="1">
            <w:r w:rsidR="00563BFB" w:rsidRPr="00786578">
              <w:rPr>
                <w:rStyle w:val="Hyperlink"/>
                <w:noProof/>
              </w:rPr>
              <w:t>Supplementary Methods</w:t>
            </w:r>
            <w:r w:rsidR="00563BFB">
              <w:rPr>
                <w:noProof/>
                <w:webHidden/>
              </w:rPr>
              <w:tab/>
            </w:r>
            <w:r w:rsidR="00563BFB">
              <w:rPr>
                <w:noProof/>
                <w:webHidden/>
              </w:rPr>
              <w:fldChar w:fldCharType="begin"/>
            </w:r>
            <w:r w:rsidR="00563BFB">
              <w:rPr>
                <w:noProof/>
                <w:webHidden/>
              </w:rPr>
              <w:instrText xml:space="preserve"> PAGEREF _Toc222048263 \h </w:instrText>
            </w:r>
            <w:r w:rsidR="00563BFB">
              <w:rPr>
                <w:noProof/>
                <w:webHidden/>
              </w:rPr>
            </w:r>
            <w:r w:rsidR="00563BFB">
              <w:rPr>
                <w:noProof/>
                <w:webHidden/>
              </w:rPr>
              <w:fldChar w:fldCharType="separate"/>
            </w:r>
            <w:r w:rsidR="00563BFB">
              <w:rPr>
                <w:noProof/>
                <w:webHidden/>
              </w:rPr>
              <w:t>2</w:t>
            </w:r>
            <w:r w:rsidR="00563BFB">
              <w:rPr>
                <w:noProof/>
                <w:webHidden/>
              </w:rPr>
              <w:fldChar w:fldCharType="end"/>
            </w:r>
          </w:hyperlink>
        </w:p>
        <w:p w14:paraId="509357DE" w14:textId="7DD6CBF9" w:rsidR="00563BFB" w:rsidRDefault="00563BFB">
          <w:pPr>
            <w:pStyle w:val="TOC2"/>
            <w:tabs>
              <w:tab w:val="right" w:leader="dot" w:pos="9962"/>
            </w:tabs>
            <w:rPr>
              <w:rFonts w:eastAsiaTheme="minorEastAsia" w:cstheme="minorBidi"/>
              <w:b w:val="0"/>
              <w:bCs w:val="0"/>
              <w:noProof/>
              <w:kern w:val="2"/>
              <w:sz w:val="24"/>
              <w:szCs w:val="24"/>
            </w:rPr>
          </w:pPr>
          <w:hyperlink w:anchor="_Toc222048264" w:history="1">
            <w:r w:rsidRPr="00786578">
              <w:rPr>
                <w:rStyle w:val="Hyperlink"/>
                <w:noProof/>
              </w:rPr>
              <w:t>1. Determination of the minimal adjustment set</w:t>
            </w:r>
            <w:r>
              <w:rPr>
                <w:noProof/>
                <w:webHidden/>
              </w:rPr>
              <w:tab/>
            </w:r>
            <w:r>
              <w:rPr>
                <w:noProof/>
                <w:webHidden/>
              </w:rPr>
              <w:fldChar w:fldCharType="begin"/>
            </w:r>
            <w:r>
              <w:rPr>
                <w:noProof/>
                <w:webHidden/>
              </w:rPr>
              <w:instrText xml:space="preserve"> PAGEREF _Toc222048264 \h </w:instrText>
            </w:r>
            <w:r>
              <w:rPr>
                <w:noProof/>
                <w:webHidden/>
              </w:rPr>
            </w:r>
            <w:r>
              <w:rPr>
                <w:noProof/>
                <w:webHidden/>
              </w:rPr>
              <w:fldChar w:fldCharType="separate"/>
            </w:r>
            <w:r>
              <w:rPr>
                <w:noProof/>
                <w:webHidden/>
              </w:rPr>
              <w:t>2</w:t>
            </w:r>
            <w:r>
              <w:rPr>
                <w:noProof/>
                <w:webHidden/>
              </w:rPr>
              <w:fldChar w:fldCharType="end"/>
            </w:r>
          </w:hyperlink>
        </w:p>
        <w:p w14:paraId="3F9EB059" w14:textId="610E2513" w:rsidR="00563BFB" w:rsidRDefault="00563BFB">
          <w:pPr>
            <w:pStyle w:val="TOC2"/>
            <w:tabs>
              <w:tab w:val="right" w:leader="dot" w:pos="9962"/>
            </w:tabs>
            <w:rPr>
              <w:rFonts w:eastAsiaTheme="minorEastAsia" w:cstheme="minorBidi"/>
              <w:b w:val="0"/>
              <w:bCs w:val="0"/>
              <w:noProof/>
              <w:kern w:val="2"/>
              <w:sz w:val="24"/>
              <w:szCs w:val="24"/>
            </w:rPr>
          </w:pPr>
          <w:hyperlink w:anchor="_Toc222048265" w:history="1">
            <w:r w:rsidRPr="00786578">
              <w:rPr>
                <w:rStyle w:val="Hyperlink"/>
                <w:noProof/>
              </w:rPr>
              <w:t>2. Covariates</w:t>
            </w:r>
            <w:r>
              <w:rPr>
                <w:noProof/>
                <w:webHidden/>
              </w:rPr>
              <w:tab/>
            </w:r>
            <w:r>
              <w:rPr>
                <w:noProof/>
                <w:webHidden/>
              </w:rPr>
              <w:fldChar w:fldCharType="begin"/>
            </w:r>
            <w:r>
              <w:rPr>
                <w:noProof/>
                <w:webHidden/>
              </w:rPr>
              <w:instrText xml:space="preserve"> PAGEREF _Toc222048265 \h </w:instrText>
            </w:r>
            <w:r>
              <w:rPr>
                <w:noProof/>
                <w:webHidden/>
              </w:rPr>
            </w:r>
            <w:r>
              <w:rPr>
                <w:noProof/>
                <w:webHidden/>
              </w:rPr>
              <w:fldChar w:fldCharType="separate"/>
            </w:r>
            <w:r>
              <w:rPr>
                <w:noProof/>
                <w:webHidden/>
              </w:rPr>
              <w:t>4</w:t>
            </w:r>
            <w:r>
              <w:rPr>
                <w:noProof/>
                <w:webHidden/>
              </w:rPr>
              <w:fldChar w:fldCharType="end"/>
            </w:r>
          </w:hyperlink>
        </w:p>
        <w:p w14:paraId="45E011DC" w14:textId="65934CB1" w:rsidR="00563BFB" w:rsidRDefault="00563BFB">
          <w:pPr>
            <w:pStyle w:val="TOC3"/>
            <w:tabs>
              <w:tab w:val="right" w:leader="dot" w:pos="9962"/>
            </w:tabs>
            <w:rPr>
              <w:rFonts w:eastAsiaTheme="minorEastAsia" w:cstheme="minorBidi"/>
              <w:noProof/>
              <w:kern w:val="2"/>
              <w:sz w:val="24"/>
              <w:szCs w:val="24"/>
            </w:rPr>
          </w:pPr>
          <w:hyperlink w:anchor="_Toc222048266" w:history="1">
            <w:r w:rsidRPr="00786578">
              <w:rPr>
                <w:rStyle w:val="Hyperlink"/>
                <w:noProof/>
              </w:rPr>
              <w:t>2.1 Dietary variables</w:t>
            </w:r>
            <w:r>
              <w:rPr>
                <w:noProof/>
                <w:webHidden/>
              </w:rPr>
              <w:tab/>
            </w:r>
            <w:r>
              <w:rPr>
                <w:noProof/>
                <w:webHidden/>
              </w:rPr>
              <w:fldChar w:fldCharType="begin"/>
            </w:r>
            <w:r>
              <w:rPr>
                <w:noProof/>
                <w:webHidden/>
              </w:rPr>
              <w:instrText xml:space="preserve"> PAGEREF _Toc222048266 \h </w:instrText>
            </w:r>
            <w:r>
              <w:rPr>
                <w:noProof/>
                <w:webHidden/>
              </w:rPr>
            </w:r>
            <w:r>
              <w:rPr>
                <w:noProof/>
                <w:webHidden/>
              </w:rPr>
              <w:fldChar w:fldCharType="separate"/>
            </w:r>
            <w:r>
              <w:rPr>
                <w:noProof/>
                <w:webHidden/>
              </w:rPr>
              <w:t>4</w:t>
            </w:r>
            <w:r>
              <w:rPr>
                <w:noProof/>
                <w:webHidden/>
              </w:rPr>
              <w:fldChar w:fldCharType="end"/>
            </w:r>
          </w:hyperlink>
        </w:p>
        <w:p w14:paraId="401A025C" w14:textId="4DE22AC3" w:rsidR="00563BFB" w:rsidRDefault="00563BFB">
          <w:pPr>
            <w:pStyle w:val="TOC3"/>
            <w:tabs>
              <w:tab w:val="right" w:leader="dot" w:pos="9962"/>
            </w:tabs>
            <w:rPr>
              <w:rFonts w:eastAsiaTheme="minorEastAsia" w:cstheme="minorBidi"/>
              <w:noProof/>
              <w:kern w:val="2"/>
              <w:sz w:val="24"/>
              <w:szCs w:val="24"/>
            </w:rPr>
          </w:pPr>
          <w:hyperlink w:anchor="_Toc222048267" w:history="1">
            <w:r w:rsidRPr="00786578">
              <w:rPr>
                <w:rStyle w:val="Hyperlink"/>
                <w:noProof/>
              </w:rPr>
              <w:t>2.2 Socio-demographics</w:t>
            </w:r>
            <w:r>
              <w:rPr>
                <w:noProof/>
                <w:webHidden/>
              </w:rPr>
              <w:tab/>
            </w:r>
            <w:r>
              <w:rPr>
                <w:noProof/>
                <w:webHidden/>
              </w:rPr>
              <w:fldChar w:fldCharType="begin"/>
            </w:r>
            <w:r>
              <w:rPr>
                <w:noProof/>
                <w:webHidden/>
              </w:rPr>
              <w:instrText xml:space="preserve"> PAGEREF _Toc222048267 \h </w:instrText>
            </w:r>
            <w:r>
              <w:rPr>
                <w:noProof/>
                <w:webHidden/>
              </w:rPr>
            </w:r>
            <w:r>
              <w:rPr>
                <w:noProof/>
                <w:webHidden/>
              </w:rPr>
              <w:fldChar w:fldCharType="separate"/>
            </w:r>
            <w:r>
              <w:rPr>
                <w:noProof/>
                <w:webHidden/>
              </w:rPr>
              <w:t>5</w:t>
            </w:r>
            <w:r>
              <w:rPr>
                <w:noProof/>
                <w:webHidden/>
              </w:rPr>
              <w:fldChar w:fldCharType="end"/>
            </w:r>
          </w:hyperlink>
        </w:p>
        <w:p w14:paraId="40D94A4E" w14:textId="74F68887" w:rsidR="00563BFB" w:rsidRDefault="00563BFB">
          <w:pPr>
            <w:pStyle w:val="TOC3"/>
            <w:tabs>
              <w:tab w:val="right" w:leader="dot" w:pos="9962"/>
            </w:tabs>
            <w:rPr>
              <w:rFonts w:eastAsiaTheme="minorEastAsia" w:cstheme="minorBidi"/>
              <w:noProof/>
              <w:kern w:val="2"/>
              <w:sz w:val="24"/>
              <w:szCs w:val="24"/>
            </w:rPr>
          </w:pPr>
          <w:hyperlink w:anchor="_Toc222048268" w:history="1">
            <w:r w:rsidRPr="00786578">
              <w:rPr>
                <w:rStyle w:val="Hyperlink"/>
                <w:noProof/>
              </w:rPr>
              <w:t>2.3 Lifestyle related and other covariates</w:t>
            </w:r>
            <w:r>
              <w:rPr>
                <w:noProof/>
                <w:webHidden/>
              </w:rPr>
              <w:tab/>
            </w:r>
            <w:r>
              <w:rPr>
                <w:noProof/>
                <w:webHidden/>
              </w:rPr>
              <w:fldChar w:fldCharType="begin"/>
            </w:r>
            <w:r>
              <w:rPr>
                <w:noProof/>
                <w:webHidden/>
              </w:rPr>
              <w:instrText xml:space="preserve"> PAGEREF _Toc222048268 \h </w:instrText>
            </w:r>
            <w:r>
              <w:rPr>
                <w:noProof/>
                <w:webHidden/>
              </w:rPr>
            </w:r>
            <w:r>
              <w:rPr>
                <w:noProof/>
                <w:webHidden/>
              </w:rPr>
              <w:fldChar w:fldCharType="separate"/>
            </w:r>
            <w:r>
              <w:rPr>
                <w:noProof/>
                <w:webHidden/>
              </w:rPr>
              <w:t>6</w:t>
            </w:r>
            <w:r>
              <w:rPr>
                <w:noProof/>
                <w:webHidden/>
              </w:rPr>
              <w:fldChar w:fldCharType="end"/>
            </w:r>
          </w:hyperlink>
        </w:p>
        <w:p w14:paraId="6B0465BB" w14:textId="2A35DE91" w:rsidR="00563BFB" w:rsidRDefault="00563BFB">
          <w:pPr>
            <w:pStyle w:val="TOC1"/>
            <w:tabs>
              <w:tab w:val="right" w:leader="dot" w:pos="9962"/>
            </w:tabs>
            <w:rPr>
              <w:rFonts w:eastAsiaTheme="minorEastAsia" w:cstheme="minorBidi"/>
              <w:b w:val="0"/>
              <w:bCs w:val="0"/>
              <w:i w:val="0"/>
              <w:iCs w:val="0"/>
              <w:noProof/>
              <w:kern w:val="2"/>
            </w:rPr>
          </w:pPr>
          <w:hyperlink w:anchor="_Toc222048269" w:history="1">
            <w:r w:rsidRPr="00786578">
              <w:rPr>
                <w:rStyle w:val="Hyperlink"/>
                <w:noProof/>
              </w:rPr>
              <w:t>Supplementary Figure 1</w:t>
            </w:r>
            <w:r>
              <w:rPr>
                <w:noProof/>
                <w:webHidden/>
              </w:rPr>
              <w:tab/>
            </w:r>
            <w:r>
              <w:rPr>
                <w:noProof/>
                <w:webHidden/>
              </w:rPr>
              <w:fldChar w:fldCharType="begin"/>
            </w:r>
            <w:r>
              <w:rPr>
                <w:noProof/>
                <w:webHidden/>
              </w:rPr>
              <w:instrText xml:space="preserve"> PAGEREF _Toc222048269 \h </w:instrText>
            </w:r>
            <w:r>
              <w:rPr>
                <w:noProof/>
                <w:webHidden/>
              </w:rPr>
            </w:r>
            <w:r>
              <w:rPr>
                <w:noProof/>
                <w:webHidden/>
              </w:rPr>
              <w:fldChar w:fldCharType="separate"/>
            </w:r>
            <w:r>
              <w:rPr>
                <w:noProof/>
                <w:webHidden/>
              </w:rPr>
              <w:t>9</w:t>
            </w:r>
            <w:r>
              <w:rPr>
                <w:noProof/>
                <w:webHidden/>
              </w:rPr>
              <w:fldChar w:fldCharType="end"/>
            </w:r>
          </w:hyperlink>
        </w:p>
        <w:p w14:paraId="22BF9725" w14:textId="0CCADF1D" w:rsidR="00563BFB" w:rsidRDefault="00563BFB">
          <w:pPr>
            <w:pStyle w:val="TOC1"/>
            <w:tabs>
              <w:tab w:val="right" w:leader="dot" w:pos="9962"/>
            </w:tabs>
            <w:rPr>
              <w:rFonts w:eastAsiaTheme="minorEastAsia" w:cstheme="minorBidi"/>
              <w:b w:val="0"/>
              <w:bCs w:val="0"/>
              <w:i w:val="0"/>
              <w:iCs w:val="0"/>
              <w:noProof/>
              <w:kern w:val="2"/>
            </w:rPr>
          </w:pPr>
          <w:hyperlink w:anchor="_Toc222048270" w:history="1">
            <w:r w:rsidRPr="00786578">
              <w:rPr>
                <w:rStyle w:val="Hyperlink"/>
                <w:noProof/>
              </w:rPr>
              <w:t>Supplementary Tables</w:t>
            </w:r>
            <w:r>
              <w:rPr>
                <w:noProof/>
                <w:webHidden/>
              </w:rPr>
              <w:tab/>
            </w:r>
            <w:r>
              <w:rPr>
                <w:noProof/>
                <w:webHidden/>
              </w:rPr>
              <w:fldChar w:fldCharType="begin"/>
            </w:r>
            <w:r>
              <w:rPr>
                <w:noProof/>
                <w:webHidden/>
              </w:rPr>
              <w:instrText xml:space="preserve"> PAGEREF _Toc222048270 \h </w:instrText>
            </w:r>
            <w:r>
              <w:rPr>
                <w:noProof/>
                <w:webHidden/>
              </w:rPr>
            </w:r>
            <w:r>
              <w:rPr>
                <w:noProof/>
                <w:webHidden/>
              </w:rPr>
              <w:fldChar w:fldCharType="separate"/>
            </w:r>
            <w:r>
              <w:rPr>
                <w:noProof/>
                <w:webHidden/>
              </w:rPr>
              <w:t>10</w:t>
            </w:r>
            <w:r>
              <w:rPr>
                <w:noProof/>
                <w:webHidden/>
              </w:rPr>
              <w:fldChar w:fldCharType="end"/>
            </w:r>
          </w:hyperlink>
        </w:p>
        <w:p w14:paraId="5BA03724" w14:textId="038DC8D6" w:rsidR="004B3BC9" w:rsidRDefault="004B3BC9">
          <w:r>
            <w:rPr>
              <w:b/>
              <w:bCs/>
              <w:noProof/>
            </w:rPr>
            <w:fldChar w:fldCharType="end"/>
          </w:r>
        </w:p>
      </w:sdtContent>
    </w:sdt>
    <w:p w14:paraId="6A5DE279" w14:textId="77777777" w:rsidR="001A5613" w:rsidRDefault="001A5613">
      <w:pPr>
        <w:spacing w:after="200"/>
        <w:rPr>
          <w:rFonts w:hint="eastAsia"/>
        </w:rPr>
      </w:pPr>
    </w:p>
    <w:p w14:paraId="3FF9E5C9" w14:textId="25E22065" w:rsidR="00DB288E" w:rsidRDefault="00DB288E">
      <w:pPr>
        <w:spacing w:after="200"/>
        <w:rPr>
          <w:rFonts w:eastAsiaTheme="majorEastAsia"/>
          <w:sz w:val="36"/>
          <w:szCs w:val="36"/>
          <w:lang w:eastAsia="en-US"/>
        </w:rPr>
      </w:pPr>
      <w:r>
        <w:br w:type="page"/>
      </w:r>
    </w:p>
    <w:p w14:paraId="54347CD9" w14:textId="6D3C1148" w:rsidR="00FC33BE" w:rsidRPr="00412BBF" w:rsidRDefault="00194987" w:rsidP="00412BBF">
      <w:pPr>
        <w:pStyle w:val="Heading1"/>
      </w:pPr>
      <w:bookmarkStart w:id="1" w:name="_Toc222048263"/>
      <w:r w:rsidRPr="00412BBF">
        <w:lastRenderedPageBreak/>
        <w:t>Supplementary Methods</w:t>
      </w:r>
      <w:bookmarkEnd w:id="1"/>
    </w:p>
    <w:p w14:paraId="3E32908B" w14:textId="4E5CABB7" w:rsidR="00194987" w:rsidRPr="00412BBF" w:rsidRDefault="00194987" w:rsidP="00412BBF">
      <w:pPr>
        <w:pStyle w:val="Heading2"/>
      </w:pPr>
      <w:bookmarkStart w:id="2" w:name="_Toc222048264"/>
      <w:r w:rsidRPr="00412BBF">
        <w:t>1. Determination of the minimal adjustment set</w:t>
      </w:r>
      <w:bookmarkEnd w:id="2"/>
    </w:p>
    <w:p w14:paraId="34DFE84F" w14:textId="6A4C0BB7" w:rsidR="00194987" w:rsidRPr="005B494D" w:rsidRDefault="00194987" w:rsidP="008B1869">
      <w:pPr>
        <w:spacing w:line="480" w:lineRule="auto"/>
        <w:jc w:val="both"/>
      </w:pPr>
      <w:r w:rsidRPr="005B494D">
        <w:t xml:space="preserve">We used </w:t>
      </w:r>
      <w:proofErr w:type="gramStart"/>
      <w:r w:rsidRPr="005B494D">
        <w:t>directed</w:t>
      </w:r>
      <w:proofErr w:type="gramEnd"/>
      <w:r w:rsidRPr="005B494D">
        <w:t xml:space="preserve"> acyclic graphs (DAGs</w:t>
      </w:r>
      <w:r w:rsidR="00107046">
        <w:t>; Figure S</w:t>
      </w:r>
      <w:r w:rsidR="002853BE">
        <w:t>-DAG</w:t>
      </w:r>
      <w:r w:rsidRPr="005B494D">
        <w:t>) to guide covariate selection and to identify a minimally sufficient adjustment set for estimating the association between baseline meat consumption frequency (exposure) and incident dementia (outcome)</w:t>
      </w:r>
      <w:r w:rsidR="00352EA9" w:rsidRPr="005B494D">
        <w:t xml:space="preserve"> </w:t>
      </w:r>
      <w:r w:rsidRPr="005B494D">
        <w:t xml:space="preserve">. The DAG was constructed a priori based on temporality and existing evidence on demographic, socioeconomic and lifestyle determinants of diet and dementia risk. Using the implied conditional independencies in the DAG, we applied the backdoor criterion (via the </w:t>
      </w:r>
      <w:proofErr w:type="spellStart"/>
      <w:r w:rsidRPr="005B494D">
        <w:rPr>
          <w:i/>
          <w:iCs/>
        </w:rPr>
        <w:t>dagitty</w:t>
      </w:r>
      <w:proofErr w:type="spellEnd"/>
      <w:r w:rsidRPr="005B494D">
        <w:t xml:space="preserve"> package in R</w:t>
      </w:r>
      <w:r w:rsidR="00352EA9" w:rsidRPr="005B494D">
        <w:t>;</w:t>
      </w:r>
      <w:r w:rsidR="00352EA9" w:rsidRPr="005B494D">
        <w:fldChar w:fldCharType="begin"/>
      </w:r>
      <w:r w:rsidR="00352EA9" w:rsidRPr="005B494D">
        <w:instrText xml:space="preserve"> ADDIN ZOTERO_ITEM CSL_CITATION {"citationID":"6BdPgV14","properties":{"formattedCitation":"(Textor et al., 2016)","plainCitation":"(Textor et al., 2016)","noteIndex":0},"citationItems":[{"id":3532,"uris":["http://zotero.org/users/5663896/items/8TWHWFGN"],"itemData":{"id":3532,"type":"article-journal","abstract":"Directed acyclic graphs (DAGs), which offer systematic representations of causal relationships, have become an established framework for the analysis of causal inference in epidemiology, often being used to determine covariate adjustment sets for minimizing confounding bias. DAGitty is a popular web application for drawing and analysing DAGs. Here we introduce the R package ‘dagitty’, which provides access to all of the capabilities of the DAGitty web application within the R platform for statistical computing, and also offers several new functions. We describe how the R package ‘dagitty’ can be used to: evaluate whether a DAG is consistent with the dataset it is intended to represent; enumerate </w:instrText>
      </w:r>
      <w:r w:rsidR="00352EA9" w:rsidRPr="005B494D">
        <w:rPr>
          <w:rFonts w:hint="eastAsia"/>
        </w:rPr>
        <w:instrText>‘</w:instrText>
      </w:r>
      <w:r w:rsidR="00352EA9" w:rsidRPr="005B494D">
        <w:instrText xml:space="preserve">statistically equivalent’ but causally different DAGs; and identify exposure-outcome adjustment sets that are valid for causally different but statistically equivalent DAGs. This functionality enables epidemiologists to detect causal misspecifications in DAGs and make robust inferences that remain valid for a range of different DAGs. The R package ‘dagitty’ is available through the comprehensive R archive network (CRAN) at [https://cran.r-project.org/web/packages/dagitty/]. The source code is available on github at [https://github.com/jtextor/dagitty]. The web application ‘DAGitty’ is free software, licensed under the GNU general public licence (GPL) version 2 and is available at [http://dagitty.net/].","container-title":"International Journal of Epidemiology","DOI":"10.1093/ije/dyw341","ISSN":"0300-5771","issue":"6","journalAbbreviation":"Int J Epidemiol","page":"1887-1894","source":"Silverchair","title":"Robust causal inference using directed acyclic graphs: the R package ‘dagitty’","title-short":"Robust causal inference using directed acyclic graphs","volume":"45","author":[{"family":"Textor","given":"Johannes"},{"family":"Zander","given":"Benito","non-dropping-particle":"van der"},{"family":"Gilthorpe","given":"Mark S"},{"family":"Liśkiewicz","given":"Maciej"},{"family":"Ellison","given":"George TH"}],"issued":{"date-parts":[["2016",12,1]]}}}],"schema":"https://github.com/citation-style-language/schema/raw/master/csl-citation.json"} </w:instrText>
      </w:r>
      <w:r w:rsidR="00352EA9" w:rsidRPr="005B494D">
        <w:fldChar w:fldCharType="separate"/>
      </w:r>
      <w:r w:rsidR="00612938" w:rsidRPr="005B494D">
        <w:rPr>
          <w:noProof/>
        </w:rPr>
        <w:t xml:space="preserve"> </w:t>
      </w:r>
      <w:r w:rsidR="00352EA9" w:rsidRPr="005B494D">
        <w:rPr>
          <w:noProof/>
        </w:rPr>
        <w:t>Textor et al., 2016)</w:t>
      </w:r>
      <w:r w:rsidR="00352EA9" w:rsidRPr="005B494D">
        <w:fldChar w:fldCharType="end"/>
      </w:r>
      <w:r w:rsidRPr="005B494D">
        <w:t xml:space="preserve"> to derive the minimal adjustment set that blocks all non-causal (backdoor) paths between exposure and outcome while avoiding adjustment for variables that may lie on the causal pathway. The resulting minimally sufficient adjustment set comprised age, sex, ethnicity, education, and area-level deprivation (Townsend deprivation index). In additional models we further adjusted for lifestyle factors (smoking, alcohol intake, physical activity, and sleep) and baseline cardiometabolic conditions/adiposity as sensitivity analyses to assess robustness to residual confounding and potential reverse causation.</w:t>
      </w:r>
    </w:p>
    <w:p w14:paraId="693CF74D" w14:textId="089580DB" w:rsidR="00194987" w:rsidRPr="005B494D" w:rsidRDefault="00DB7C53">
      <w:pPr>
        <w:spacing w:after="200"/>
      </w:pPr>
      <w:r w:rsidRPr="005B494D">
        <w:rPr>
          <w:noProof/>
        </w:rPr>
        <w:lastRenderedPageBreak/>
        <w:drawing>
          <wp:inline distT="0" distB="0" distL="0" distR="0" wp14:anchorId="6A7CF466" wp14:editId="4CCACFC3">
            <wp:extent cx="6332220" cy="513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G_4.jpeg"/>
                    <pic:cNvPicPr/>
                  </pic:nvPicPr>
                  <pic:blipFill>
                    <a:blip r:embed="rId8">
                      <a:extLst>
                        <a:ext uri="{28A0092B-C50C-407E-A947-70E740481C1C}">
                          <a14:useLocalDpi xmlns:a14="http://schemas.microsoft.com/office/drawing/2010/main" val="0"/>
                        </a:ext>
                      </a:extLst>
                    </a:blip>
                    <a:stretch>
                      <a:fillRect/>
                    </a:stretch>
                  </pic:blipFill>
                  <pic:spPr>
                    <a:xfrm>
                      <a:off x="0" y="0"/>
                      <a:ext cx="6332220" cy="5130800"/>
                    </a:xfrm>
                    <a:prstGeom prst="rect">
                      <a:avLst/>
                    </a:prstGeom>
                  </pic:spPr>
                </pic:pic>
              </a:graphicData>
            </a:graphic>
          </wp:inline>
        </w:drawing>
      </w:r>
    </w:p>
    <w:p w14:paraId="5BB2A1F1" w14:textId="50EE2E13" w:rsidR="00194987" w:rsidRPr="005B494D" w:rsidRDefault="00107046" w:rsidP="008B1869">
      <w:pPr>
        <w:spacing w:line="480" w:lineRule="auto"/>
        <w:jc w:val="both"/>
      </w:pPr>
      <w:r w:rsidRPr="00107046">
        <w:t>Figure S</w:t>
      </w:r>
      <w:r w:rsidR="002853BE">
        <w:t>-DAG</w:t>
      </w:r>
      <w:r w:rsidRPr="00107046">
        <w:t>. Directed acyclic graph (DAG) used to identify the minimally sufficient adjustment set for estimating the association between baseline meat consumption frequency (exposure) and incident dementia (outcome).</w:t>
      </w:r>
      <w:r>
        <w:rPr>
          <w:rFonts w:hint="eastAsia"/>
        </w:rPr>
        <w:t xml:space="preserve"> </w:t>
      </w:r>
      <w:r w:rsidR="00194987" w:rsidRPr="005B494D">
        <w:t xml:space="preserve">Pink nodes denote variables that are ancestors of both the exposure (blue) and the outcome (yellow); grey nodes denote variables that are ancestors of the outcome only. </w:t>
      </w:r>
      <w:proofErr w:type="spellStart"/>
      <w:r w:rsidR="00194987" w:rsidRPr="005B494D">
        <w:t>FamilyHx</w:t>
      </w:r>
      <w:proofErr w:type="spellEnd"/>
      <w:r w:rsidR="00194987" w:rsidRPr="005B494D">
        <w:t xml:space="preserve">: Family history of dementia; </w:t>
      </w:r>
      <w:r w:rsidR="00E02378" w:rsidRPr="005B494D">
        <w:t>CMDs</w:t>
      </w:r>
      <w:r w:rsidR="00194987" w:rsidRPr="005B494D">
        <w:t xml:space="preserve">: </w:t>
      </w:r>
      <w:r w:rsidR="00E02378" w:rsidRPr="005B494D">
        <w:t>H</w:t>
      </w:r>
      <w:r w:rsidR="00194987" w:rsidRPr="005B494D">
        <w:t xml:space="preserve">istory of </w:t>
      </w:r>
      <w:r w:rsidR="00E02378" w:rsidRPr="005B494D">
        <w:t>Cardiometabolic diseases (including diabetes, heart attack, angina, stroke, and high-blood pressure</w:t>
      </w:r>
      <w:r w:rsidR="00E02378" w:rsidRPr="005B494D">
        <w:rPr>
          <w:rFonts w:hint="eastAsia"/>
        </w:rPr>
        <w:t>)</w:t>
      </w:r>
      <w:r w:rsidR="00194987" w:rsidRPr="005B494D">
        <w:t xml:space="preserve">. </w:t>
      </w:r>
      <w:proofErr w:type="spellStart"/>
      <w:r w:rsidR="00194987" w:rsidRPr="005B494D">
        <w:t>WHtR</w:t>
      </w:r>
      <w:proofErr w:type="spellEnd"/>
      <w:r w:rsidR="00194987" w:rsidRPr="005B494D">
        <w:t>: Waist-to-height ratio.</w:t>
      </w:r>
    </w:p>
    <w:p w14:paraId="2B6BA28C" w14:textId="6EFB853F" w:rsidR="00194987" w:rsidRPr="005B494D" w:rsidRDefault="00194987">
      <w:pPr>
        <w:spacing w:after="200"/>
      </w:pPr>
      <w:r w:rsidRPr="005B494D">
        <w:br w:type="page"/>
      </w:r>
    </w:p>
    <w:p w14:paraId="15184E80" w14:textId="77777777" w:rsidR="00956AC4" w:rsidRPr="00FC33BE" w:rsidRDefault="00956AC4" w:rsidP="00412BBF">
      <w:pPr>
        <w:pStyle w:val="Heading2"/>
      </w:pPr>
      <w:bookmarkStart w:id="3" w:name="_Toc222048265"/>
      <w:r w:rsidRPr="00FC33BE">
        <w:lastRenderedPageBreak/>
        <w:t>2. Covariates</w:t>
      </w:r>
      <w:bookmarkEnd w:id="3"/>
    </w:p>
    <w:p w14:paraId="60884214" w14:textId="77777777" w:rsidR="00956AC4" w:rsidRPr="00412BBF" w:rsidRDefault="00956AC4" w:rsidP="00412BBF">
      <w:pPr>
        <w:pStyle w:val="Heading3"/>
      </w:pPr>
      <w:bookmarkStart w:id="4" w:name="_Toc222048266"/>
      <w:r w:rsidRPr="00412BBF">
        <w:t>2.1 Dietary variables</w:t>
      </w:r>
      <w:bookmarkEnd w:id="4"/>
    </w:p>
    <w:p w14:paraId="36668AEC" w14:textId="77777777" w:rsidR="00391787" w:rsidRPr="005B494D" w:rsidRDefault="00391787" w:rsidP="002853BE">
      <w:pPr>
        <w:spacing w:line="480" w:lineRule="auto"/>
        <w:jc w:val="both"/>
      </w:pPr>
      <w:r w:rsidRPr="005B494D">
        <w:t>The baseline touchscreen questionnaire was designed to collect basic dietary information on commonly consumed foods. In general, we followed Zhang et al. (2021) and grouped participants into four categories for each food group based on the distribution of responses to obtain approximately equal-sized groups. “Prefer not to answer” and “Do not know” categories were retained to represent missing values for each covariate. Two food groups—total fish and fruit and vegetables—that could confound the association between meat consumption and dementia risk were included in the fully adjusted models as categorical variables.</w:t>
      </w:r>
    </w:p>
    <w:p w14:paraId="5472D14E" w14:textId="77777777" w:rsidR="00936D6A" w:rsidRPr="005B494D" w:rsidRDefault="00936D6A" w:rsidP="008B1869">
      <w:pPr>
        <w:pStyle w:val="NormalWeb"/>
        <w:spacing w:before="0" w:beforeAutospacing="0" w:after="160" w:afterAutospacing="0" w:line="480" w:lineRule="auto"/>
        <w:jc w:val="both"/>
      </w:pPr>
    </w:p>
    <w:p w14:paraId="70FB781C" w14:textId="6F9D4EAB" w:rsidR="00956AC4" w:rsidRPr="00412BBF" w:rsidRDefault="0057711C" w:rsidP="00412BBF">
      <w:pPr>
        <w:pStyle w:val="Heading4"/>
      </w:pPr>
      <w:r w:rsidRPr="00412BBF">
        <w:t xml:space="preserve">2.1.1 </w:t>
      </w:r>
      <w:r w:rsidR="0031032A" w:rsidRPr="00412BBF">
        <w:t>Oily f</w:t>
      </w:r>
      <w:r w:rsidR="00956AC4" w:rsidRPr="00412BBF">
        <w:t>ish</w:t>
      </w:r>
      <w:r w:rsidR="0031032A" w:rsidRPr="00412BBF">
        <w:t xml:space="preserve"> and other fish</w:t>
      </w:r>
    </w:p>
    <w:p w14:paraId="4BF6DCD1" w14:textId="5C8ADF3A" w:rsidR="00E90AA4" w:rsidRPr="005B494D" w:rsidRDefault="00E90AA4" w:rsidP="008B1869">
      <w:pPr>
        <w:spacing w:line="480" w:lineRule="auto"/>
        <w:jc w:val="both"/>
      </w:pPr>
      <w:r w:rsidRPr="005B494D">
        <w:t>There were two questions on fish consumption (e.g., “How often do you eat oily fish?”), covering oily fish (e.g., sardines, salmon, mackerel, and herring) and other types of fish (e.g., cod, tinned tuna, and haddock). Participants selected from eight response options: never, less than once a week, once a week, 2–4 times a week, 5–6 times a week, once or more daily, do not know, and prefer not to answer. Consumption frequencies were assigned values to approximate times per week (never = 0, &lt;1 time/week = 0.5, 1 time/week = 1, 2–4 times/week = 3, 5–6 times/week = 5.5, and ≥1 time daily = 7). We summed oily fish and other fish to derive total fish intake, and then grouped weekly total fish frequency into four categories: ≤1.0, 1.5, 2–3, and &gt;3 times per week.</w:t>
      </w:r>
    </w:p>
    <w:p w14:paraId="14C4CA20" w14:textId="77777777" w:rsidR="00E90AA4" w:rsidRPr="005B494D" w:rsidRDefault="00E90AA4" w:rsidP="008B1869">
      <w:pPr>
        <w:spacing w:line="480" w:lineRule="auto"/>
        <w:jc w:val="both"/>
      </w:pPr>
    </w:p>
    <w:p w14:paraId="619364D9" w14:textId="6DFE78B7" w:rsidR="00956AC4" w:rsidRPr="005B494D" w:rsidRDefault="0057711C" w:rsidP="00412BBF">
      <w:pPr>
        <w:pStyle w:val="Heading4"/>
      </w:pPr>
      <w:r>
        <w:t>2.1.</w:t>
      </w:r>
      <w:r>
        <w:t>2</w:t>
      </w:r>
      <w:r>
        <w:t xml:space="preserve"> </w:t>
      </w:r>
      <w:r w:rsidR="0031032A" w:rsidRPr="005B494D">
        <w:t>Fresh f</w:t>
      </w:r>
      <w:r w:rsidR="00956AC4" w:rsidRPr="005B494D">
        <w:t>ruit</w:t>
      </w:r>
      <w:r w:rsidR="0031032A" w:rsidRPr="005B494D">
        <w:t>, dried fruit, cooked</w:t>
      </w:r>
      <w:r w:rsidR="00956AC4" w:rsidRPr="005B494D">
        <w:t xml:space="preserve"> </w:t>
      </w:r>
      <w:r w:rsidR="0031032A" w:rsidRPr="005B494D">
        <w:t xml:space="preserve">vegetables, </w:t>
      </w:r>
      <w:r w:rsidR="00956AC4" w:rsidRPr="005B494D">
        <w:t xml:space="preserve">and </w:t>
      </w:r>
      <w:r w:rsidR="0031032A" w:rsidRPr="005B494D">
        <w:t xml:space="preserve">salad or raw </w:t>
      </w:r>
      <w:r w:rsidR="00956AC4" w:rsidRPr="005B494D">
        <w:t>vegetables</w:t>
      </w:r>
    </w:p>
    <w:p w14:paraId="6E90B238" w14:textId="319EE1BF" w:rsidR="00956AC4" w:rsidRPr="005B494D" w:rsidRDefault="00956AC4" w:rsidP="008B1869">
      <w:pPr>
        <w:spacing w:line="480" w:lineRule="auto"/>
        <w:jc w:val="both"/>
      </w:pPr>
      <w:r w:rsidRPr="005B494D">
        <w:t xml:space="preserve">Participants were asked to either direct input the specific daily numbers of consumed pieces of fresh fruit (one apple, one banana, 10 grapes </w:t>
      </w:r>
      <w:proofErr w:type="spellStart"/>
      <w:r w:rsidRPr="005B494D">
        <w:t>etc</w:t>
      </w:r>
      <w:proofErr w:type="spellEnd"/>
      <w:r w:rsidRPr="005B494D">
        <w:t xml:space="preserve"> as one piece), pieces of dried fruit (one prune, one dried apricot, 10 raisins </w:t>
      </w:r>
      <w:proofErr w:type="spellStart"/>
      <w:r w:rsidRPr="005B494D">
        <w:t>etc</w:t>
      </w:r>
      <w:proofErr w:type="spellEnd"/>
      <w:r w:rsidRPr="005B494D">
        <w:t xml:space="preserve"> as one piece), heaped tablespoons of cooked vegetables and heaped tablespoons </w:t>
      </w:r>
      <w:r w:rsidRPr="005B494D">
        <w:lastRenderedPageBreak/>
        <w:t xml:space="preserve">of salad/raw vegetables, or select ‘less than one’, ‘do not know’ or ‘prefer not to answer’ over four separate questions. One piece of fresh fruit, two ‘pieces’ of dried fruit, two heaped tablespoons of cooked vegetables, and two heaped tablespoons of salad/raw vegetables were counted as one serving respectively. </w:t>
      </w:r>
      <w:r w:rsidR="00435647" w:rsidRPr="005B494D">
        <w:t>T</w:t>
      </w:r>
      <w:r w:rsidRPr="005B494D">
        <w:t xml:space="preserve">hese four items </w:t>
      </w:r>
      <w:r w:rsidR="00435647" w:rsidRPr="005B494D">
        <w:t xml:space="preserve">were summed </w:t>
      </w:r>
      <w:r w:rsidRPr="005B494D">
        <w:t xml:space="preserve">into one ‘fruits and vegetables’, and then we grouped the daily servings of fruits and vegetables into four categories as follows: </w:t>
      </w:r>
      <w:r w:rsidR="0031032A" w:rsidRPr="005B494D">
        <w:t>1-</w:t>
      </w:r>
      <w:r w:rsidRPr="005B494D">
        <w:t xml:space="preserve">2, </w:t>
      </w:r>
      <w:r w:rsidR="0031032A" w:rsidRPr="005B494D">
        <w:t>3-</w:t>
      </w:r>
      <w:r w:rsidRPr="005B494D">
        <w:t xml:space="preserve">4, </w:t>
      </w:r>
      <w:r w:rsidR="0031032A" w:rsidRPr="005B494D">
        <w:t>5</w:t>
      </w:r>
      <w:r w:rsidRPr="005B494D">
        <w:t>-6, and &gt;6 servings per day.</w:t>
      </w:r>
    </w:p>
    <w:p w14:paraId="4233B4E7" w14:textId="3818E7CF" w:rsidR="00194987" w:rsidRPr="005B494D" w:rsidRDefault="00194987" w:rsidP="008B1869">
      <w:pPr>
        <w:spacing w:after="200" w:line="480" w:lineRule="auto"/>
        <w:jc w:val="both"/>
      </w:pPr>
    </w:p>
    <w:p w14:paraId="7C3EE313" w14:textId="6C71A850" w:rsidR="00936D6A" w:rsidRPr="00412BBF" w:rsidRDefault="00936D6A" w:rsidP="00412BBF">
      <w:pPr>
        <w:pStyle w:val="Heading3"/>
      </w:pPr>
      <w:bookmarkStart w:id="5" w:name="_Toc60845582"/>
      <w:bookmarkStart w:id="6" w:name="_Toc222048267"/>
      <w:r w:rsidRPr="00412BBF">
        <w:t>2.2 Socio-demographics</w:t>
      </w:r>
      <w:bookmarkEnd w:id="5"/>
      <w:bookmarkEnd w:id="6"/>
    </w:p>
    <w:p w14:paraId="21A239FA" w14:textId="66E812EA" w:rsidR="00936D6A" w:rsidRPr="005B494D" w:rsidRDefault="0057711C" w:rsidP="00412BBF">
      <w:pPr>
        <w:pStyle w:val="Heading4"/>
      </w:pPr>
      <w:r>
        <w:t xml:space="preserve">2.2.1 </w:t>
      </w:r>
      <w:r w:rsidR="00936D6A" w:rsidRPr="005B494D">
        <w:t>Ethnicity</w:t>
      </w:r>
    </w:p>
    <w:p w14:paraId="6796E4B0" w14:textId="6C067260" w:rsidR="00936D6A" w:rsidRPr="005B494D" w:rsidRDefault="00936D6A" w:rsidP="008B1869">
      <w:pPr>
        <w:spacing w:line="480" w:lineRule="auto"/>
        <w:jc w:val="both"/>
      </w:pPr>
      <w:r w:rsidRPr="005B494D">
        <w:t xml:space="preserve">Participants were asked to select their ethnic group </w:t>
      </w:r>
      <w:r w:rsidR="00BF3BD6" w:rsidRPr="005B494D">
        <w:t>from the following options:</w:t>
      </w:r>
      <w:r w:rsidRPr="005B494D">
        <w:t xml:space="preserve"> ‘White’ (including British, Irish, any other White background), ‘Mixed’ (including White and Black Caribbean, White and Black African, White and Asian, any other mixed background), ‘Asian or Asian British’ (including Indian, Pakistani, Bangladeshi, any other Asian background), ‘Black or Black British’ (including Caribbean, African, any other Black background), ‘Chinese’</w:t>
      </w:r>
      <w:bookmarkStart w:id="7" w:name="_GoBack"/>
      <w:bookmarkEnd w:id="7"/>
      <w:r w:rsidRPr="005B494D">
        <w:t xml:space="preserve">, ‘Other ethnic group’, ‘Do not know’ or ‘Prefer not to answer’. We regrouped ethnicity into </w:t>
      </w:r>
      <w:r w:rsidR="00BF3BD6" w:rsidRPr="005B494D">
        <w:t>five</w:t>
      </w:r>
      <w:r w:rsidRPr="005B494D">
        <w:t xml:space="preserve"> ca</w:t>
      </w:r>
      <w:r w:rsidRPr="00B04268">
        <w:t xml:space="preserve">tegories: </w:t>
      </w:r>
      <w:r w:rsidRPr="00B04268">
        <w:rPr>
          <w:i/>
          <w:iCs/>
        </w:rPr>
        <w:t>White</w:t>
      </w:r>
      <w:r w:rsidRPr="00B04268">
        <w:t xml:space="preserve"> (White, British, Irish or any other white background); </w:t>
      </w:r>
      <w:r w:rsidRPr="00B04268">
        <w:rPr>
          <w:i/>
          <w:iCs/>
        </w:rPr>
        <w:t>Asian or Asian British</w:t>
      </w:r>
      <w:r w:rsidRPr="00B04268">
        <w:t xml:space="preserve"> (Asian or Asian British, Chinese, Indian, Pakistani, Bangladeshi or any other Asian background); </w:t>
      </w:r>
      <w:r w:rsidRPr="00B04268">
        <w:rPr>
          <w:i/>
          <w:iCs/>
        </w:rPr>
        <w:t xml:space="preserve">Black or Black British </w:t>
      </w:r>
      <w:r w:rsidRPr="00B04268">
        <w:t xml:space="preserve">(Black or Black British, Caribbean, African or any other Black background); </w:t>
      </w:r>
      <w:r w:rsidRPr="00B04268">
        <w:rPr>
          <w:i/>
          <w:iCs/>
        </w:rPr>
        <w:t>Mixed</w:t>
      </w:r>
      <w:r w:rsidRPr="00B04268">
        <w:t xml:space="preserve"> (</w:t>
      </w:r>
      <w:r w:rsidR="002D6EE6" w:rsidRPr="00B04268">
        <w:t>White and Black Caribbean, White and Black African, White and Asian, any other mixed background, or Other ethnic group</w:t>
      </w:r>
      <w:r w:rsidRPr="00B04268">
        <w:t xml:space="preserve">); and </w:t>
      </w:r>
      <w:r w:rsidR="002D6EE6" w:rsidRPr="00B04268">
        <w:rPr>
          <w:i/>
          <w:iCs/>
        </w:rPr>
        <w:t>Missing</w:t>
      </w:r>
      <w:r w:rsidRPr="00B04268">
        <w:t xml:space="preserve"> </w:t>
      </w:r>
      <w:r w:rsidRPr="005B494D">
        <w:t xml:space="preserve">(included participants who </w:t>
      </w:r>
      <w:r w:rsidR="002D6EE6" w:rsidRPr="005B494D">
        <w:t>responded ‘Do not know’ or ‘Prefer not to answer’</w:t>
      </w:r>
      <w:r w:rsidRPr="005B494D">
        <w:t>)</w:t>
      </w:r>
      <w:r w:rsidR="002D6EE6" w:rsidRPr="005B494D">
        <w:t>.</w:t>
      </w:r>
    </w:p>
    <w:p w14:paraId="6DF3B56A" w14:textId="77777777" w:rsidR="00936D6A" w:rsidRPr="005B494D" w:rsidRDefault="00936D6A" w:rsidP="008B1869">
      <w:pPr>
        <w:spacing w:line="480" w:lineRule="auto"/>
        <w:jc w:val="both"/>
      </w:pPr>
    </w:p>
    <w:p w14:paraId="43AD86AF" w14:textId="0C45053D" w:rsidR="00936D6A" w:rsidRPr="005B494D" w:rsidRDefault="0057711C" w:rsidP="00412BBF">
      <w:pPr>
        <w:pStyle w:val="Heading4"/>
      </w:pPr>
      <w:r>
        <w:t>2.2.</w:t>
      </w:r>
      <w:r>
        <w:t>2</w:t>
      </w:r>
      <w:r>
        <w:t xml:space="preserve"> </w:t>
      </w:r>
      <w:r w:rsidR="00936D6A" w:rsidRPr="005B494D">
        <w:t xml:space="preserve">Townsend deprivation </w:t>
      </w:r>
      <w:r w:rsidR="0048796B" w:rsidRPr="005B494D">
        <w:t>i</w:t>
      </w:r>
      <w:r w:rsidR="00936D6A" w:rsidRPr="005B494D">
        <w:t>ndex</w:t>
      </w:r>
    </w:p>
    <w:p w14:paraId="438A6613" w14:textId="799C35DC" w:rsidR="0048796B" w:rsidRPr="005B494D" w:rsidRDefault="0048796B" w:rsidP="008B1869">
      <w:pPr>
        <w:spacing w:line="480" w:lineRule="auto"/>
        <w:jc w:val="both"/>
      </w:pPr>
      <w:r w:rsidRPr="005B494D">
        <w:t xml:space="preserve">The Townsend deprivation index (TDI) </w:t>
      </w:r>
      <w:r w:rsidR="00217C9F" w:rsidRPr="005B494D">
        <w:t xml:space="preserve">is an area-based measure of material socioeconomic deprivation that’s assigned to people based on where they live (their postcode area). The index </w:t>
      </w:r>
      <w:r w:rsidR="00217C9F" w:rsidRPr="005B494D">
        <w:lastRenderedPageBreak/>
        <w:t xml:space="preserve">combines four indicators from census data for a small geographic area: unemployment, non-car ownership, non-home ownership, and household overcrowding </w:t>
      </w:r>
      <w:r w:rsidR="00217C9F" w:rsidRPr="005B494D">
        <w:fldChar w:fldCharType="begin"/>
      </w:r>
      <w:r w:rsidR="00217C9F" w:rsidRPr="005B494D">
        <w:instrText xml:space="preserve"> ADDIN ZOTERO_ITEM CSL_CITATION {"citationID":"tU4JjwYr","properties":{"formattedCitation":"(Townsend et al., 2023)","plainCitation":"(Townsend et al., 2023)","noteIndex":0},"citationItems":[{"id":3542,"uris":["http://zotero.org/users/5663896/items/UVYKHPUI"],"itemData":{"id":3542,"type":"book","abstract":"When originally published in 1988, this book presented new evidence of inequalities in health found among communities in different areas of the North of England. It relates this evidence to long-term trends taking place in patterns of health in Britain as a whole and explores how far health inequalities can be explained by variations in material deprivation. The book provides a detailed examination of the correlation between health and wealth, or ill-health and deprivation in Britain in the 20th century but the book has an enduring relevance as the Covid Pandemic has once again shown that regional disparities in wealth have profound outcomes for health. The book is of significance for health professionals, social services and those planner and politicians concerned with levelling up.","DOI":"10.4324/9781003368885","ISBN":"978-1-003-36888-5","number-of-pages":"236","publisher":"Routledge","publisher-place":"London","title":"Health and Deprivation: Inequality and the North","title-short":"Health and Deprivation","author":[{"family":"Townsend","given":"Peter"},{"family":"Phillimore","given":"Peter"},{"family":"Beattie","given":"Alastair"}],"issued":{"date-parts":[["2023",3,31]]}}}],"schema":"https://github.com/citation-style-language/schema/raw/master/csl-citation.json"} </w:instrText>
      </w:r>
      <w:r w:rsidR="00217C9F" w:rsidRPr="005B494D">
        <w:fldChar w:fldCharType="separate"/>
      </w:r>
      <w:r w:rsidR="00217C9F" w:rsidRPr="005B494D">
        <w:rPr>
          <w:noProof/>
        </w:rPr>
        <w:t>(Townsend et al., 2023)</w:t>
      </w:r>
      <w:r w:rsidR="00217C9F" w:rsidRPr="005B494D">
        <w:fldChar w:fldCharType="end"/>
      </w:r>
      <w:r w:rsidR="00217C9F" w:rsidRPr="005B494D">
        <w:t>.</w:t>
      </w:r>
      <w:r w:rsidR="00217C9F" w:rsidRPr="005B494D">
        <w:rPr>
          <w:rFonts w:hint="eastAsia"/>
        </w:rPr>
        <w:t xml:space="preserve"> </w:t>
      </w:r>
      <w:r w:rsidRPr="005B494D">
        <w:t>The index was calculated immediately prior to UK Biobank recruitment using data from the preceding national census output areas. Each participant was assigned the score corresponding to the output area in which their postcode was located; higher scores indicate greater deprivation. We categorized TDI into three equal-sized groups: low</w:t>
      </w:r>
      <w:r w:rsidR="00164C8B" w:rsidRPr="005B494D">
        <w:t xml:space="preserve"> (-6.26 to -3.15)</w:t>
      </w:r>
      <w:r w:rsidRPr="005B494D">
        <w:t>, moderate</w:t>
      </w:r>
      <w:r w:rsidR="00164C8B" w:rsidRPr="005B494D">
        <w:t xml:space="preserve"> (-3.16 to -0.59)</w:t>
      </w:r>
      <w:r w:rsidRPr="005B494D">
        <w:t>, and high deprivation</w:t>
      </w:r>
      <w:r w:rsidR="00164C8B" w:rsidRPr="005B494D">
        <w:t xml:space="preserve"> (-0.58 to 11)</w:t>
      </w:r>
      <w:r w:rsidRPr="005B494D">
        <w:t>. To minimize the risk of over-adjustment, we included TDI as the sole indicator of socioeconomic status and did not additionally adjust for employment status or household income.</w:t>
      </w:r>
    </w:p>
    <w:p w14:paraId="0897012D" w14:textId="77777777" w:rsidR="00936D6A" w:rsidRPr="005B494D" w:rsidRDefault="00936D6A" w:rsidP="008B1869">
      <w:pPr>
        <w:spacing w:line="480" w:lineRule="auto"/>
        <w:jc w:val="both"/>
      </w:pPr>
    </w:p>
    <w:p w14:paraId="7E6F4FA0" w14:textId="4F6A2ECD" w:rsidR="00936D6A" w:rsidRPr="005B494D" w:rsidRDefault="0057711C" w:rsidP="00412BBF">
      <w:pPr>
        <w:pStyle w:val="Heading4"/>
      </w:pPr>
      <w:r>
        <w:t>2.2.</w:t>
      </w:r>
      <w:r>
        <w:t>3</w:t>
      </w:r>
      <w:r>
        <w:t xml:space="preserve"> </w:t>
      </w:r>
      <w:r w:rsidR="00936D6A" w:rsidRPr="005B494D">
        <w:t>Education</w:t>
      </w:r>
    </w:p>
    <w:p w14:paraId="0F4EA1F1" w14:textId="1FC00F5A" w:rsidR="00936D6A" w:rsidRPr="005B494D" w:rsidRDefault="00936D6A" w:rsidP="008B1869">
      <w:pPr>
        <w:spacing w:line="480" w:lineRule="auto"/>
        <w:jc w:val="both"/>
      </w:pPr>
      <w:r w:rsidRPr="005B494D">
        <w:t>Participants were asked to select their acquired qualifications among ‘College or University degree’, ‘A levels/AS levels or equivalent’, ‘O levels/GCSEs or equivalent’, ‘CSEs or equivalent’, ‘NVQ or HND or HNC or equivalent’, ‘Other professional qualifications e.g.: nursing, teaching’, ‘None of the above’ and ‘Prefer not to answer’. We regrouped these qualifications into ‘with college/university degree’ and ‘without college/university degree’</w:t>
      </w:r>
      <w:r w:rsidR="00F12CB3" w:rsidRPr="005B494D">
        <w:t>.</w:t>
      </w:r>
    </w:p>
    <w:p w14:paraId="2E81C159" w14:textId="7AF533C6" w:rsidR="00936D6A" w:rsidRPr="005B494D" w:rsidRDefault="00936D6A" w:rsidP="008B1869">
      <w:pPr>
        <w:spacing w:after="200" w:line="480" w:lineRule="auto"/>
        <w:jc w:val="both"/>
      </w:pPr>
    </w:p>
    <w:p w14:paraId="6D26D272" w14:textId="7A982A83" w:rsidR="00936D6A" w:rsidRPr="005B494D" w:rsidRDefault="003D2E0C" w:rsidP="00412BBF">
      <w:pPr>
        <w:pStyle w:val="Heading3"/>
      </w:pPr>
      <w:bookmarkStart w:id="8" w:name="_Toc60845583"/>
      <w:bookmarkStart w:id="9" w:name="_Toc222048268"/>
      <w:r w:rsidRPr="005B494D">
        <w:t>2</w:t>
      </w:r>
      <w:r w:rsidR="00936D6A" w:rsidRPr="005B494D">
        <w:t>.3 Lifestyle related and other covariates</w:t>
      </w:r>
      <w:bookmarkEnd w:id="8"/>
      <w:bookmarkEnd w:id="9"/>
    </w:p>
    <w:p w14:paraId="0217C505" w14:textId="44E7175D" w:rsidR="00936D6A" w:rsidRPr="005B494D" w:rsidRDefault="0057711C" w:rsidP="00412BBF">
      <w:pPr>
        <w:pStyle w:val="Heading4"/>
      </w:pPr>
      <w:r>
        <w:t xml:space="preserve">2.3.1 </w:t>
      </w:r>
      <w:r w:rsidR="00936D6A" w:rsidRPr="005B494D">
        <w:t>Smoking status</w:t>
      </w:r>
      <w:r w:rsidR="00482060" w:rsidRPr="005B494D">
        <w:t xml:space="preserve"> </w:t>
      </w:r>
    </w:p>
    <w:p w14:paraId="64EDF1B5" w14:textId="6312EDCC" w:rsidR="00936D6A" w:rsidRPr="005B494D" w:rsidRDefault="00482060" w:rsidP="008B1869">
      <w:pPr>
        <w:spacing w:line="480" w:lineRule="auto"/>
        <w:jc w:val="both"/>
      </w:pPr>
      <w:r w:rsidRPr="005B494D">
        <w:t>The data was from UK Biobank Field 20116</w:t>
      </w:r>
      <w:r w:rsidR="00FD6627" w:rsidRPr="005B494D">
        <w:t xml:space="preserve">, which </w:t>
      </w:r>
      <w:r w:rsidR="009C2B30" w:rsidRPr="005B494D">
        <w:rPr>
          <w:rFonts w:hint="eastAsia"/>
        </w:rPr>
        <w:t>d</w:t>
      </w:r>
      <w:r w:rsidR="00FD6627" w:rsidRPr="005B494D">
        <w:rPr>
          <w:rFonts w:hint="eastAsia"/>
        </w:rPr>
        <w:t>e</w:t>
      </w:r>
      <w:r w:rsidR="00FD6627" w:rsidRPr="005B494D">
        <w:t>rived using variables "Current tobacco smoking" (Field 1239) and "Past tobacco smoking" (Field 1249)</w:t>
      </w:r>
      <w:r w:rsidRPr="005B494D">
        <w:t xml:space="preserve">. </w:t>
      </w:r>
      <w:r w:rsidR="00936D6A" w:rsidRPr="005B494D">
        <w:t xml:space="preserve">Participants were regrouped into ‘Current’ (meaning smoking in current days </w:t>
      </w:r>
      <w:r w:rsidR="009C2B30" w:rsidRPr="005B494D">
        <w:t>either most of all days or only occasionally</w:t>
      </w:r>
      <w:r w:rsidR="00936D6A" w:rsidRPr="005B494D">
        <w:t>), ‘Past’ (meaning smoking in previous days only but not in current days), and ‘Never’ (mean no smoking in either current days or previous days).</w:t>
      </w:r>
    </w:p>
    <w:p w14:paraId="629C3C1F" w14:textId="569AC83B" w:rsidR="00482060" w:rsidRPr="005B494D" w:rsidRDefault="00482060" w:rsidP="008B1869">
      <w:pPr>
        <w:spacing w:line="480" w:lineRule="auto"/>
        <w:jc w:val="both"/>
        <w:rPr>
          <w:lang w:val="de-AT"/>
        </w:rPr>
      </w:pPr>
    </w:p>
    <w:p w14:paraId="28E91308" w14:textId="4F79375A" w:rsidR="00001FDF" w:rsidRPr="005B494D" w:rsidRDefault="0057711C" w:rsidP="00412BBF">
      <w:pPr>
        <w:pStyle w:val="Heading4"/>
      </w:pPr>
      <w:r>
        <w:lastRenderedPageBreak/>
        <w:t>2.3.</w:t>
      </w:r>
      <w:r>
        <w:t>2</w:t>
      </w:r>
      <w:r>
        <w:t xml:space="preserve"> </w:t>
      </w:r>
      <w:r w:rsidR="00001FDF" w:rsidRPr="005B494D">
        <w:t>A</w:t>
      </w:r>
      <w:r w:rsidR="00280F8C" w:rsidRPr="005B494D">
        <w:t>lcohol drinker</w:t>
      </w:r>
      <w:r w:rsidR="00001FDF" w:rsidRPr="005B494D">
        <w:t xml:space="preserve"> status </w:t>
      </w:r>
    </w:p>
    <w:p w14:paraId="0B00632B" w14:textId="3078A729" w:rsidR="00001FDF" w:rsidRPr="005B494D" w:rsidRDefault="00280F8C" w:rsidP="008B1869">
      <w:pPr>
        <w:spacing w:line="480" w:lineRule="auto"/>
        <w:jc w:val="both"/>
      </w:pPr>
      <w:r w:rsidRPr="005B494D">
        <w:t xml:space="preserve">The data was from UK Biobank Field 20117, which </w:t>
      </w:r>
      <w:r w:rsidRPr="005B494D">
        <w:rPr>
          <w:rFonts w:hint="eastAsia"/>
        </w:rPr>
        <w:t>de</w:t>
      </w:r>
      <w:r w:rsidRPr="005B494D">
        <w:t>rived using variables "Alcohol intake frequency" (Field 1558) and "Former alcohol drinker" (Field 3731). Participants were regrouped into ‘Current’ (meaning alcohol intake in current days either daily or special occasions only), ‘Past’ (meaning alcohol intake in previous days only but not in current days), and ‘Never’ (mean no alcohol intake in either current days or previous days).</w:t>
      </w:r>
    </w:p>
    <w:p w14:paraId="128C51ED" w14:textId="77777777" w:rsidR="00280F8C" w:rsidRPr="005B494D" w:rsidRDefault="00280F8C" w:rsidP="008B1869">
      <w:pPr>
        <w:spacing w:line="480" w:lineRule="auto"/>
        <w:jc w:val="both"/>
        <w:rPr>
          <w:lang w:val="de-AT"/>
        </w:rPr>
      </w:pPr>
    </w:p>
    <w:p w14:paraId="2775B479" w14:textId="7922BE99" w:rsidR="00001FDF" w:rsidRPr="005B494D" w:rsidRDefault="0057711C" w:rsidP="00412BBF">
      <w:pPr>
        <w:pStyle w:val="Heading4"/>
      </w:pPr>
      <w:r>
        <w:t>2.3.</w:t>
      </w:r>
      <w:r>
        <w:t>3</w:t>
      </w:r>
      <w:r>
        <w:t xml:space="preserve"> </w:t>
      </w:r>
      <w:r w:rsidR="00001FDF" w:rsidRPr="005B494D">
        <w:t>Physical activity</w:t>
      </w:r>
    </w:p>
    <w:p w14:paraId="699943FF" w14:textId="77777777" w:rsidR="00001FDF" w:rsidRPr="005B494D" w:rsidRDefault="00001FDF" w:rsidP="008B1869">
      <w:pPr>
        <w:spacing w:line="480" w:lineRule="auto"/>
        <w:jc w:val="both"/>
      </w:pPr>
      <w:r w:rsidRPr="005B494D">
        <w:t xml:space="preserve">Participants were asked a series of questions about their usual physical activity at baseline, derived from the International Physical Activity Questionnaire (IPAQ) short form. Physical activity was calculated and </w:t>
      </w:r>
      <w:proofErr w:type="spellStart"/>
      <w:r w:rsidRPr="005B494D">
        <w:t>categorised</w:t>
      </w:r>
      <w:proofErr w:type="spellEnd"/>
      <w:r w:rsidRPr="005B494D">
        <w:t xml:space="preserve"> into three levels (low, moderate, and high) </w:t>
      </w:r>
      <w:r w:rsidRPr="005B494D">
        <w:fldChar w:fldCharType="begin"/>
      </w:r>
      <w:r w:rsidRPr="005B494D">
        <w:instrText xml:space="preserve"> ADDIN ZOTERO_ITEM CSL_CITATION {"citationID":"ftA0uzNt","properties":{"formattedCitation":"(Craig et al., 2003)","plainCitation":"(Craig et al., 2003)","noteIndex":0},"citationItems":[{"id":3543,"uris":["http://zotero.org/users/5663896/items/R6XIM538"],"itemData":{"id":3543,"type":"article-journal","abstract":"BACKGROUND: Physical inactivity is a global concern, but diverse physical activity measures in use prevent international comparisons. The International Physical Activity Questionnaire (IPAQ) was developed as an instrument for cross-national monitoring of physical activity and inactivity.\nMETHODS: Between 1997 and 1998, an International Consensus Group developed four long and four short forms of the IPAQ instruments (administered by telephone interview or self-administration, with two alternate reference periods, either the \"last 7 d\" or a \"usual week\" of recalled physical activity). During 2000, 14 centers from 12 countries collected reliability and/or validity data on at least two of the eight IPAQ instruments. Test-retest repeatability was assessed within the same week. Concurrent (inter-method) validity was assessed at the same administration, and criterion IPAQ validity was assessed against the CSA (now MTI) accelerometer. Spearman's correlation coefficients are reported, based on the total reported physical activity.\nRESULTS: Overall, the IPAQ questionnaires produced repeatable data (Spearman's rho clustered around 0.8), with comparable data from short and long forms. Criterion validity had a median rho of about 0.30, which was comparable to most other self-report validation studies. The \"usual week\" and \"last 7 d\" reference periods performed similarly, and the reliability of telephone administration was similar to the self-administered mode.\nCONCLUSIONS: The IPAQ instruments have acceptable measurement properties, at least as good as other established self-reports. Considering the diverse samples in this study, IPAQ has reasonable measurement properties for monitoring population levels of physical activity among 18- to 65-yr-old adults in diverse settings. The short IPAQ form \"last 7 d recall\" is recommended for national monitoring and the long form for research requiring more detailed assessment.","container-title":"Medicine and Science in Sports and Exercise","DOI":"10.1249/01.MSS.0000078924.61453.FB","ISSN":"0195-9131","issue":"8","journalAbbreviation":"Med Sci Sports Exerc","language":"eng","page":"1381-1395","PMID":"12900694","source":"PubMed","title":"International physical activity questionnaire: 12-country reliability and validity","title-short":"International physical activity questionnaire","volume":"35","author":[{"family":"Craig","given":"Cora L."},{"family":"Marshall","given":"Alison L."},{"family":"Sjöström","given":"Michael"},{"family":"Bauman","given":"Adrian E."},{"family":"Booth","given":"Michael L."},{"family":"Ainsworth","given":"Barbara E."},{"family":"Pratt","given":"Michael"},{"family":"Ekelund","given":"Ulf"},{"family":"Yngve","given":"Agneta"},{"family":"Sallis","given":"James F."},{"family":"Oja","given":"Pekka"}],"issued":{"date-parts":[["2003",8]]}}}],"schema":"https://github.com/citation-style-language/schema/raw/master/csl-citation.json"} </w:instrText>
      </w:r>
      <w:r w:rsidRPr="005B494D">
        <w:fldChar w:fldCharType="separate"/>
      </w:r>
      <w:r w:rsidRPr="005B494D">
        <w:rPr>
          <w:noProof/>
        </w:rPr>
        <w:t>(Craig et al., 2003)</w:t>
      </w:r>
      <w:r w:rsidRPr="005B494D">
        <w:fldChar w:fldCharType="end"/>
      </w:r>
      <w:r w:rsidRPr="005B494D">
        <w:t>.</w:t>
      </w:r>
    </w:p>
    <w:p w14:paraId="62F904BB" w14:textId="77777777" w:rsidR="00001FDF" w:rsidRPr="005B494D" w:rsidRDefault="00001FDF" w:rsidP="008B1869">
      <w:pPr>
        <w:spacing w:line="480" w:lineRule="auto"/>
        <w:jc w:val="both"/>
        <w:rPr>
          <w:lang w:val="de-AT"/>
        </w:rPr>
      </w:pPr>
    </w:p>
    <w:p w14:paraId="175EA2FF" w14:textId="596ED090" w:rsidR="00936D6A" w:rsidRPr="005B494D" w:rsidRDefault="0057711C" w:rsidP="00412BBF">
      <w:pPr>
        <w:pStyle w:val="Heading4"/>
      </w:pPr>
      <w:r>
        <w:t>2.3.</w:t>
      </w:r>
      <w:r>
        <w:t xml:space="preserve">4 </w:t>
      </w:r>
      <w:r w:rsidR="00936D6A" w:rsidRPr="005B494D">
        <w:t>Sleep duration</w:t>
      </w:r>
    </w:p>
    <w:p w14:paraId="3F4BF721" w14:textId="77777777" w:rsidR="009539CA" w:rsidRPr="005B494D" w:rsidRDefault="009539CA" w:rsidP="008B1869">
      <w:pPr>
        <w:spacing w:line="480" w:lineRule="auto"/>
        <w:jc w:val="both"/>
      </w:pPr>
      <w:r w:rsidRPr="005B494D">
        <w:t>Participants were asked about their sleep duration using the question: “About how many hours sleep do you get in every 24 hours? (please include naps)”. Responses of &lt;1 hour or &gt;23 hours were rejected, and responses of &lt;3 hours or &gt;12 hours required confirmation. Following Zhang et al. (2021), we categorized sleep duration into &lt;7, 7–8, and &gt;8 hours/day based on the data distribution and used it as a categorical covariate in the adjustment models.</w:t>
      </w:r>
    </w:p>
    <w:p w14:paraId="44AD0757" w14:textId="77777777" w:rsidR="009A3784" w:rsidRPr="005B494D" w:rsidRDefault="009A3784" w:rsidP="008B1869">
      <w:pPr>
        <w:spacing w:line="480" w:lineRule="auto"/>
        <w:jc w:val="both"/>
        <w:rPr>
          <w:rFonts w:hint="eastAsia"/>
        </w:rPr>
      </w:pPr>
    </w:p>
    <w:p w14:paraId="604A5FE3" w14:textId="1B8F947C" w:rsidR="00936D6A" w:rsidRPr="005B494D" w:rsidRDefault="0057711C" w:rsidP="00412BBF">
      <w:pPr>
        <w:pStyle w:val="Heading4"/>
      </w:pPr>
      <w:r>
        <w:t>2.3.</w:t>
      </w:r>
      <w:r>
        <w:t xml:space="preserve">5 </w:t>
      </w:r>
      <w:r w:rsidR="00936D6A" w:rsidRPr="005B494D">
        <w:t>Family history of dementia</w:t>
      </w:r>
    </w:p>
    <w:p w14:paraId="7A4D7259" w14:textId="39B32777" w:rsidR="00423392" w:rsidRPr="005B494D" w:rsidRDefault="00936D6A" w:rsidP="008B1869">
      <w:pPr>
        <w:spacing w:line="480" w:lineRule="auto"/>
        <w:jc w:val="both"/>
      </w:pPr>
      <w:r w:rsidRPr="005B494D">
        <w:t xml:space="preserve">Participants were asked to report whether their family members (father, adopted father, mother, adopted mother, brothers or sisters, adopted brothers or sisters) </w:t>
      </w:r>
      <w:r w:rsidR="00423392" w:rsidRPr="005B494D">
        <w:t>have ever</w:t>
      </w:r>
      <w:r w:rsidRPr="005B494D">
        <w:t xml:space="preserve"> suffered from </w:t>
      </w:r>
      <w:r w:rsidR="00423392" w:rsidRPr="005B494D">
        <w:t>any of a list of illnesses</w:t>
      </w:r>
      <w:r w:rsidRPr="005B494D">
        <w:t xml:space="preserve"> (including </w:t>
      </w:r>
      <w:r w:rsidR="009539CA" w:rsidRPr="005B494D">
        <w:t xml:space="preserve">Alzheimer’s disease/dementia, </w:t>
      </w:r>
      <w:r w:rsidRPr="005B494D">
        <w:t>heart disease, stroke</w:t>
      </w:r>
      <w:r w:rsidR="00423392" w:rsidRPr="005B494D">
        <w:t xml:space="preserve"> and</w:t>
      </w:r>
      <w:r w:rsidRPr="005B494D">
        <w:t xml:space="preserve"> diabetes</w:t>
      </w:r>
      <w:r w:rsidR="00423392" w:rsidRPr="005B494D">
        <w:t>),</w:t>
      </w:r>
      <w:r w:rsidR="009539CA" w:rsidRPr="005B494D">
        <w:t xml:space="preserve"> </w:t>
      </w:r>
      <w:r w:rsidRPr="005B494D">
        <w:t xml:space="preserve">with multiple </w:t>
      </w:r>
      <w:r w:rsidR="00423392" w:rsidRPr="005B494D">
        <w:t>selections</w:t>
      </w:r>
      <w:r w:rsidRPr="005B494D">
        <w:t xml:space="preserve"> </w:t>
      </w:r>
      <w:r w:rsidR="00423392" w:rsidRPr="005B494D">
        <w:t>allowed</w:t>
      </w:r>
      <w:r w:rsidRPr="005B494D">
        <w:t xml:space="preserve">. </w:t>
      </w:r>
      <w:r w:rsidR="00423392" w:rsidRPr="005B494D">
        <w:t>Participants reporting Alzheimer’s disease/dementia in any biological family members were classified as having a family history of dementia.</w:t>
      </w:r>
    </w:p>
    <w:p w14:paraId="47928CCE" w14:textId="77777777" w:rsidR="009539CA" w:rsidRPr="005B494D" w:rsidRDefault="009539CA" w:rsidP="008B1869">
      <w:pPr>
        <w:spacing w:line="480" w:lineRule="auto"/>
        <w:jc w:val="both"/>
      </w:pPr>
    </w:p>
    <w:p w14:paraId="2C5D441A" w14:textId="228DE4B5" w:rsidR="00423392" w:rsidRPr="005B494D" w:rsidRDefault="0057711C" w:rsidP="00412BBF">
      <w:pPr>
        <w:pStyle w:val="Heading4"/>
      </w:pPr>
      <w:r>
        <w:t>2.3.</w:t>
      </w:r>
      <w:r>
        <w:t>6</w:t>
      </w:r>
      <w:r>
        <w:t xml:space="preserve"> </w:t>
      </w:r>
      <w:r w:rsidR="00423392" w:rsidRPr="005B494D">
        <w:t>Waist-to-height ratio</w:t>
      </w:r>
    </w:p>
    <w:p w14:paraId="5C3A0CA2" w14:textId="77777777" w:rsidR="003F3D0B" w:rsidRPr="005B494D" w:rsidRDefault="003F3D0B" w:rsidP="008B1869">
      <w:pPr>
        <w:spacing w:line="480" w:lineRule="auto"/>
        <w:jc w:val="both"/>
      </w:pPr>
      <w:r w:rsidRPr="005B494D">
        <w:t>Waist-to-height ratio (</w:t>
      </w:r>
      <w:proofErr w:type="spellStart"/>
      <w:r w:rsidRPr="005B494D">
        <w:t>WHtR</w:t>
      </w:r>
      <w:proofErr w:type="spellEnd"/>
      <w:r w:rsidRPr="005B494D">
        <w:t xml:space="preserve">) was used as an indicator of central adiposity. Waist circumference and standing height were measured at baseline using standardized procedures. </w:t>
      </w:r>
      <w:proofErr w:type="spellStart"/>
      <w:r w:rsidRPr="005B494D">
        <w:t>WHtR</w:t>
      </w:r>
      <w:proofErr w:type="spellEnd"/>
      <w:r w:rsidRPr="005B494D">
        <w:t xml:space="preserve"> was calculated as waist circumference divided by height (with both measurements in the same units). We categorized </w:t>
      </w:r>
      <w:proofErr w:type="spellStart"/>
      <w:r w:rsidRPr="005B494D">
        <w:t>WHtR</w:t>
      </w:r>
      <w:proofErr w:type="spellEnd"/>
      <w:r w:rsidRPr="005B494D">
        <w:t xml:space="preserve"> into three groups according to National Institute for Health and Care Excellence (NICE) guidance: healthy central adiposity (0.40–0.49), increased central adiposity (0.50–0.59), and high central adiposity (≥0.60).</w:t>
      </w:r>
    </w:p>
    <w:p w14:paraId="2BD0324F" w14:textId="45F26492" w:rsidR="00936D6A" w:rsidRPr="005B494D" w:rsidRDefault="00936D6A" w:rsidP="008B1869">
      <w:pPr>
        <w:spacing w:after="200" w:line="480" w:lineRule="auto"/>
        <w:jc w:val="both"/>
      </w:pPr>
    </w:p>
    <w:p w14:paraId="1BE28483" w14:textId="70B3D0B1" w:rsidR="009539CA" w:rsidRPr="005B494D" w:rsidRDefault="0057711C" w:rsidP="00412BBF">
      <w:pPr>
        <w:pStyle w:val="Heading4"/>
      </w:pPr>
      <w:r>
        <w:t>2.3.</w:t>
      </w:r>
      <w:r>
        <w:t>7</w:t>
      </w:r>
      <w:r>
        <w:t xml:space="preserve"> </w:t>
      </w:r>
      <w:r w:rsidR="009539CA" w:rsidRPr="005B494D">
        <w:t xml:space="preserve">History of </w:t>
      </w:r>
      <w:r w:rsidR="000819F2" w:rsidRPr="005B494D">
        <w:t>cardiometabolic diseases</w:t>
      </w:r>
    </w:p>
    <w:p w14:paraId="7AC179D0" w14:textId="2CCC57F2" w:rsidR="000819F2" w:rsidRPr="005B494D" w:rsidRDefault="000819F2" w:rsidP="008B1869">
      <w:pPr>
        <w:spacing w:line="480" w:lineRule="auto"/>
        <w:jc w:val="both"/>
      </w:pPr>
      <w:r w:rsidRPr="005B494D">
        <w:t>History of diabetes was obtained from UK Biobank Field 2443, based on the question: “Has a doctor ever told you that you have diabetes?” History of heart attack, angina, stroke, or high blood pressure was obtained from UK Biobank Field 6150, where participants reported whether they had ever had any of these conditions (multiple selections allowed). Participants reporting any of the above conditions were classified as having a history of cardiometabolic disease.</w:t>
      </w:r>
    </w:p>
    <w:p w14:paraId="3656ADAA" w14:textId="26DA8842" w:rsidR="00352EA9" w:rsidRPr="005B494D" w:rsidRDefault="00352EA9" w:rsidP="000819F2"/>
    <w:p w14:paraId="28AA1BA1" w14:textId="77777777" w:rsidR="00352EA9" w:rsidRPr="005B494D" w:rsidRDefault="00352EA9" w:rsidP="008B1869">
      <w:pPr>
        <w:spacing w:line="360" w:lineRule="auto"/>
      </w:pPr>
    </w:p>
    <w:p w14:paraId="15AFD5AF" w14:textId="77777777" w:rsidR="00352EA9" w:rsidRPr="005B494D" w:rsidRDefault="00352EA9" w:rsidP="008B1869">
      <w:pPr>
        <w:pStyle w:val="Bibliography"/>
        <w:spacing w:line="360" w:lineRule="auto"/>
        <w:rPr>
          <w:rFonts w:ascii="Times New Roman" w:hAnsi="Times New Roman" w:cs="Times New Roman"/>
        </w:rPr>
      </w:pPr>
      <w:r w:rsidRPr="005B494D">
        <w:fldChar w:fldCharType="begin"/>
      </w:r>
      <w:r w:rsidRPr="005B494D">
        <w:instrText xml:space="preserve"> ADDIN ZOTERO_BIBL {"uncited":[],"omitted":[],"custom":[]} CSL_BIBLIOGRAPHY </w:instrText>
      </w:r>
      <w:r w:rsidRPr="005B494D">
        <w:fldChar w:fldCharType="separate"/>
      </w:r>
      <w:r w:rsidRPr="005B494D">
        <w:rPr>
          <w:rFonts w:ascii="Times New Roman" w:hAnsi="Times New Roman" w:cs="Times New Roman"/>
        </w:rPr>
        <w:t xml:space="preserve">Craig, C. L., Marshall, A. L., Sjöström, M., Bauman, A. E., Booth, M. L., Ainsworth, B. E., Pratt, M., Ekelund, U., Yngve, A., Sallis, J. F., &amp; Oja, P. (2003). International physical activity questionnaire: 12-country reliability and validity. </w:t>
      </w:r>
      <w:r w:rsidRPr="005B494D">
        <w:rPr>
          <w:rFonts w:ascii="Times New Roman" w:hAnsi="Times New Roman" w:cs="Times New Roman"/>
          <w:i/>
          <w:iCs/>
        </w:rPr>
        <w:t>Medicine and Science in Sports and Exercise</w:t>
      </w:r>
      <w:r w:rsidRPr="005B494D">
        <w:rPr>
          <w:rFonts w:ascii="Times New Roman" w:hAnsi="Times New Roman" w:cs="Times New Roman"/>
        </w:rPr>
        <w:t xml:space="preserve">, </w:t>
      </w:r>
      <w:r w:rsidRPr="005B494D">
        <w:rPr>
          <w:rFonts w:ascii="Times New Roman" w:hAnsi="Times New Roman" w:cs="Times New Roman"/>
          <w:i/>
          <w:iCs/>
        </w:rPr>
        <w:t>35</w:t>
      </w:r>
      <w:r w:rsidRPr="005B494D">
        <w:rPr>
          <w:rFonts w:ascii="Times New Roman" w:hAnsi="Times New Roman" w:cs="Times New Roman"/>
        </w:rPr>
        <w:t>(8), 1381–1395. https://doi.org/10.1249/01.MSS.0000078924.61453.FB</w:t>
      </w:r>
    </w:p>
    <w:p w14:paraId="15A56A61" w14:textId="77777777" w:rsidR="00352EA9" w:rsidRPr="005B494D" w:rsidRDefault="00352EA9" w:rsidP="008B1869">
      <w:pPr>
        <w:pStyle w:val="Bibliography"/>
        <w:spacing w:line="360" w:lineRule="auto"/>
        <w:rPr>
          <w:rFonts w:ascii="Times New Roman" w:hAnsi="Times New Roman" w:cs="Times New Roman"/>
        </w:rPr>
      </w:pPr>
      <w:r w:rsidRPr="005B494D">
        <w:rPr>
          <w:rFonts w:ascii="Times New Roman" w:hAnsi="Times New Roman" w:cs="Times New Roman"/>
        </w:rPr>
        <w:t xml:space="preserve">Textor, J., van der Zander, B., Gilthorpe, M. S., Liśkiewicz, M., &amp; Ellison, G. T. (2016). Robust causal inference using directed acyclic graphs: The R package ‘dagitty.’ </w:t>
      </w:r>
      <w:r w:rsidRPr="005B494D">
        <w:rPr>
          <w:rFonts w:ascii="Times New Roman" w:hAnsi="Times New Roman" w:cs="Times New Roman"/>
          <w:i/>
          <w:iCs/>
        </w:rPr>
        <w:t>International Journal of Epidemiology</w:t>
      </w:r>
      <w:r w:rsidRPr="005B494D">
        <w:rPr>
          <w:rFonts w:ascii="Times New Roman" w:hAnsi="Times New Roman" w:cs="Times New Roman"/>
        </w:rPr>
        <w:t xml:space="preserve">, </w:t>
      </w:r>
      <w:r w:rsidRPr="005B494D">
        <w:rPr>
          <w:rFonts w:ascii="Times New Roman" w:hAnsi="Times New Roman" w:cs="Times New Roman"/>
          <w:i/>
          <w:iCs/>
        </w:rPr>
        <w:t>45</w:t>
      </w:r>
      <w:r w:rsidRPr="005B494D">
        <w:rPr>
          <w:rFonts w:ascii="Times New Roman" w:hAnsi="Times New Roman" w:cs="Times New Roman"/>
        </w:rPr>
        <w:t>(6), 1887–1894. https://doi.org/10.1093/ije/dyw341</w:t>
      </w:r>
    </w:p>
    <w:p w14:paraId="05EEC084" w14:textId="77777777" w:rsidR="00352EA9" w:rsidRPr="005B494D" w:rsidRDefault="00352EA9" w:rsidP="008B1869">
      <w:pPr>
        <w:pStyle w:val="Bibliography"/>
        <w:spacing w:line="360" w:lineRule="auto"/>
        <w:rPr>
          <w:rFonts w:ascii="Times New Roman" w:hAnsi="Times New Roman" w:cs="Times New Roman"/>
        </w:rPr>
      </w:pPr>
      <w:r w:rsidRPr="005B494D">
        <w:rPr>
          <w:rFonts w:ascii="Times New Roman" w:hAnsi="Times New Roman" w:cs="Times New Roman"/>
        </w:rPr>
        <w:t xml:space="preserve">Townsend, P., Phillimore, P., &amp; Beattie, A. (2023). </w:t>
      </w:r>
      <w:r w:rsidRPr="005B494D">
        <w:rPr>
          <w:rFonts w:ascii="Times New Roman" w:hAnsi="Times New Roman" w:cs="Times New Roman"/>
          <w:i/>
          <w:iCs/>
        </w:rPr>
        <w:t>Health and Deprivation: Inequality and the North</w:t>
      </w:r>
      <w:r w:rsidRPr="005B494D">
        <w:rPr>
          <w:rFonts w:ascii="Times New Roman" w:hAnsi="Times New Roman" w:cs="Times New Roman"/>
        </w:rPr>
        <w:t>. Routledge. https://doi.org/10.4324/9781003368885</w:t>
      </w:r>
    </w:p>
    <w:p w14:paraId="629BE197" w14:textId="1AC866D3" w:rsidR="00352EA9" w:rsidRPr="005B494D" w:rsidRDefault="00352EA9" w:rsidP="008B1869">
      <w:pPr>
        <w:pStyle w:val="Bibliography"/>
        <w:spacing w:line="360" w:lineRule="auto"/>
      </w:pPr>
      <w:r w:rsidRPr="005B494D">
        <w:fldChar w:fldCharType="end"/>
      </w:r>
    </w:p>
    <w:p w14:paraId="4BD2EF91" w14:textId="0361B4FB" w:rsidR="003F0EE2" w:rsidRPr="005B494D" w:rsidRDefault="003F0EE2" w:rsidP="00412BBF">
      <w:pPr>
        <w:pStyle w:val="Heading1"/>
      </w:pPr>
      <w:bookmarkStart w:id="10" w:name="_Toc222048269"/>
      <w:r w:rsidRPr="005B494D">
        <w:lastRenderedPageBreak/>
        <w:t>Supplementary Figure 1</w:t>
      </w:r>
      <w:bookmarkEnd w:id="10"/>
      <w:r w:rsidRPr="005B494D">
        <w:t xml:space="preserve"> </w:t>
      </w:r>
    </w:p>
    <w:p w14:paraId="3DE17F24" w14:textId="594AD7D7" w:rsidR="005B0E71" w:rsidRPr="005B494D" w:rsidRDefault="00974271" w:rsidP="005B0E71">
      <w:pPr>
        <w:pStyle w:val="BodyText"/>
        <w:rPr>
          <w:rFonts w:ascii="Times New Roman" w:hAnsi="Times New Roman" w:cs="Times New Roman"/>
        </w:rPr>
      </w:pPr>
      <w:r w:rsidRPr="005B494D">
        <w:rPr>
          <w:rFonts w:ascii="Times New Roman" w:hAnsi="Times New Roman" w:cs="Times New Roman"/>
          <w:noProof/>
        </w:rPr>
        <w:drawing>
          <wp:inline distT="0" distB="0" distL="0" distR="0" wp14:anchorId="27474466" wp14:editId="5DE6D763">
            <wp:extent cx="5170496" cy="74772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chart_20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4006" cy="7496783"/>
                    </a:xfrm>
                    <a:prstGeom prst="rect">
                      <a:avLst/>
                    </a:prstGeom>
                  </pic:spPr>
                </pic:pic>
              </a:graphicData>
            </a:graphic>
          </wp:inline>
        </w:drawing>
      </w:r>
    </w:p>
    <w:p w14:paraId="0A31A89A" w14:textId="332A2A64" w:rsidR="003F0EE2" w:rsidRPr="005B494D" w:rsidRDefault="005B0E71" w:rsidP="005B0E71">
      <w:pPr>
        <w:pStyle w:val="BodyText"/>
        <w:rPr>
          <w:rFonts w:ascii="Times New Roman" w:hAnsi="Times New Roman" w:cs="Times New Roman"/>
        </w:rPr>
      </w:pPr>
      <w:r w:rsidRPr="005B494D">
        <w:rPr>
          <w:rFonts w:ascii="Times New Roman" w:hAnsi="Times New Roman" w:cs="Times New Roman"/>
        </w:rPr>
        <w:t>Supplementary Figure 1 Flowchart of participants in the UK Biobank cohort study</w:t>
      </w:r>
      <w:r w:rsidR="00974271" w:rsidRPr="005B494D">
        <w:rPr>
          <w:rFonts w:ascii="Times New Roman" w:hAnsi="Times New Roman" w:cs="Times New Roman"/>
        </w:rPr>
        <w:t xml:space="preserve">. </w:t>
      </w:r>
      <w:proofErr w:type="spellStart"/>
      <w:r w:rsidR="00974271" w:rsidRPr="005B494D">
        <w:rPr>
          <w:rFonts w:ascii="Times New Roman" w:hAnsi="Times New Roman" w:cs="Times New Roman"/>
        </w:rPr>
        <w:t>WHtR</w:t>
      </w:r>
      <w:proofErr w:type="spellEnd"/>
      <w:r w:rsidR="00974271" w:rsidRPr="005B494D">
        <w:rPr>
          <w:rFonts w:ascii="Times New Roman" w:hAnsi="Times New Roman" w:cs="Times New Roman"/>
        </w:rPr>
        <w:t>: Waist-to-height ratio.</w:t>
      </w:r>
      <w:r w:rsidR="003F0EE2" w:rsidRPr="005B494D">
        <w:rPr>
          <w:rFonts w:ascii="Times New Roman" w:hAnsi="Times New Roman" w:cs="Times New Roman"/>
        </w:rPr>
        <w:br w:type="page"/>
      </w:r>
    </w:p>
    <w:p w14:paraId="5156EFDE" w14:textId="3261DF0E" w:rsidR="00412BBF" w:rsidRDefault="00412BBF" w:rsidP="00412BBF">
      <w:pPr>
        <w:pStyle w:val="Heading1"/>
      </w:pPr>
      <w:bookmarkStart w:id="11" w:name="_Toc222048270"/>
      <w:r w:rsidRPr="005B494D">
        <w:lastRenderedPageBreak/>
        <w:t>Supplementary Table</w:t>
      </w:r>
      <w:r>
        <w:t>s</w:t>
      </w:r>
      <w:bookmarkEnd w:id="11"/>
    </w:p>
    <w:p w14:paraId="527CBBB9" w14:textId="5E25CA94" w:rsidR="003452B1" w:rsidRPr="005B494D" w:rsidRDefault="00421A23" w:rsidP="00421A23">
      <w:pPr>
        <w:pStyle w:val="FirstParagraph"/>
        <w:spacing w:before="0" w:after="0"/>
        <w:rPr>
          <w:rFonts w:ascii="Times New Roman" w:hAnsi="Times New Roman" w:cs="Times New Roman"/>
        </w:rPr>
      </w:pPr>
      <w:r w:rsidRPr="005B494D">
        <w:rPr>
          <w:rFonts w:ascii="Times New Roman" w:hAnsi="Times New Roman" w:cs="Times New Roman"/>
        </w:rPr>
        <w:t>Supplementary Table 1</w:t>
      </w:r>
      <w:r w:rsidR="00B90CA9" w:rsidRPr="005B494D">
        <w:rPr>
          <w:rFonts w:ascii="Times New Roman" w:hAnsi="Times New Roman" w:cs="Times New Roman"/>
        </w:rPr>
        <w:t xml:space="preserve"> Baseline characteristics of participants </w:t>
      </w:r>
      <w:r w:rsidR="000D2452" w:rsidRPr="005B494D">
        <w:rPr>
          <w:rFonts w:ascii="Times New Roman" w:hAnsi="Times New Roman" w:cs="Times New Roman"/>
        </w:rPr>
        <w:t>stratified</w:t>
      </w:r>
      <w:r w:rsidR="00B90CA9" w:rsidRPr="005B494D">
        <w:rPr>
          <w:rFonts w:ascii="Times New Roman" w:hAnsi="Times New Roman" w:cs="Times New Roman"/>
        </w:rPr>
        <w:t xml:space="preserve"> </w:t>
      </w:r>
      <w:r w:rsidR="000D2452" w:rsidRPr="005B494D">
        <w:rPr>
          <w:rFonts w:ascii="Times New Roman" w:hAnsi="Times New Roman" w:cs="Times New Roman"/>
        </w:rPr>
        <w:t>by</w:t>
      </w:r>
      <w:r w:rsidR="00B90CA9" w:rsidRPr="005B494D">
        <w:rPr>
          <w:rFonts w:ascii="Times New Roman" w:hAnsi="Times New Roman" w:cs="Times New Roman"/>
        </w:rPr>
        <w:t xml:space="preserve"> frequency</w:t>
      </w:r>
      <w:r w:rsidR="000D2452" w:rsidRPr="005B494D">
        <w:rPr>
          <w:rFonts w:ascii="Times New Roman" w:hAnsi="Times New Roman" w:cs="Times New Roman"/>
        </w:rPr>
        <w:t xml:space="preserve"> of</w:t>
      </w:r>
      <w:r w:rsidR="00B90CA9" w:rsidRPr="005B494D">
        <w:rPr>
          <w:rFonts w:ascii="Times New Roman" w:hAnsi="Times New Roman" w:cs="Times New Roman"/>
        </w:rPr>
        <w:t xml:space="preserve"> </w:t>
      </w:r>
      <w:r w:rsidR="000D2452" w:rsidRPr="005B494D">
        <w:rPr>
          <w:rFonts w:ascii="Times New Roman" w:hAnsi="Times New Roman" w:cs="Times New Roman"/>
        </w:rPr>
        <w:t xml:space="preserve">meat </w:t>
      </w:r>
      <w:r w:rsidR="00B90CA9" w:rsidRPr="005B494D">
        <w:rPr>
          <w:rFonts w:ascii="Times New Roman" w:hAnsi="Times New Roman" w:cs="Times New Roman"/>
        </w:rPr>
        <w:t xml:space="preserve">consumption </w:t>
      </w:r>
      <w:r w:rsidR="000D2452" w:rsidRPr="005B494D">
        <w:rPr>
          <w:rFonts w:ascii="Times New Roman" w:hAnsi="Times New Roman" w:cs="Times New Roman"/>
        </w:rPr>
        <w:t>in the UK Biobank cohort study</w:t>
      </w:r>
      <w:r w:rsidR="00B90CA9" w:rsidRPr="005B494D">
        <w:rPr>
          <w:rFonts w:ascii="Times New Roman" w:hAnsi="Times New Roman" w:cs="Times New Roman"/>
        </w:rPr>
        <w:t xml:space="preserve"> </w:t>
      </w:r>
    </w:p>
    <w:tbl>
      <w:tblPr>
        <w:tblStyle w:val="Table"/>
        <w:tblpPr w:leftFromText="180" w:rightFromText="180" w:vertAnchor="text" w:tblpXSpec="center" w:tblpY="1"/>
        <w:tblOverlap w:val="never"/>
        <w:tblW w:w="0" w:type="auto"/>
        <w:tblCellMar>
          <w:left w:w="60" w:type="dxa"/>
          <w:right w:w="60" w:type="dxa"/>
        </w:tblCellMar>
        <w:tblLook w:val="0000" w:firstRow="0" w:lastRow="0" w:firstColumn="0" w:lastColumn="0" w:noHBand="0" w:noVBand="0"/>
      </w:tblPr>
      <w:tblGrid>
        <w:gridCol w:w="3423"/>
        <w:gridCol w:w="1486"/>
        <w:gridCol w:w="1844"/>
        <w:gridCol w:w="1844"/>
        <w:gridCol w:w="861"/>
        <w:gridCol w:w="634"/>
      </w:tblGrid>
      <w:tr w:rsidR="005B494D" w:rsidRPr="005B494D" w14:paraId="38114359" w14:textId="77777777" w:rsidTr="00B34BD7">
        <w:trPr>
          <w:cantSplit/>
          <w:tblHeader/>
        </w:trPr>
        <w:tc>
          <w:tcPr>
            <w:tcW w:w="3423" w:type="dxa"/>
            <w:tcBorders>
              <w:top w:val="single" w:sz="16" w:space="0" w:color="D3D3D3"/>
              <w:left w:val="single" w:sz="0" w:space="0" w:color="D3D3D3"/>
              <w:bottom w:val="single" w:sz="16" w:space="0" w:color="D3D3D3"/>
            </w:tcBorders>
          </w:tcPr>
          <w:p w14:paraId="5E7D9B4F" w14:textId="77777777" w:rsidR="00421A23" w:rsidRPr="005B494D" w:rsidRDefault="00421A23" w:rsidP="00B90CA9">
            <w:pPr>
              <w:keepNext/>
              <w:spacing w:after="60"/>
            </w:pPr>
            <w:r w:rsidRPr="005B494D">
              <w:rPr>
                <w:b/>
                <w:sz w:val="20"/>
              </w:rPr>
              <w:t>Characteristic</w:t>
            </w:r>
          </w:p>
        </w:tc>
        <w:tc>
          <w:tcPr>
            <w:tcW w:w="1486" w:type="dxa"/>
            <w:tcBorders>
              <w:top w:val="single" w:sz="16" w:space="0" w:color="D3D3D3"/>
              <w:bottom w:val="single" w:sz="16" w:space="0" w:color="D3D3D3"/>
            </w:tcBorders>
          </w:tcPr>
          <w:p w14:paraId="13BC06CF" w14:textId="77777777" w:rsidR="00421A23" w:rsidRPr="005B494D" w:rsidRDefault="00421A23" w:rsidP="00B90CA9">
            <w:pPr>
              <w:keepNext/>
              <w:spacing w:after="60"/>
              <w:jc w:val="center"/>
              <w:rPr>
                <w:b/>
                <w:sz w:val="20"/>
              </w:rPr>
            </w:pPr>
            <w:r w:rsidRPr="005B494D">
              <w:rPr>
                <w:b/>
                <w:sz w:val="20"/>
              </w:rPr>
              <w:t>All Participants</w:t>
            </w:r>
            <w:r w:rsidRPr="005B494D">
              <w:rPr>
                <w:position w:val="6"/>
                <w:sz w:val="16"/>
                <w:szCs w:val="16"/>
              </w:rPr>
              <w:t>1</w:t>
            </w:r>
          </w:p>
          <w:p w14:paraId="2F5DF643" w14:textId="00F8A306" w:rsidR="00421A23" w:rsidRPr="005B494D" w:rsidRDefault="00421A23" w:rsidP="00B90CA9">
            <w:pPr>
              <w:keepNext/>
              <w:spacing w:after="60"/>
              <w:jc w:val="center"/>
            </w:pPr>
            <w:r w:rsidRPr="005B494D">
              <w:rPr>
                <w:sz w:val="20"/>
              </w:rPr>
              <w:t>N = 493,64</w:t>
            </w:r>
            <w:r w:rsidR="0072447C" w:rsidRPr="005B494D">
              <w:rPr>
                <w:sz w:val="20"/>
              </w:rPr>
              <w:t>4</w:t>
            </w:r>
          </w:p>
        </w:tc>
        <w:tc>
          <w:tcPr>
            <w:tcW w:w="1844" w:type="dxa"/>
            <w:tcBorders>
              <w:top w:val="single" w:sz="16" w:space="0" w:color="D3D3D3"/>
              <w:bottom w:val="single" w:sz="16" w:space="0" w:color="D3D3D3"/>
            </w:tcBorders>
          </w:tcPr>
          <w:p w14:paraId="42BD319F" w14:textId="77777777" w:rsidR="00421A23" w:rsidRPr="005B494D" w:rsidRDefault="00421A23" w:rsidP="00B90CA9">
            <w:pPr>
              <w:keepNext/>
              <w:spacing w:after="60"/>
              <w:jc w:val="center"/>
              <w:rPr>
                <w:b/>
                <w:sz w:val="20"/>
              </w:rPr>
            </w:pPr>
            <w:r w:rsidRPr="005B494D">
              <w:rPr>
                <w:b/>
                <w:sz w:val="20"/>
              </w:rPr>
              <w:t>High-frequency</w:t>
            </w:r>
          </w:p>
          <w:p w14:paraId="6F256CF6" w14:textId="77777777" w:rsidR="00421A23" w:rsidRPr="005B494D" w:rsidRDefault="00421A23" w:rsidP="00B90CA9">
            <w:pPr>
              <w:keepNext/>
              <w:spacing w:after="60"/>
              <w:jc w:val="center"/>
              <w:rPr>
                <w:b/>
                <w:bCs/>
                <w:sz w:val="20"/>
              </w:rPr>
            </w:pPr>
            <w:r w:rsidRPr="005B494D">
              <w:rPr>
                <w:b/>
                <w:bCs/>
                <w:sz w:val="20"/>
              </w:rPr>
              <w:t>meat consumption</w:t>
            </w:r>
            <w:r w:rsidRPr="005B494D">
              <w:rPr>
                <w:position w:val="6"/>
                <w:sz w:val="16"/>
                <w:szCs w:val="16"/>
              </w:rPr>
              <w:t>1</w:t>
            </w:r>
            <w:r w:rsidRPr="005B494D">
              <w:rPr>
                <w:b/>
                <w:bCs/>
                <w:sz w:val="20"/>
              </w:rPr>
              <w:t xml:space="preserve"> </w:t>
            </w:r>
          </w:p>
          <w:p w14:paraId="09D20F28" w14:textId="77777777" w:rsidR="00421A23" w:rsidRPr="005B494D" w:rsidRDefault="00421A23" w:rsidP="00B90CA9">
            <w:pPr>
              <w:keepNext/>
              <w:spacing w:after="60"/>
              <w:jc w:val="center"/>
            </w:pPr>
            <w:r w:rsidRPr="005B494D">
              <w:rPr>
                <w:sz w:val="20"/>
              </w:rPr>
              <w:t>N = 30,270</w:t>
            </w:r>
          </w:p>
        </w:tc>
        <w:tc>
          <w:tcPr>
            <w:tcW w:w="1844" w:type="dxa"/>
            <w:tcBorders>
              <w:top w:val="single" w:sz="16" w:space="0" w:color="D3D3D3"/>
              <w:bottom w:val="single" w:sz="16" w:space="0" w:color="D3D3D3"/>
              <w:right w:val="single" w:sz="0" w:space="0" w:color="D3D3D3"/>
            </w:tcBorders>
          </w:tcPr>
          <w:p w14:paraId="5A9C39B0" w14:textId="77777777" w:rsidR="00421A23" w:rsidRPr="005B494D" w:rsidRDefault="00421A23" w:rsidP="00B90CA9">
            <w:pPr>
              <w:keepNext/>
              <w:spacing w:after="60"/>
              <w:jc w:val="center"/>
              <w:rPr>
                <w:b/>
                <w:sz w:val="20"/>
              </w:rPr>
            </w:pPr>
            <w:r w:rsidRPr="005B494D">
              <w:rPr>
                <w:b/>
                <w:sz w:val="20"/>
              </w:rPr>
              <w:t>Low-frequency</w:t>
            </w:r>
          </w:p>
          <w:p w14:paraId="365DEBB5" w14:textId="77777777" w:rsidR="00421A23" w:rsidRPr="005B494D" w:rsidRDefault="00421A23" w:rsidP="00B90CA9">
            <w:pPr>
              <w:keepNext/>
              <w:spacing w:after="60"/>
              <w:jc w:val="center"/>
              <w:rPr>
                <w:b/>
                <w:bCs/>
                <w:sz w:val="20"/>
              </w:rPr>
            </w:pPr>
            <w:r w:rsidRPr="005B494D">
              <w:rPr>
                <w:b/>
                <w:bCs/>
                <w:sz w:val="20"/>
              </w:rPr>
              <w:t>meat consumption</w:t>
            </w:r>
            <w:r w:rsidRPr="005B494D">
              <w:rPr>
                <w:position w:val="6"/>
                <w:sz w:val="16"/>
                <w:szCs w:val="16"/>
              </w:rPr>
              <w:t>1</w:t>
            </w:r>
            <w:r w:rsidRPr="005B494D">
              <w:rPr>
                <w:b/>
                <w:bCs/>
                <w:sz w:val="20"/>
              </w:rPr>
              <w:t xml:space="preserve"> </w:t>
            </w:r>
          </w:p>
          <w:p w14:paraId="4C283F44" w14:textId="1AB9E869" w:rsidR="00421A23" w:rsidRPr="005B494D" w:rsidRDefault="00421A23" w:rsidP="00B90CA9">
            <w:pPr>
              <w:keepNext/>
              <w:spacing w:after="60"/>
              <w:jc w:val="center"/>
            </w:pPr>
            <w:r w:rsidRPr="005B494D">
              <w:rPr>
                <w:sz w:val="20"/>
              </w:rPr>
              <w:t>N = 463,37</w:t>
            </w:r>
            <w:r w:rsidR="0072447C" w:rsidRPr="005B494D">
              <w:rPr>
                <w:sz w:val="20"/>
              </w:rPr>
              <w:t>4</w:t>
            </w:r>
          </w:p>
        </w:tc>
        <w:tc>
          <w:tcPr>
            <w:tcW w:w="861" w:type="dxa"/>
            <w:tcBorders>
              <w:top w:val="single" w:sz="16" w:space="0" w:color="D3D3D3"/>
              <w:bottom w:val="single" w:sz="16" w:space="0" w:color="D3D3D3"/>
              <w:right w:val="single" w:sz="0" w:space="0" w:color="D3D3D3"/>
            </w:tcBorders>
          </w:tcPr>
          <w:p w14:paraId="3F0FFC9A" w14:textId="77777777" w:rsidR="00421A23" w:rsidRPr="005B494D" w:rsidRDefault="00421A23" w:rsidP="00B90CA9">
            <w:pPr>
              <w:keepNext/>
              <w:spacing w:after="60"/>
              <w:jc w:val="center"/>
              <w:rPr>
                <w:sz w:val="20"/>
              </w:rPr>
            </w:pPr>
          </w:p>
          <w:p w14:paraId="635A852C" w14:textId="56092246" w:rsidR="00421A23" w:rsidRPr="005B494D" w:rsidRDefault="00421A23" w:rsidP="00B90CA9">
            <w:pPr>
              <w:keepNext/>
              <w:spacing w:after="60"/>
              <w:jc w:val="center"/>
              <w:rPr>
                <w:b/>
                <w:sz w:val="20"/>
              </w:rPr>
            </w:pPr>
            <w:r w:rsidRPr="00C00E99">
              <w:rPr>
                <w:i/>
                <w:iCs/>
                <w:sz w:val="20"/>
              </w:rPr>
              <w:t>P</w:t>
            </w:r>
            <w:r w:rsidR="00C00E99">
              <w:rPr>
                <w:sz w:val="20"/>
              </w:rPr>
              <w:t xml:space="preserve"> </w:t>
            </w:r>
            <w:r w:rsidRPr="005B494D">
              <w:rPr>
                <w:sz w:val="20"/>
              </w:rPr>
              <w:t>value</w:t>
            </w:r>
            <w:r w:rsidRPr="005B494D">
              <w:rPr>
                <w:position w:val="6"/>
                <w:sz w:val="16"/>
                <w:szCs w:val="16"/>
              </w:rPr>
              <w:t>2</w:t>
            </w:r>
          </w:p>
        </w:tc>
        <w:tc>
          <w:tcPr>
            <w:tcW w:w="634" w:type="dxa"/>
            <w:tcBorders>
              <w:top w:val="single" w:sz="16" w:space="0" w:color="D3D3D3"/>
              <w:bottom w:val="single" w:sz="16" w:space="0" w:color="D3D3D3"/>
              <w:right w:val="single" w:sz="0" w:space="0" w:color="D3D3D3"/>
            </w:tcBorders>
          </w:tcPr>
          <w:p w14:paraId="22B3D209" w14:textId="77777777" w:rsidR="00421A23" w:rsidRPr="005B494D" w:rsidRDefault="00421A23" w:rsidP="00B90CA9">
            <w:pPr>
              <w:keepNext/>
              <w:spacing w:after="60"/>
              <w:jc w:val="center"/>
              <w:rPr>
                <w:sz w:val="20"/>
              </w:rPr>
            </w:pPr>
          </w:p>
          <w:p w14:paraId="678D7012" w14:textId="77777777" w:rsidR="00421A23" w:rsidRPr="005B494D" w:rsidRDefault="00421A23" w:rsidP="00B90CA9">
            <w:pPr>
              <w:keepNext/>
              <w:spacing w:after="60"/>
              <w:jc w:val="center"/>
              <w:rPr>
                <w:b/>
                <w:sz w:val="20"/>
              </w:rPr>
            </w:pPr>
            <w:r w:rsidRPr="005B494D">
              <w:rPr>
                <w:sz w:val="20"/>
              </w:rPr>
              <w:t>SMD</w:t>
            </w:r>
            <w:r w:rsidRPr="005B494D">
              <w:rPr>
                <w:position w:val="6"/>
                <w:sz w:val="16"/>
                <w:szCs w:val="16"/>
              </w:rPr>
              <w:t>3</w:t>
            </w:r>
          </w:p>
        </w:tc>
      </w:tr>
      <w:tr w:rsidR="005B494D" w:rsidRPr="005B494D" w14:paraId="432DE236"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09517AE3" w14:textId="77777777" w:rsidR="00421A23" w:rsidRPr="005B494D" w:rsidRDefault="00421A23" w:rsidP="00B90CA9">
            <w:pPr>
              <w:keepNext/>
              <w:spacing w:after="60"/>
            </w:pPr>
            <w:r w:rsidRPr="005B494D">
              <w:rPr>
                <w:b/>
                <w:sz w:val="20"/>
              </w:rPr>
              <w:t>Dementia Incidence during follow-up</w:t>
            </w:r>
          </w:p>
        </w:tc>
        <w:tc>
          <w:tcPr>
            <w:tcW w:w="1486" w:type="dxa"/>
            <w:tcBorders>
              <w:top w:val="single" w:sz="0" w:space="0" w:color="D3D3D3"/>
              <w:left w:val="single" w:sz="0" w:space="0" w:color="D3D3D3"/>
              <w:bottom w:val="single" w:sz="0" w:space="0" w:color="D3D3D3"/>
              <w:right w:val="single" w:sz="0" w:space="0" w:color="D3D3D3"/>
            </w:tcBorders>
          </w:tcPr>
          <w:p w14:paraId="15E409DE" w14:textId="77777777" w:rsidR="00421A23" w:rsidRPr="005B494D" w:rsidRDefault="00421A23" w:rsidP="00B90CA9">
            <w:pPr>
              <w:keepNext/>
              <w:spacing w:after="60"/>
              <w:jc w:val="center"/>
            </w:pPr>
            <w:r w:rsidRPr="005B494D">
              <w:rPr>
                <w:sz w:val="20"/>
              </w:rPr>
              <w:t>10,952 (2.2%)</w:t>
            </w:r>
          </w:p>
        </w:tc>
        <w:tc>
          <w:tcPr>
            <w:tcW w:w="1844" w:type="dxa"/>
            <w:tcBorders>
              <w:top w:val="single" w:sz="0" w:space="0" w:color="D3D3D3"/>
              <w:left w:val="single" w:sz="0" w:space="0" w:color="D3D3D3"/>
              <w:bottom w:val="single" w:sz="0" w:space="0" w:color="D3D3D3"/>
              <w:right w:val="single" w:sz="0" w:space="0" w:color="D3D3D3"/>
            </w:tcBorders>
          </w:tcPr>
          <w:p w14:paraId="685B545A" w14:textId="77777777" w:rsidR="00421A23" w:rsidRPr="005B494D" w:rsidRDefault="00421A23" w:rsidP="00B90CA9">
            <w:pPr>
              <w:keepNext/>
              <w:spacing w:after="60"/>
              <w:jc w:val="center"/>
            </w:pPr>
            <w:r w:rsidRPr="005B494D">
              <w:rPr>
                <w:sz w:val="20"/>
              </w:rPr>
              <w:t>740 (2.4%)</w:t>
            </w:r>
          </w:p>
        </w:tc>
        <w:tc>
          <w:tcPr>
            <w:tcW w:w="1844" w:type="dxa"/>
            <w:tcBorders>
              <w:top w:val="single" w:sz="0" w:space="0" w:color="D3D3D3"/>
              <w:left w:val="single" w:sz="0" w:space="0" w:color="D3D3D3"/>
              <w:bottom w:val="single" w:sz="0" w:space="0" w:color="D3D3D3"/>
              <w:right w:val="single" w:sz="0" w:space="0" w:color="D3D3D3"/>
            </w:tcBorders>
          </w:tcPr>
          <w:p w14:paraId="12BFDE35" w14:textId="77777777" w:rsidR="00421A23" w:rsidRPr="005B494D" w:rsidRDefault="00421A23" w:rsidP="00B90CA9">
            <w:pPr>
              <w:keepNext/>
              <w:spacing w:after="60"/>
              <w:jc w:val="center"/>
            </w:pPr>
            <w:r w:rsidRPr="005B494D">
              <w:rPr>
                <w:sz w:val="20"/>
              </w:rPr>
              <w:t>10,212 (2.2%)</w:t>
            </w:r>
          </w:p>
        </w:tc>
        <w:tc>
          <w:tcPr>
            <w:tcW w:w="861" w:type="dxa"/>
            <w:tcBorders>
              <w:top w:val="single" w:sz="0" w:space="0" w:color="D3D3D3"/>
              <w:left w:val="single" w:sz="0" w:space="0" w:color="D3D3D3"/>
              <w:bottom w:val="single" w:sz="0" w:space="0" w:color="D3D3D3"/>
              <w:right w:val="single" w:sz="0" w:space="0" w:color="D3D3D3"/>
            </w:tcBorders>
          </w:tcPr>
          <w:p w14:paraId="65BC651A" w14:textId="77777777" w:rsidR="00421A23" w:rsidRPr="005B494D" w:rsidRDefault="00421A23" w:rsidP="00B90CA9">
            <w:pPr>
              <w:keepNext/>
              <w:spacing w:after="60"/>
              <w:jc w:val="center"/>
              <w:rPr>
                <w:sz w:val="20"/>
              </w:rPr>
            </w:pPr>
            <w:r w:rsidRPr="005B494D">
              <w:rPr>
                <w:sz w:val="20"/>
              </w:rPr>
              <w:t>0.006</w:t>
            </w:r>
          </w:p>
        </w:tc>
        <w:tc>
          <w:tcPr>
            <w:tcW w:w="634" w:type="dxa"/>
            <w:tcBorders>
              <w:top w:val="single" w:sz="0" w:space="0" w:color="D3D3D3"/>
              <w:left w:val="single" w:sz="0" w:space="0" w:color="D3D3D3"/>
              <w:bottom w:val="single" w:sz="0" w:space="0" w:color="D3D3D3"/>
              <w:right w:val="single" w:sz="0" w:space="0" w:color="D3D3D3"/>
            </w:tcBorders>
          </w:tcPr>
          <w:p w14:paraId="077F8C16" w14:textId="77777777" w:rsidR="00421A23" w:rsidRPr="005B494D" w:rsidRDefault="00421A23" w:rsidP="00B90CA9">
            <w:pPr>
              <w:keepNext/>
              <w:spacing w:after="60"/>
              <w:jc w:val="center"/>
              <w:rPr>
                <w:sz w:val="20"/>
              </w:rPr>
            </w:pPr>
            <w:r w:rsidRPr="005B494D">
              <w:rPr>
                <w:sz w:val="20"/>
              </w:rPr>
              <w:t>0.02</w:t>
            </w:r>
          </w:p>
        </w:tc>
      </w:tr>
      <w:tr w:rsidR="005B494D" w:rsidRPr="005B494D" w14:paraId="5AF00154"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524C10A0" w14:textId="77777777" w:rsidR="00421A23" w:rsidRPr="005B494D" w:rsidRDefault="00421A23" w:rsidP="00B90CA9">
            <w:pPr>
              <w:keepNext/>
              <w:spacing w:after="60"/>
            </w:pPr>
            <w:r w:rsidRPr="005B494D">
              <w:rPr>
                <w:b/>
                <w:sz w:val="20"/>
              </w:rPr>
              <w:t>Age at baseline (year)</w:t>
            </w:r>
          </w:p>
        </w:tc>
        <w:tc>
          <w:tcPr>
            <w:tcW w:w="1486" w:type="dxa"/>
            <w:tcBorders>
              <w:top w:val="single" w:sz="0" w:space="0" w:color="D3D3D3"/>
              <w:left w:val="single" w:sz="0" w:space="0" w:color="D3D3D3"/>
              <w:bottom w:val="single" w:sz="0" w:space="0" w:color="D3D3D3"/>
              <w:right w:val="single" w:sz="0" w:space="0" w:color="D3D3D3"/>
            </w:tcBorders>
          </w:tcPr>
          <w:p w14:paraId="4B26B040" w14:textId="77777777" w:rsidR="00421A23" w:rsidRPr="005B494D" w:rsidRDefault="00421A23" w:rsidP="00B90CA9">
            <w:pPr>
              <w:keepNext/>
              <w:spacing w:after="60"/>
              <w:jc w:val="center"/>
            </w:pPr>
            <w:r w:rsidRPr="005B494D">
              <w:rPr>
                <w:sz w:val="20"/>
              </w:rPr>
              <w:t>56.5 ± 8.1</w:t>
            </w:r>
          </w:p>
        </w:tc>
        <w:tc>
          <w:tcPr>
            <w:tcW w:w="1844" w:type="dxa"/>
            <w:tcBorders>
              <w:top w:val="single" w:sz="0" w:space="0" w:color="D3D3D3"/>
              <w:left w:val="single" w:sz="0" w:space="0" w:color="D3D3D3"/>
              <w:bottom w:val="single" w:sz="0" w:space="0" w:color="D3D3D3"/>
              <w:right w:val="single" w:sz="0" w:space="0" w:color="D3D3D3"/>
            </w:tcBorders>
          </w:tcPr>
          <w:p w14:paraId="26447732" w14:textId="77777777" w:rsidR="00421A23" w:rsidRPr="005B494D" w:rsidRDefault="00421A23" w:rsidP="00B90CA9">
            <w:pPr>
              <w:keepNext/>
              <w:spacing w:after="60"/>
              <w:jc w:val="center"/>
            </w:pPr>
            <w:r w:rsidRPr="005B494D">
              <w:rPr>
                <w:sz w:val="20"/>
              </w:rPr>
              <w:t>55.1 ± 8.4</w:t>
            </w:r>
          </w:p>
        </w:tc>
        <w:tc>
          <w:tcPr>
            <w:tcW w:w="1844" w:type="dxa"/>
            <w:tcBorders>
              <w:top w:val="single" w:sz="0" w:space="0" w:color="D3D3D3"/>
              <w:left w:val="single" w:sz="0" w:space="0" w:color="D3D3D3"/>
              <w:bottom w:val="single" w:sz="0" w:space="0" w:color="D3D3D3"/>
              <w:right w:val="single" w:sz="0" w:space="0" w:color="D3D3D3"/>
            </w:tcBorders>
          </w:tcPr>
          <w:p w14:paraId="2B9D7AE1" w14:textId="77777777" w:rsidR="00421A23" w:rsidRPr="005B494D" w:rsidRDefault="00421A23" w:rsidP="00B90CA9">
            <w:pPr>
              <w:keepNext/>
              <w:spacing w:after="60"/>
              <w:jc w:val="center"/>
            </w:pPr>
            <w:r w:rsidRPr="005B494D">
              <w:rPr>
                <w:sz w:val="20"/>
              </w:rPr>
              <w:t>56.6 ± 8.1</w:t>
            </w:r>
          </w:p>
        </w:tc>
        <w:tc>
          <w:tcPr>
            <w:tcW w:w="861" w:type="dxa"/>
            <w:tcBorders>
              <w:top w:val="single" w:sz="0" w:space="0" w:color="D3D3D3"/>
              <w:left w:val="single" w:sz="0" w:space="0" w:color="D3D3D3"/>
              <w:bottom w:val="single" w:sz="0" w:space="0" w:color="D3D3D3"/>
              <w:right w:val="single" w:sz="0" w:space="0" w:color="D3D3D3"/>
            </w:tcBorders>
          </w:tcPr>
          <w:p w14:paraId="537FC8AD" w14:textId="77777777" w:rsidR="00421A23" w:rsidRPr="005B494D" w:rsidRDefault="00421A23" w:rsidP="00B90CA9">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684284DD" w14:textId="77777777" w:rsidR="00421A23" w:rsidRPr="005B494D" w:rsidRDefault="00421A23" w:rsidP="00B90CA9">
            <w:pPr>
              <w:keepNext/>
              <w:spacing w:after="60"/>
              <w:jc w:val="center"/>
              <w:rPr>
                <w:sz w:val="20"/>
              </w:rPr>
            </w:pPr>
            <w:r w:rsidRPr="005B494D">
              <w:rPr>
                <w:sz w:val="20"/>
              </w:rPr>
              <w:t>0.19</w:t>
            </w:r>
          </w:p>
        </w:tc>
      </w:tr>
      <w:tr w:rsidR="005B494D" w:rsidRPr="005B494D" w14:paraId="03D09546"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446FD4B3" w14:textId="77777777" w:rsidR="00421A23" w:rsidRPr="005B494D" w:rsidRDefault="00421A23" w:rsidP="00B90CA9">
            <w:pPr>
              <w:keepNext/>
              <w:spacing w:after="60"/>
            </w:pPr>
            <w:r w:rsidRPr="005B494D">
              <w:rPr>
                <w:b/>
                <w:sz w:val="20"/>
              </w:rPr>
              <w:t>Duration of follow-up (year)</w:t>
            </w:r>
          </w:p>
        </w:tc>
        <w:tc>
          <w:tcPr>
            <w:tcW w:w="1486" w:type="dxa"/>
            <w:tcBorders>
              <w:top w:val="single" w:sz="0" w:space="0" w:color="D3D3D3"/>
              <w:left w:val="single" w:sz="0" w:space="0" w:color="D3D3D3"/>
              <w:bottom w:val="single" w:sz="0" w:space="0" w:color="D3D3D3"/>
              <w:right w:val="single" w:sz="0" w:space="0" w:color="D3D3D3"/>
            </w:tcBorders>
          </w:tcPr>
          <w:p w14:paraId="113FA10F" w14:textId="77777777" w:rsidR="00421A23" w:rsidRPr="005B494D" w:rsidRDefault="00421A23" w:rsidP="00B90CA9">
            <w:pPr>
              <w:keepNext/>
              <w:spacing w:after="60"/>
              <w:jc w:val="center"/>
            </w:pPr>
            <w:r w:rsidRPr="005B494D">
              <w:rPr>
                <w:sz w:val="20"/>
              </w:rPr>
              <w:t>14.7 ± 2.4</w:t>
            </w:r>
          </w:p>
        </w:tc>
        <w:tc>
          <w:tcPr>
            <w:tcW w:w="1844" w:type="dxa"/>
            <w:tcBorders>
              <w:top w:val="single" w:sz="0" w:space="0" w:color="D3D3D3"/>
              <w:left w:val="single" w:sz="0" w:space="0" w:color="D3D3D3"/>
              <w:bottom w:val="single" w:sz="0" w:space="0" w:color="D3D3D3"/>
              <w:right w:val="single" w:sz="0" w:space="0" w:color="D3D3D3"/>
            </w:tcBorders>
          </w:tcPr>
          <w:p w14:paraId="5112819B" w14:textId="77777777" w:rsidR="00421A23" w:rsidRPr="005B494D" w:rsidRDefault="00421A23" w:rsidP="00B90CA9">
            <w:pPr>
              <w:keepNext/>
              <w:spacing w:after="60"/>
              <w:jc w:val="center"/>
            </w:pPr>
            <w:r w:rsidRPr="005B494D">
              <w:rPr>
                <w:sz w:val="20"/>
              </w:rPr>
              <w:t>14.6 ± 2.7</w:t>
            </w:r>
          </w:p>
        </w:tc>
        <w:tc>
          <w:tcPr>
            <w:tcW w:w="1844" w:type="dxa"/>
            <w:tcBorders>
              <w:top w:val="single" w:sz="0" w:space="0" w:color="D3D3D3"/>
              <w:left w:val="single" w:sz="0" w:space="0" w:color="D3D3D3"/>
              <w:bottom w:val="single" w:sz="0" w:space="0" w:color="D3D3D3"/>
              <w:right w:val="single" w:sz="0" w:space="0" w:color="D3D3D3"/>
            </w:tcBorders>
          </w:tcPr>
          <w:p w14:paraId="4E030A40" w14:textId="77777777" w:rsidR="00421A23" w:rsidRPr="005B494D" w:rsidRDefault="00421A23" w:rsidP="00B90CA9">
            <w:pPr>
              <w:keepNext/>
              <w:spacing w:after="60"/>
              <w:jc w:val="center"/>
            </w:pPr>
            <w:r w:rsidRPr="005B494D">
              <w:rPr>
                <w:sz w:val="20"/>
              </w:rPr>
              <w:t>14.8 ± 2.4</w:t>
            </w:r>
          </w:p>
        </w:tc>
        <w:tc>
          <w:tcPr>
            <w:tcW w:w="861" w:type="dxa"/>
            <w:tcBorders>
              <w:top w:val="single" w:sz="0" w:space="0" w:color="D3D3D3"/>
              <w:left w:val="single" w:sz="0" w:space="0" w:color="D3D3D3"/>
              <w:bottom w:val="single" w:sz="0" w:space="0" w:color="D3D3D3"/>
              <w:right w:val="single" w:sz="0" w:space="0" w:color="D3D3D3"/>
            </w:tcBorders>
          </w:tcPr>
          <w:p w14:paraId="65AD0526" w14:textId="77777777" w:rsidR="00421A23" w:rsidRPr="005B494D" w:rsidRDefault="00421A23" w:rsidP="00B90CA9">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39AB8315" w14:textId="77777777" w:rsidR="00421A23" w:rsidRPr="005B494D" w:rsidRDefault="00421A23" w:rsidP="00B90CA9">
            <w:pPr>
              <w:keepNext/>
              <w:spacing w:after="60"/>
              <w:jc w:val="center"/>
              <w:rPr>
                <w:sz w:val="20"/>
              </w:rPr>
            </w:pPr>
            <w:r w:rsidRPr="005B494D">
              <w:rPr>
                <w:sz w:val="20"/>
              </w:rPr>
              <w:t>0.07</w:t>
            </w:r>
          </w:p>
        </w:tc>
      </w:tr>
      <w:tr w:rsidR="005B494D" w:rsidRPr="005B494D" w14:paraId="4544E9B9"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24B6EC4F" w14:textId="09444BCD" w:rsidR="003741CE" w:rsidRPr="005B494D" w:rsidRDefault="003741CE" w:rsidP="003741CE">
            <w:pPr>
              <w:keepNext/>
              <w:spacing w:after="60"/>
              <w:rPr>
                <w:b/>
                <w:sz w:val="20"/>
              </w:rPr>
            </w:pPr>
            <w:r w:rsidRPr="005B494D">
              <w:rPr>
                <w:b/>
                <w:sz w:val="20"/>
              </w:rPr>
              <w:t>Sex</w:t>
            </w:r>
          </w:p>
        </w:tc>
        <w:tc>
          <w:tcPr>
            <w:tcW w:w="1486" w:type="dxa"/>
            <w:tcBorders>
              <w:top w:val="single" w:sz="0" w:space="0" w:color="D3D3D3"/>
              <w:left w:val="single" w:sz="0" w:space="0" w:color="D3D3D3"/>
              <w:bottom w:val="single" w:sz="0" w:space="0" w:color="D3D3D3"/>
              <w:right w:val="single" w:sz="0" w:space="0" w:color="D3D3D3"/>
            </w:tcBorders>
          </w:tcPr>
          <w:p w14:paraId="18945158" w14:textId="77777777" w:rsidR="003741CE" w:rsidRPr="005B494D" w:rsidRDefault="003741CE" w:rsidP="003741CE">
            <w:pPr>
              <w:keepNext/>
              <w:spacing w:after="60"/>
              <w:jc w:val="center"/>
              <w:rPr>
                <w:sz w:val="20"/>
              </w:rPr>
            </w:pPr>
          </w:p>
        </w:tc>
        <w:tc>
          <w:tcPr>
            <w:tcW w:w="1844" w:type="dxa"/>
            <w:tcBorders>
              <w:top w:val="single" w:sz="0" w:space="0" w:color="D3D3D3"/>
              <w:left w:val="single" w:sz="0" w:space="0" w:color="D3D3D3"/>
              <w:bottom w:val="single" w:sz="0" w:space="0" w:color="D3D3D3"/>
              <w:right w:val="single" w:sz="0" w:space="0" w:color="D3D3D3"/>
            </w:tcBorders>
          </w:tcPr>
          <w:p w14:paraId="0D014AC1" w14:textId="77777777" w:rsidR="003741CE" w:rsidRPr="005B494D" w:rsidRDefault="003741CE" w:rsidP="003741CE">
            <w:pPr>
              <w:keepNext/>
              <w:spacing w:after="60"/>
              <w:jc w:val="center"/>
              <w:rPr>
                <w:sz w:val="20"/>
              </w:rPr>
            </w:pPr>
          </w:p>
        </w:tc>
        <w:tc>
          <w:tcPr>
            <w:tcW w:w="1844" w:type="dxa"/>
            <w:tcBorders>
              <w:top w:val="single" w:sz="0" w:space="0" w:color="D3D3D3"/>
              <w:left w:val="single" w:sz="0" w:space="0" w:color="D3D3D3"/>
              <w:bottom w:val="single" w:sz="0" w:space="0" w:color="D3D3D3"/>
              <w:right w:val="single" w:sz="0" w:space="0" w:color="D3D3D3"/>
            </w:tcBorders>
          </w:tcPr>
          <w:p w14:paraId="059D80EB" w14:textId="77777777" w:rsidR="003741CE" w:rsidRPr="005B494D" w:rsidRDefault="003741CE" w:rsidP="003741CE">
            <w:pPr>
              <w:keepNext/>
              <w:spacing w:after="60"/>
              <w:jc w:val="center"/>
              <w:rPr>
                <w:sz w:val="20"/>
              </w:rPr>
            </w:pPr>
          </w:p>
        </w:tc>
        <w:tc>
          <w:tcPr>
            <w:tcW w:w="861" w:type="dxa"/>
            <w:tcBorders>
              <w:top w:val="single" w:sz="0" w:space="0" w:color="D3D3D3"/>
              <w:left w:val="single" w:sz="0" w:space="0" w:color="D3D3D3"/>
              <w:bottom w:val="single" w:sz="0" w:space="0" w:color="D3D3D3"/>
              <w:right w:val="single" w:sz="0" w:space="0" w:color="D3D3D3"/>
            </w:tcBorders>
          </w:tcPr>
          <w:p w14:paraId="066770B2" w14:textId="1C1CBCEF" w:rsidR="003741CE" w:rsidRPr="005B494D" w:rsidRDefault="003741CE" w:rsidP="003741CE">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495B0E6B" w14:textId="1588DEEA" w:rsidR="003741CE" w:rsidRPr="005B494D" w:rsidRDefault="003741CE" w:rsidP="003741CE">
            <w:pPr>
              <w:keepNext/>
              <w:spacing w:after="60"/>
              <w:jc w:val="center"/>
              <w:rPr>
                <w:sz w:val="20"/>
              </w:rPr>
            </w:pPr>
            <w:r w:rsidRPr="005B494D">
              <w:rPr>
                <w:sz w:val="20"/>
              </w:rPr>
              <w:t>0.40</w:t>
            </w:r>
          </w:p>
        </w:tc>
      </w:tr>
      <w:tr w:rsidR="005B494D" w:rsidRPr="005B494D" w14:paraId="57E442E4"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1D54751B" w14:textId="3EDC726D" w:rsidR="003741CE" w:rsidRPr="005B494D" w:rsidRDefault="003741CE" w:rsidP="003741CE">
            <w:pPr>
              <w:keepNext/>
              <w:spacing w:after="60"/>
              <w:rPr>
                <w:b/>
                <w:sz w:val="20"/>
              </w:rPr>
            </w:pPr>
            <w:r w:rsidRPr="005B494D">
              <w:rPr>
                <w:sz w:val="20"/>
              </w:rPr>
              <w:t>    Male</w:t>
            </w:r>
          </w:p>
        </w:tc>
        <w:tc>
          <w:tcPr>
            <w:tcW w:w="1486" w:type="dxa"/>
            <w:tcBorders>
              <w:top w:val="single" w:sz="0" w:space="0" w:color="D3D3D3"/>
              <w:left w:val="single" w:sz="0" w:space="0" w:color="D3D3D3"/>
              <w:bottom w:val="single" w:sz="0" w:space="0" w:color="D3D3D3"/>
              <w:right w:val="single" w:sz="0" w:space="0" w:color="D3D3D3"/>
            </w:tcBorders>
          </w:tcPr>
          <w:p w14:paraId="4C1D3FD6" w14:textId="2A1E9B03" w:rsidR="003741CE" w:rsidRPr="005B494D" w:rsidRDefault="003741CE" w:rsidP="003741CE">
            <w:pPr>
              <w:keepNext/>
              <w:spacing w:after="60"/>
              <w:jc w:val="center"/>
              <w:rPr>
                <w:sz w:val="20"/>
              </w:rPr>
            </w:pPr>
            <w:r w:rsidRPr="005B494D">
              <w:rPr>
                <w:sz w:val="20"/>
              </w:rPr>
              <w:t>224,646 (45.5%)</w:t>
            </w:r>
          </w:p>
        </w:tc>
        <w:tc>
          <w:tcPr>
            <w:tcW w:w="1844" w:type="dxa"/>
            <w:tcBorders>
              <w:top w:val="single" w:sz="0" w:space="0" w:color="D3D3D3"/>
              <w:left w:val="single" w:sz="0" w:space="0" w:color="D3D3D3"/>
              <w:bottom w:val="single" w:sz="0" w:space="0" w:color="D3D3D3"/>
              <w:right w:val="single" w:sz="0" w:space="0" w:color="D3D3D3"/>
            </w:tcBorders>
          </w:tcPr>
          <w:p w14:paraId="1926C2F8" w14:textId="732D8CA4" w:rsidR="003741CE" w:rsidRPr="005B494D" w:rsidRDefault="003741CE" w:rsidP="003741CE">
            <w:pPr>
              <w:keepNext/>
              <w:spacing w:after="60"/>
              <w:jc w:val="center"/>
              <w:rPr>
                <w:sz w:val="20"/>
              </w:rPr>
            </w:pPr>
            <w:r w:rsidRPr="005B494D">
              <w:rPr>
                <w:sz w:val="20"/>
              </w:rPr>
              <w:t>19,280 (63.7%)</w:t>
            </w:r>
          </w:p>
        </w:tc>
        <w:tc>
          <w:tcPr>
            <w:tcW w:w="1844" w:type="dxa"/>
            <w:tcBorders>
              <w:top w:val="single" w:sz="0" w:space="0" w:color="D3D3D3"/>
              <w:left w:val="single" w:sz="0" w:space="0" w:color="D3D3D3"/>
              <w:bottom w:val="single" w:sz="0" w:space="0" w:color="D3D3D3"/>
              <w:right w:val="single" w:sz="0" w:space="0" w:color="D3D3D3"/>
            </w:tcBorders>
          </w:tcPr>
          <w:p w14:paraId="7F126FD8" w14:textId="35796584" w:rsidR="003741CE" w:rsidRPr="005B494D" w:rsidRDefault="003741CE" w:rsidP="003741CE">
            <w:pPr>
              <w:keepNext/>
              <w:spacing w:after="60"/>
              <w:jc w:val="center"/>
              <w:rPr>
                <w:sz w:val="20"/>
              </w:rPr>
            </w:pPr>
            <w:r w:rsidRPr="005B494D">
              <w:rPr>
                <w:sz w:val="20"/>
              </w:rPr>
              <w:t>205,366 (44.3%)</w:t>
            </w:r>
          </w:p>
        </w:tc>
        <w:tc>
          <w:tcPr>
            <w:tcW w:w="861" w:type="dxa"/>
            <w:tcBorders>
              <w:top w:val="single" w:sz="0" w:space="0" w:color="D3D3D3"/>
              <w:left w:val="single" w:sz="0" w:space="0" w:color="D3D3D3"/>
              <w:bottom w:val="single" w:sz="0" w:space="0" w:color="D3D3D3"/>
              <w:right w:val="single" w:sz="0" w:space="0" w:color="D3D3D3"/>
            </w:tcBorders>
          </w:tcPr>
          <w:p w14:paraId="0159A3D0"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66EE1D3B" w14:textId="77777777" w:rsidR="003741CE" w:rsidRPr="005B494D" w:rsidRDefault="003741CE" w:rsidP="003741CE">
            <w:pPr>
              <w:keepNext/>
              <w:spacing w:after="60"/>
              <w:jc w:val="center"/>
              <w:rPr>
                <w:sz w:val="20"/>
              </w:rPr>
            </w:pPr>
          </w:p>
        </w:tc>
      </w:tr>
      <w:tr w:rsidR="005B494D" w:rsidRPr="005B494D" w14:paraId="6F6D42D9"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6CB1EDAC" w14:textId="0D384F33" w:rsidR="003741CE" w:rsidRPr="005B494D" w:rsidRDefault="003741CE" w:rsidP="003741CE">
            <w:pPr>
              <w:keepNext/>
              <w:spacing w:after="60"/>
              <w:rPr>
                <w:b/>
                <w:sz w:val="20"/>
              </w:rPr>
            </w:pPr>
            <w:r w:rsidRPr="005B494D">
              <w:rPr>
                <w:sz w:val="20"/>
              </w:rPr>
              <w:t>    Female</w:t>
            </w:r>
          </w:p>
        </w:tc>
        <w:tc>
          <w:tcPr>
            <w:tcW w:w="1486" w:type="dxa"/>
            <w:tcBorders>
              <w:top w:val="single" w:sz="0" w:space="0" w:color="D3D3D3"/>
              <w:left w:val="single" w:sz="0" w:space="0" w:color="D3D3D3"/>
              <w:bottom w:val="single" w:sz="0" w:space="0" w:color="D3D3D3"/>
              <w:right w:val="single" w:sz="0" w:space="0" w:color="D3D3D3"/>
            </w:tcBorders>
          </w:tcPr>
          <w:p w14:paraId="00F7E1F0" w14:textId="44430DA0" w:rsidR="003741CE" w:rsidRPr="005B494D" w:rsidRDefault="003741CE" w:rsidP="003741CE">
            <w:pPr>
              <w:keepNext/>
              <w:spacing w:after="60"/>
              <w:jc w:val="center"/>
              <w:rPr>
                <w:sz w:val="20"/>
              </w:rPr>
            </w:pPr>
            <w:r w:rsidRPr="005B494D">
              <w:rPr>
                <w:sz w:val="20"/>
              </w:rPr>
              <w:t>268,998 (54.5%)</w:t>
            </w:r>
          </w:p>
        </w:tc>
        <w:tc>
          <w:tcPr>
            <w:tcW w:w="1844" w:type="dxa"/>
            <w:tcBorders>
              <w:top w:val="single" w:sz="0" w:space="0" w:color="D3D3D3"/>
              <w:left w:val="single" w:sz="0" w:space="0" w:color="D3D3D3"/>
              <w:bottom w:val="single" w:sz="0" w:space="0" w:color="D3D3D3"/>
              <w:right w:val="single" w:sz="0" w:space="0" w:color="D3D3D3"/>
            </w:tcBorders>
          </w:tcPr>
          <w:p w14:paraId="40A370CE" w14:textId="5B6E9282" w:rsidR="003741CE" w:rsidRPr="005B494D" w:rsidRDefault="003741CE" w:rsidP="003741CE">
            <w:pPr>
              <w:keepNext/>
              <w:spacing w:after="60"/>
              <w:jc w:val="center"/>
              <w:rPr>
                <w:sz w:val="20"/>
              </w:rPr>
            </w:pPr>
            <w:r w:rsidRPr="005B494D">
              <w:rPr>
                <w:sz w:val="20"/>
              </w:rPr>
              <w:t>10,990 (36.3%)</w:t>
            </w:r>
          </w:p>
        </w:tc>
        <w:tc>
          <w:tcPr>
            <w:tcW w:w="1844" w:type="dxa"/>
            <w:tcBorders>
              <w:top w:val="single" w:sz="0" w:space="0" w:color="D3D3D3"/>
              <w:left w:val="single" w:sz="0" w:space="0" w:color="D3D3D3"/>
              <w:bottom w:val="single" w:sz="0" w:space="0" w:color="D3D3D3"/>
              <w:right w:val="single" w:sz="0" w:space="0" w:color="D3D3D3"/>
            </w:tcBorders>
          </w:tcPr>
          <w:p w14:paraId="592B66A7" w14:textId="3BF767D5" w:rsidR="003741CE" w:rsidRPr="005B494D" w:rsidRDefault="003741CE" w:rsidP="003741CE">
            <w:pPr>
              <w:keepNext/>
              <w:spacing w:after="60"/>
              <w:jc w:val="center"/>
              <w:rPr>
                <w:sz w:val="20"/>
              </w:rPr>
            </w:pPr>
            <w:r w:rsidRPr="005B494D">
              <w:rPr>
                <w:sz w:val="20"/>
              </w:rPr>
              <w:t>258,008 (55.7%)</w:t>
            </w:r>
          </w:p>
        </w:tc>
        <w:tc>
          <w:tcPr>
            <w:tcW w:w="861" w:type="dxa"/>
            <w:tcBorders>
              <w:top w:val="single" w:sz="0" w:space="0" w:color="D3D3D3"/>
              <w:left w:val="single" w:sz="0" w:space="0" w:color="D3D3D3"/>
              <w:bottom w:val="single" w:sz="0" w:space="0" w:color="D3D3D3"/>
              <w:right w:val="single" w:sz="0" w:space="0" w:color="D3D3D3"/>
            </w:tcBorders>
          </w:tcPr>
          <w:p w14:paraId="710DF579"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3F8F16DF" w14:textId="77777777" w:rsidR="003741CE" w:rsidRPr="005B494D" w:rsidRDefault="003741CE" w:rsidP="003741CE">
            <w:pPr>
              <w:keepNext/>
              <w:spacing w:after="60"/>
              <w:jc w:val="center"/>
              <w:rPr>
                <w:sz w:val="20"/>
              </w:rPr>
            </w:pPr>
          </w:p>
        </w:tc>
      </w:tr>
      <w:tr w:rsidR="005B494D" w:rsidRPr="005B494D" w14:paraId="56EE30E6"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36A75F4C" w14:textId="1D5731B8" w:rsidR="003741CE" w:rsidRPr="005B494D" w:rsidRDefault="003741CE" w:rsidP="003741CE">
            <w:pPr>
              <w:keepNext/>
              <w:spacing w:after="60"/>
              <w:rPr>
                <w:b/>
                <w:sz w:val="20"/>
              </w:rPr>
            </w:pPr>
            <w:r w:rsidRPr="005B494D">
              <w:rPr>
                <w:b/>
                <w:sz w:val="20"/>
              </w:rPr>
              <w:t>Ethnicity</w:t>
            </w:r>
          </w:p>
        </w:tc>
        <w:tc>
          <w:tcPr>
            <w:tcW w:w="1486" w:type="dxa"/>
            <w:tcBorders>
              <w:top w:val="single" w:sz="0" w:space="0" w:color="D3D3D3"/>
              <w:left w:val="single" w:sz="0" w:space="0" w:color="D3D3D3"/>
              <w:bottom w:val="single" w:sz="0" w:space="0" w:color="D3D3D3"/>
              <w:right w:val="single" w:sz="0" w:space="0" w:color="D3D3D3"/>
            </w:tcBorders>
          </w:tcPr>
          <w:p w14:paraId="4DFFB330" w14:textId="77777777" w:rsidR="003741CE" w:rsidRPr="005B494D" w:rsidRDefault="003741CE" w:rsidP="003741CE">
            <w:pPr>
              <w:keepNext/>
              <w:spacing w:after="60"/>
              <w:jc w:val="center"/>
              <w:rPr>
                <w:sz w:val="20"/>
              </w:rPr>
            </w:pPr>
          </w:p>
        </w:tc>
        <w:tc>
          <w:tcPr>
            <w:tcW w:w="1844" w:type="dxa"/>
            <w:tcBorders>
              <w:top w:val="single" w:sz="0" w:space="0" w:color="D3D3D3"/>
              <w:left w:val="single" w:sz="0" w:space="0" w:color="D3D3D3"/>
              <w:bottom w:val="single" w:sz="0" w:space="0" w:color="D3D3D3"/>
              <w:right w:val="single" w:sz="0" w:space="0" w:color="D3D3D3"/>
            </w:tcBorders>
          </w:tcPr>
          <w:p w14:paraId="658A0457" w14:textId="77777777" w:rsidR="003741CE" w:rsidRPr="005B494D" w:rsidRDefault="003741CE" w:rsidP="003741CE">
            <w:pPr>
              <w:keepNext/>
              <w:spacing w:after="60"/>
              <w:jc w:val="center"/>
              <w:rPr>
                <w:sz w:val="20"/>
              </w:rPr>
            </w:pPr>
          </w:p>
        </w:tc>
        <w:tc>
          <w:tcPr>
            <w:tcW w:w="1844" w:type="dxa"/>
            <w:tcBorders>
              <w:top w:val="single" w:sz="0" w:space="0" w:color="D3D3D3"/>
              <w:left w:val="single" w:sz="0" w:space="0" w:color="D3D3D3"/>
              <w:bottom w:val="single" w:sz="0" w:space="0" w:color="D3D3D3"/>
              <w:right w:val="single" w:sz="0" w:space="0" w:color="D3D3D3"/>
            </w:tcBorders>
          </w:tcPr>
          <w:p w14:paraId="7AD55784" w14:textId="77777777" w:rsidR="003741CE" w:rsidRPr="005B494D" w:rsidRDefault="003741CE" w:rsidP="003741CE">
            <w:pPr>
              <w:keepNext/>
              <w:spacing w:after="60"/>
              <w:jc w:val="center"/>
              <w:rPr>
                <w:sz w:val="20"/>
              </w:rPr>
            </w:pPr>
          </w:p>
        </w:tc>
        <w:tc>
          <w:tcPr>
            <w:tcW w:w="861" w:type="dxa"/>
            <w:tcBorders>
              <w:top w:val="single" w:sz="0" w:space="0" w:color="D3D3D3"/>
              <w:left w:val="single" w:sz="0" w:space="0" w:color="D3D3D3"/>
              <w:bottom w:val="single" w:sz="0" w:space="0" w:color="D3D3D3"/>
              <w:right w:val="single" w:sz="0" w:space="0" w:color="D3D3D3"/>
            </w:tcBorders>
          </w:tcPr>
          <w:p w14:paraId="658B61F4" w14:textId="351B236E" w:rsidR="003741CE" w:rsidRPr="005B494D" w:rsidRDefault="003741CE" w:rsidP="003741CE">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2F39C959" w14:textId="6D2B06A7" w:rsidR="003741CE" w:rsidRPr="005B494D" w:rsidRDefault="003741CE" w:rsidP="003741CE">
            <w:pPr>
              <w:keepNext/>
              <w:spacing w:after="60"/>
              <w:jc w:val="center"/>
              <w:rPr>
                <w:sz w:val="20"/>
              </w:rPr>
            </w:pPr>
            <w:r w:rsidRPr="005B494D">
              <w:rPr>
                <w:sz w:val="20"/>
              </w:rPr>
              <w:t>0.18</w:t>
            </w:r>
          </w:p>
        </w:tc>
      </w:tr>
      <w:tr w:rsidR="005B494D" w:rsidRPr="005B494D" w14:paraId="27E2CA22"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603666A4" w14:textId="26AB30C0" w:rsidR="003741CE" w:rsidRPr="005B494D" w:rsidRDefault="003741CE" w:rsidP="003741CE">
            <w:pPr>
              <w:keepNext/>
              <w:spacing w:after="60"/>
              <w:rPr>
                <w:b/>
                <w:sz w:val="20"/>
              </w:rPr>
            </w:pPr>
            <w:r w:rsidRPr="005B494D">
              <w:rPr>
                <w:sz w:val="20"/>
              </w:rPr>
              <w:t>    White</w:t>
            </w:r>
          </w:p>
        </w:tc>
        <w:tc>
          <w:tcPr>
            <w:tcW w:w="1486" w:type="dxa"/>
            <w:tcBorders>
              <w:top w:val="single" w:sz="0" w:space="0" w:color="D3D3D3"/>
              <w:left w:val="single" w:sz="0" w:space="0" w:color="D3D3D3"/>
              <w:bottom w:val="single" w:sz="0" w:space="0" w:color="D3D3D3"/>
              <w:right w:val="single" w:sz="0" w:space="0" w:color="D3D3D3"/>
            </w:tcBorders>
          </w:tcPr>
          <w:p w14:paraId="220C95CB" w14:textId="107A07CD" w:rsidR="003741CE" w:rsidRPr="005B494D" w:rsidRDefault="003741CE" w:rsidP="003741CE">
            <w:pPr>
              <w:keepNext/>
              <w:spacing w:after="60"/>
              <w:jc w:val="center"/>
              <w:rPr>
                <w:sz w:val="20"/>
              </w:rPr>
            </w:pPr>
            <w:r w:rsidRPr="005B494D">
              <w:rPr>
                <w:sz w:val="20"/>
              </w:rPr>
              <w:t>466,623 (94.5%)</w:t>
            </w:r>
          </w:p>
        </w:tc>
        <w:tc>
          <w:tcPr>
            <w:tcW w:w="1844" w:type="dxa"/>
            <w:tcBorders>
              <w:top w:val="single" w:sz="0" w:space="0" w:color="D3D3D3"/>
              <w:left w:val="single" w:sz="0" w:space="0" w:color="D3D3D3"/>
              <w:bottom w:val="single" w:sz="0" w:space="0" w:color="D3D3D3"/>
              <w:right w:val="single" w:sz="0" w:space="0" w:color="D3D3D3"/>
            </w:tcBorders>
          </w:tcPr>
          <w:p w14:paraId="57DB5C05" w14:textId="3489F2FA" w:rsidR="003741CE" w:rsidRPr="005B494D" w:rsidRDefault="003741CE" w:rsidP="003741CE">
            <w:pPr>
              <w:keepNext/>
              <w:spacing w:after="60"/>
              <w:jc w:val="center"/>
              <w:rPr>
                <w:sz w:val="20"/>
              </w:rPr>
            </w:pPr>
            <w:r w:rsidRPr="005B494D">
              <w:rPr>
                <w:sz w:val="20"/>
              </w:rPr>
              <w:t>27,430 (90.6%)</w:t>
            </w:r>
          </w:p>
        </w:tc>
        <w:tc>
          <w:tcPr>
            <w:tcW w:w="1844" w:type="dxa"/>
            <w:tcBorders>
              <w:top w:val="single" w:sz="0" w:space="0" w:color="D3D3D3"/>
              <w:left w:val="single" w:sz="0" w:space="0" w:color="D3D3D3"/>
              <w:bottom w:val="single" w:sz="0" w:space="0" w:color="D3D3D3"/>
              <w:right w:val="single" w:sz="0" w:space="0" w:color="D3D3D3"/>
            </w:tcBorders>
          </w:tcPr>
          <w:p w14:paraId="15660C67" w14:textId="2B3B40CE" w:rsidR="003741CE" w:rsidRPr="005B494D" w:rsidRDefault="003741CE" w:rsidP="003741CE">
            <w:pPr>
              <w:keepNext/>
              <w:spacing w:after="60"/>
              <w:jc w:val="center"/>
              <w:rPr>
                <w:sz w:val="20"/>
              </w:rPr>
            </w:pPr>
            <w:r w:rsidRPr="005B494D">
              <w:rPr>
                <w:sz w:val="20"/>
              </w:rPr>
              <w:t>439,193 (94.8%)</w:t>
            </w:r>
          </w:p>
        </w:tc>
        <w:tc>
          <w:tcPr>
            <w:tcW w:w="861" w:type="dxa"/>
            <w:tcBorders>
              <w:top w:val="single" w:sz="0" w:space="0" w:color="D3D3D3"/>
              <w:left w:val="single" w:sz="0" w:space="0" w:color="D3D3D3"/>
              <w:bottom w:val="single" w:sz="0" w:space="0" w:color="D3D3D3"/>
              <w:right w:val="single" w:sz="0" w:space="0" w:color="D3D3D3"/>
            </w:tcBorders>
          </w:tcPr>
          <w:p w14:paraId="06F68411"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3A353FF1" w14:textId="77777777" w:rsidR="003741CE" w:rsidRPr="005B494D" w:rsidRDefault="003741CE" w:rsidP="003741CE">
            <w:pPr>
              <w:keepNext/>
              <w:spacing w:after="60"/>
              <w:jc w:val="center"/>
              <w:rPr>
                <w:sz w:val="20"/>
              </w:rPr>
            </w:pPr>
          </w:p>
        </w:tc>
      </w:tr>
      <w:tr w:rsidR="005B494D" w:rsidRPr="005B494D" w14:paraId="336AE699"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131E9C91" w14:textId="1B31EC77" w:rsidR="003741CE" w:rsidRPr="005B494D" w:rsidRDefault="003741CE" w:rsidP="003741CE">
            <w:pPr>
              <w:keepNext/>
              <w:spacing w:after="60"/>
              <w:rPr>
                <w:b/>
                <w:sz w:val="20"/>
              </w:rPr>
            </w:pPr>
            <w:r w:rsidRPr="005B494D">
              <w:rPr>
                <w:sz w:val="20"/>
              </w:rPr>
              <w:t>    Asian or Asian British</w:t>
            </w:r>
          </w:p>
        </w:tc>
        <w:tc>
          <w:tcPr>
            <w:tcW w:w="1486" w:type="dxa"/>
            <w:tcBorders>
              <w:top w:val="single" w:sz="0" w:space="0" w:color="D3D3D3"/>
              <w:left w:val="single" w:sz="0" w:space="0" w:color="D3D3D3"/>
              <w:bottom w:val="single" w:sz="0" w:space="0" w:color="D3D3D3"/>
              <w:right w:val="single" w:sz="0" w:space="0" w:color="D3D3D3"/>
            </w:tcBorders>
          </w:tcPr>
          <w:p w14:paraId="18691429" w14:textId="65494B99" w:rsidR="003741CE" w:rsidRPr="005B494D" w:rsidRDefault="003741CE" w:rsidP="003741CE">
            <w:pPr>
              <w:keepNext/>
              <w:spacing w:after="60"/>
              <w:jc w:val="center"/>
              <w:rPr>
                <w:sz w:val="20"/>
              </w:rPr>
            </w:pPr>
            <w:r w:rsidRPr="005B494D">
              <w:rPr>
                <w:sz w:val="20"/>
              </w:rPr>
              <w:t>10,762 (2.2%)</w:t>
            </w:r>
          </w:p>
        </w:tc>
        <w:tc>
          <w:tcPr>
            <w:tcW w:w="1844" w:type="dxa"/>
            <w:tcBorders>
              <w:top w:val="single" w:sz="0" w:space="0" w:color="D3D3D3"/>
              <w:left w:val="single" w:sz="0" w:space="0" w:color="D3D3D3"/>
              <w:bottom w:val="single" w:sz="0" w:space="0" w:color="D3D3D3"/>
              <w:right w:val="single" w:sz="0" w:space="0" w:color="D3D3D3"/>
            </w:tcBorders>
          </w:tcPr>
          <w:p w14:paraId="12372630" w14:textId="47E61987" w:rsidR="003741CE" w:rsidRPr="005B494D" w:rsidRDefault="003741CE" w:rsidP="003741CE">
            <w:pPr>
              <w:keepNext/>
              <w:spacing w:after="60"/>
              <w:jc w:val="center"/>
              <w:rPr>
                <w:sz w:val="20"/>
              </w:rPr>
            </w:pPr>
            <w:r w:rsidRPr="005B494D">
              <w:rPr>
                <w:sz w:val="20"/>
              </w:rPr>
              <w:t>906 (3.0%)</w:t>
            </w:r>
          </w:p>
        </w:tc>
        <w:tc>
          <w:tcPr>
            <w:tcW w:w="1844" w:type="dxa"/>
            <w:tcBorders>
              <w:top w:val="single" w:sz="0" w:space="0" w:color="D3D3D3"/>
              <w:left w:val="single" w:sz="0" w:space="0" w:color="D3D3D3"/>
              <w:bottom w:val="single" w:sz="0" w:space="0" w:color="D3D3D3"/>
              <w:right w:val="single" w:sz="0" w:space="0" w:color="D3D3D3"/>
            </w:tcBorders>
          </w:tcPr>
          <w:p w14:paraId="68C0C93D" w14:textId="616E2DED" w:rsidR="003741CE" w:rsidRPr="005B494D" w:rsidRDefault="003741CE" w:rsidP="003741CE">
            <w:pPr>
              <w:keepNext/>
              <w:spacing w:after="60"/>
              <w:jc w:val="center"/>
              <w:rPr>
                <w:sz w:val="20"/>
              </w:rPr>
            </w:pPr>
            <w:r w:rsidRPr="005B494D">
              <w:rPr>
                <w:sz w:val="20"/>
              </w:rPr>
              <w:t>9,856 (2.1%)</w:t>
            </w:r>
          </w:p>
        </w:tc>
        <w:tc>
          <w:tcPr>
            <w:tcW w:w="861" w:type="dxa"/>
            <w:tcBorders>
              <w:top w:val="single" w:sz="0" w:space="0" w:color="D3D3D3"/>
              <w:left w:val="single" w:sz="0" w:space="0" w:color="D3D3D3"/>
              <w:bottom w:val="single" w:sz="0" w:space="0" w:color="D3D3D3"/>
              <w:right w:val="single" w:sz="0" w:space="0" w:color="D3D3D3"/>
            </w:tcBorders>
          </w:tcPr>
          <w:p w14:paraId="46F52624"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45C50C05" w14:textId="77777777" w:rsidR="003741CE" w:rsidRPr="005B494D" w:rsidRDefault="003741CE" w:rsidP="003741CE">
            <w:pPr>
              <w:keepNext/>
              <w:spacing w:after="60"/>
              <w:jc w:val="center"/>
              <w:rPr>
                <w:sz w:val="20"/>
              </w:rPr>
            </w:pPr>
          </w:p>
        </w:tc>
      </w:tr>
      <w:tr w:rsidR="005B494D" w:rsidRPr="005B494D" w14:paraId="1312D0CA"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4EE9CB6D" w14:textId="5AE4CDCA" w:rsidR="003741CE" w:rsidRPr="005B494D" w:rsidRDefault="003741CE" w:rsidP="003741CE">
            <w:pPr>
              <w:keepNext/>
              <w:spacing w:after="60"/>
              <w:rPr>
                <w:b/>
                <w:sz w:val="20"/>
              </w:rPr>
            </w:pPr>
            <w:r w:rsidRPr="005B494D">
              <w:rPr>
                <w:sz w:val="20"/>
              </w:rPr>
              <w:t>    Black or Black British</w:t>
            </w:r>
          </w:p>
        </w:tc>
        <w:tc>
          <w:tcPr>
            <w:tcW w:w="1486" w:type="dxa"/>
            <w:tcBorders>
              <w:top w:val="single" w:sz="0" w:space="0" w:color="D3D3D3"/>
              <w:left w:val="single" w:sz="0" w:space="0" w:color="D3D3D3"/>
              <w:bottom w:val="single" w:sz="0" w:space="0" w:color="D3D3D3"/>
              <w:right w:val="single" w:sz="0" w:space="0" w:color="D3D3D3"/>
            </w:tcBorders>
          </w:tcPr>
          <w:p w14:paraId="7A2E00F1" w14:textId="16B79F6B" w:rsidR="003741CE" w:rsidRPr="005B494D" w:rsidRDefault="003741CE" w:rsidP="003741CE">
            <w:pPr>
              <w:keepNext/>
              <w:spacing w:after="60"/>
              <w:jc w:val="center"/>
              <w:rPr>
                <w:sz w:val="20"/>
              </w:rPr>
            </w:pPr>
            <w:r w:rsidRPr="005B494D">
              <w:rPr>
                <w:sz w:val="20"/>
              </w:rPr>
              <w:t>7,463 (1.5%)</w:t>
            </w:r>
          </w:p>
        </w:tc>
        <w:tc>
          <w:tcPr>
            <w:tcW w:w="1844" w:type="dxa"/>
            <w:tcBorders>
              <w:top w:val="single" w:sz="0" w:space="0" w:color="D3D3D3"/>
              <w:left w:val="single" w:sz="0" w:space="0" w:color="D3D3D3"/>
              <w:bottom w:val="single" w:sz="0" w:space="0" w:color="D3D3D3"/>
              <w:right w:val="single" w:sz="0" w:space="0" w:color="D3D3D3"/>
            </w:tcBorders>
          </w:tcPr>
          <w:p w14:paraId="51E7106A" w14:textId="1D6B87F7" w:rsidR="003741CE" w:rsidRPr="005B494D" w:rsidRDefault="003741CE" w:rsidP="003741CE">
            <w:pPr>
              <w:keepNext/>
              <w:spacing w:after="60"/>
              <w:jc w:val="center"/>
              <w:rPr>
                <w:sz w:val="20"/>
              </w:rPr>
            </w:pPr>
            <w:r w:rsidRPr="005B494D">
              <w:rPr>
                <w:sz w:val="20"/>
              </w:rPr>
              <w:t>1,130 (3.7%)</w:t>
            </w:r>
          </w:p>
        </w:tc>
        <w:tc>
          <w:tcPr>
            <w:tcW w:w="1844" w:type="dxa"/>
            <w:tcBorders>
              <w:top w:val="single" w:sz="0" w:space="0" w:color="D3D3D3"/>
              <w:left w:val="single" w:sz="0" w:space="0" w:color="D3D3D3"/>
              <w:bottom w:val="single" w:sz="0" w:space="0" w:color="D3D3D3"/>
              <w:right w:val="single" w:sz="0" w:space="0" w:color="D3D3D3"/>
            </w:tcBorders>
          </w:tcPr>
          <w:p w14:paraId="286D9DE2" w14:textId="414BDC22" w:rsidR="003741CE" w:rsidRPr="005B494D" w:rsidRDefault="003741CE" w:rsidP="003741CE">
            <w:pPr>
              <w:keepNext/>
              <w:spacing w:after="60"/>
              <w:jc w:val="center"/>
              <w:rPr>
                <w:sz w:val="20"/>
              </w:rPr>
            </w:pPr>
            <w:r w:rsidRPr="005B494D">
              <w:rPr>
                <w:sz w:val="20"/>
              </w:rPr>
              <w:t>6,333 (1.4%)</w:t>
            </w:r>
          </w:p>
        </w:tc>
        <w:tc>
          <w:tcPr>
            <w:tcW w:w="861" w:type="dxa"/>
            <w:tcBorders>
              <w:top w:val="single" w:sz="0" w:space="0" w:color="D3D3D3"/>
              <w:left w:val="single" w:sz="0" w:space="0" w:color="D3D3D3"/>
              <w:bottom w:val="single" w:sz="0" w:space="0" w:color="D3D3D3"/>
              <w:right w:val="single" w:sz="0" w:space="0" w:color="D3D3D3"/>
            </w:tcBorders>
          </w:tcPr>
          <w:p w14:paraId="104EA5BF"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34393E2B" w14:textId="77777777" w:rsidR="003741CE" w:rsidRPr="005B494D" w:rsidRDefault="003741CE" w:rsidP="003741CE">
            <w:pPr>
              <w:keepNext/>
              <w:spacing w:after="60"/>
              <w:jc w:val="center"/>
              <w:rPr>
                <w:sz w:val="20"/>
              </w:rPr>
            </w:pPr>
          </w:p>
        </w:tc>
      </w:tr>
      <w:tr w:rsidR="005B494D" w:rsidRPr="005B494D" w14:paraId="654A5AF9"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4239CC6F" w14:textId="1648D02F" w:rsidR="003741CE" w:rsidRPr="005B494D" w:rsidRDefault="003741CE" w:rsidP="003741CE">
            <w:pPr>
              <w:keepNext/>
              <w:spacing w:after="60"/>
              <w:rPr>
                <w:b/>
                <w:sz w:val="20"/>
              </w:rPr>
            </w:pPr>
            <w:r w:rsidRPr="005B494D">
              <w:rPr>
                <w:sz w:val="20"/>
              </w:rPr>
              <w:t>    Mixed/Others</w:t>
            </w:r>
          </w:p>
        </w:tc>
        <w:tc>
          <w:tcPr>
            <w:tcW w:w="1486" w:type="dxa"/>
            <w:tcBorders>
              <w:top w:val="single" w:sz="0" w:space="0" w:color="D3D3D3"/>
              <w:left w:val="single" w:sz="0" w:space="0" w:color="D3D3D3"/>
              <w:bottom w:val="single" w:sz="0" w:space="0" w:color="D3D3D3"/>
              <w:right w:val="single" w:sz="0" w:space="0" w:color="D3D3D3"/>
            </w:tcBorders>
          </w:tcPr>
          <w:p w14:paraId="3E6488E1" w14:textId="026747A9" w:rsidR="003741CE" w:rsidRPr="005B494D" w:rsidRDefault="003741CE" w:rsidP="003741CE">
            <w:pPr>
              <w:keepNext/>
              <w:spacing w:after="60"/>
              <w:jc w:val="center"/>
              <w:rPr>
                <w:sz w:val="20"/>
              </w:rPr>
            </w:pPr>
            <w:r w:rsidRPr="005B494D">
              <w:rPr>
                <w:sz w:val="20"/>
              </w:rPr>
              <w:t>7,138 (1.4%)</w:t>
            </w:r>
          </w:p>
        </w:tc>
        <w:tc>
          <w:tcPr>
            <w:tcW w:w="1844" w:type="dxa"/>
            <w:tcBorders>
              <w:top w:val="single" w:sz="0" w:space="0" w:color="D3D3D3"/>
              <w:left w:val="single" w:sz="0" w:space="0" w:color="D3D3D3"/>
              <w:bottom w:val="single" w:sz="0" w:space="0" w:color="D3D3D3"/>
              <w:right w:val="single" w:sz="0" w:space="0" w:color="D3D3D3"/>
            </w:tcBorders>
          </w:tcPr>
          <w:p w14:paraId="31E3EF50" w14:textId="4F34D4CB" w:rsidR="003741CE" w:rsidRPr="005B494D" w:rsidRDefault="003741CE" w:rsidP="003741CE">
            <w:pPr>
              <w:keepNext/>
              <w:spacing w:after="60"/>
              <w:jc w:val="center"/>
              <w:rPr>
                <w:sz w:val="20"/>
              </w:rPr>
            </w:pPr>
            <w:r w:rsidRPr="005B494D">
              <w:rPr>
                <w:sz w:val="20"/>
              </w:rPr>
              <w:t>667 (2.2%)</w:t>
            </w:r>
          </w:p>
        </w:tc>
        <w:tc>
          <w:tcPr>
            <w:tcW w:w="1844" w:type="dxa"/>
            <w:tcBorders>
              <w:top w:val="single" w:sz="0" w:space="0" w:color="D3D3D3"/>
              <w:left w:val="single" w:sz="0" w:space="0" w:color="D3D3D3"/>
              <w:bottom w:val="single" w:sz="0" w:space="0" w:color="D3D3D3"/>
              <w:right w:val="single" w:sz="0" w:space="0" w:color="D3D3D3"/>
            </w:tcBorders>
          </w:tcPr>
          <w:p w14:paraId="1060A629" w14:textId="38D444A5" w:rsidR="003741CE" w:rsidRPr="005B494D" w:rsidRDefault="003741CE" w:rsidP="003741CE">
            <w:pPr>
              <w:keepNext/>
              <w:spacing w:after="60"/>
              <w:jc w:val="center"/>
              <w:rPr>
                <w:sz w:val="20"/>
              </w:rPr>
            </w:pPr>
            <w:r w:rsidRPr="005B494D">
              <w:rPr>
                <w:sz w:val="20"/>
              </w:rPr>
              <w:t>6,471 (1.4%)</w:t>
            </w:r>
          </w:p>
        </w:tc>
        <w:tc>
          <w:tcPr>
            <w:tcW w:w="861" w:type="dxa"/>
            <w:tcBorders>
              <w:top w:val="single" w:sz="0" w:space="0" w:color="D3D3D3"/>
              <w:left w:val="single" w:sz="0" w:space="0" w:color="D3D3D3"/>
              <w:bottom w:val="single" w:sz="0" w:space="0" w:color="D3D3D3"/>
              <w:right w:val="single" w:sz="0" w:space="0" w:color="D3D3D3"/>
            </w:tcBorders>
          </w:tcPr>
          <w:p w14:paraId="66D31B0E"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4BC1CFB6" w14:textId="77777777" w:rsidR="003741CE" w:rsidRPr="005B494D" w:rsidRDefault="003741CE" w:rsidP="003741CE">
            <w:pPr>
              <w:keepNext/>
              <w:spacing w:after="60"/>
              <w:jc w:val="center"/>
              <w:rPr>
                <w:sz w:val="20"/>
              </w:rPr>
            </w:pPr>
          </w:p>
        </w:tc>
      </w:tr>
      <w:tr w:rsidR="005B494D" w:rsidRPr="005B494D" w14:paraId="35926940"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5DC968D4" w14:textId="425A30B4" w:rsidR="003741CE" w:rsidRPr="005B494D" w:rsidRDefault="003741CE" w:rsidP="003741CE">
            <w:pPr>
              <w:keepNext/>
              <w:spacing w:after="60"/>
              <w:rPr>
                <w:b/>
                <w:sz w:val="20"/>
              </w:rPr>
            </w:pPr>
            <w:r w:rsidRPr="005B494D">
              <w:rPr>
                <w:sz w:val="20"/>
              </w:rPr>
              <w:t>    Missing</w:t>
            </w:r>
          </w:p>
        </w:tc>
        <w:tc>
          <w:tcPr>
            <w:tcW w:w="1486" w:type="dxa"/>
            <w:tcBorders>
              <w:top w:val="single" w:sz="0" w:space="0" w:color="D3D3D3"/>
              <w:left w:val="single" w:sz="0" w:space="0" w:color="D3D3D3"/>
              <w:bottom w:val="single" w:sz="0" w:space="0" w:color="D3D3D3"/>
              <w:right w:val="single" w:sz="0" w:space="0" w:color="D3D3D3"/>
            </w:tcBorders>
          </w:tcPr>
          <w:p w14:paraId="12C78248" w14:textId="190B3D2A" w:rsidR="003741CE" w:rsidRPr="005B494D" w:rsidRDefault="003741CE" w:rsidP="003741CE">
            <w:pPr>
              <w:keepNext/>
              <w:spacing w:after="60"/>
              <w:jc w:val="center"/>
              <w:rPr>
                <w:sz w:val="20"/>
              </w:rPr>
            </w:pPr>
            <w:r w:rsidRPr="005B494D">
              <w:rPr>
                <w:sz w:val="20"/>
              </w:rPr>
              <w:t>1,658 (0.3%)</w:t>
            </w:r>
          </w:p>
        </w:tc>
        <w:tc>
          <w:tcPr>
            <w:tcW w:w="1844" w:type="dxa"/>
            <w:tcBorders>
              <w:top w:val="single" w:sz="0" w:space="0" w:color="D3D3D3"/>
              <w:left w:val="single" w:sz="0" w:space="0" w:color="D3D3D3"/>
              <w:bottom w:val="single" w:sz="0" w:space="0" w:color="D3D3D3"/>
              <w:right w:val="single" w:sz="0" w:space="0" w:color="D3D3D3"/>
            </w:tcBorders>
          </w:tcPr>
          <w:p w14:paraId="0ADDC1E7" w14:textId="5F362A94" w:rsidR="003741CE" w:rsidRPr="005B494D" w:rsidRDefault="003741CE" w:rsidP="003741CE">
            <w:pPr>
              <w:keepNext/>
              <w:spacing w:after="60"/>
              <w:jc w:val="center"/>
              <w:rPr>
                <w:sz w:val="20"/>
              </w:rPr>
            </w:pPr>
            <w:r w:rsidRPr="005B494D">
              <w:rPr>
                <w:sz w:val="20"/>
              </w:rPr>
              <w:t>137 (0.5%)</w:t>
            </w:r>
          </w:p>
        </w:tc>
        <w:tc>
          <w:tcPr>
            <w:tcW w:w="1844" w:type="dxa"/>
            <w:tcBorders>
              <w:top w:val="single" w:sz="0" w:space="0" w:color="D3D3D3"/>
              <w:left w:val="single" w:sz="0" w:space="0" w:color="D3D3D3"/>
              <w:bottom w:val="single" w:sz="0" w:space="0" w:color="D3D3D3"/>
              <w:right w:val="single" w:sz="0" w:space="0" w:color="D3D3D3"/>
            </w:tcBorders>
          </w:tcPr>
          <w:p w14:paraId="786461CD" w14:textId="3C0C640E" w:rsidR="003741CE" w:rsidRPr="005B494D" w:rsidRDefault="003741CE" w:rsidP="003741CE">
            <w:pPr>
              <w:keepNext/>
              <w:spacing w:after="60"/>
              <w:jc w:val="center"/>
              <w:rPr>
                <w:sz w:val="20"/>
              </w:rPr>
            </w:pPr>
            <w:r w:rsidRPr="005B494D">
              <w:rPr>
                <w:sz w:val="20"/>
              </w:rPr>
              <w:t>1,521 (0.3%)</w:t>
            </w:r>
          </w:p>
        </w:tc>
        <w:tc>
          <w:tcPr>
            <w:tcW w:w="861" w:type="dxa"/>
            <w:tcBorders>
              <w:top w:val="single" w:sz="0" w:space="0" w:color="D3D3D3"/>
              <w:left w:val="single" w:sz="0" w:space="0" w:color="D3D3D3"/>
              <w:bottom w:val="single" w:sz="0" w:space="0" w:color="D3D3D3"/>
              <w:right w:val="single" w:sz="0" w:space="0" w:color="D3D3D3"/>
            </w:tcBorders>
          </w:tcPr>
          <w:p w14:paraId="3E090017"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7A554DB1" w14:textId="77777777" w:rsidR="003741CE" w:rsidRPr="005B494D" w:rsidRDefault="003741CE" w:rsidP="003741CE">
            <w:pPr>
              <w:keepNext/>
              <w:spacing w:after="60"/>
              <w:jc w:val="center"/>
              <w:rPr>
                <w:sz w:val="20"/>
              </w:rPr>
            </w:pPr>
          </w:p>
        </w:tc>
      </w:tr>
      <w:tr w:rsidR="005B494D" w:rsidRPr="005B494D" w14:paraId="670C5F06"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5FC02657" w14:textId="44C0A573" w:rsidR="003741CE" w:rsidRPr="005B494D" w:rsidRDefault="003741CE" w:rsidP="003741CE">
            <w:pPr>
              <w:keepNext/>
              <w:spacing w:after="60"/>
              <w:rPr>
                <w:b/>
                <w:sz w:val="20"/>
              </w:rPr>
            </w:pPr>
            <w:r w:rsidRPr="005B494D">
              <w:rPr>
                <w:b/>
                <w:sz w:val="20"/>
              </w:rPr>
              <w:t>Education</w:t>
            </w:r>
          </w:p>
        </w:tc>
        <w:tc>
          <w:tcPr>
            <w:tcW w:w="1486" w:type="dxa"/>
            <w:tcBorders>
              <w:top w:val="single" w:sz="0" w:space="0" w:color="D3D3D3"/>
              <w:left w:val="single" w:sz="0" w:space="0" w:color="D3D3D3"/>
              <w:bottom w:val="single" w:sz="0" w:space="0" w:color="D3D3D3"/>
              <w:right w:val="single" w:sz="0" w:space="0" w:color="D3D3D3"/>
            </w:tcBorders>
          </w:tcPr>
          <w:p w14:paraId="698BB5DD" w14:textId="77777777" w:rsidR="003741CE" w:rsidRPr="005B494D" w:rsidRDefault="003741CE" w:rsidP="003741CE">
            <w:pPr>
              <w:keepNext/>
              <w:spacing w:after="60"/>
              <w:jc w:val="center"/>
              <w:rPr>
                <w:sz w:val="20"/>
              </w:rPr>
            </w:pPr>
          </w:p>
        </w:tc>
        <w:tc>
          <w:tcPr>
            <w:tcW w:w="1844" w:type="dxa"/>
            <w:tcBorders>
              <w:top w:val="single" w:sz="0" w:space="0" w:color="D3D3D3"/>
              <w:left w:val="single" w:sz="0" w:space="0" w:color="D3D3D3"/>
              <w:bottom w:val="single" w:sz="0" w:space="0" w:color="D3D3D3"/>
              <w:right w:val="single" w:sz="0" w:space="0" w:color="D3D3D3"/>
            </w:tcBorders>
          </w:tcPr>
          <w:p w14:paraId="2FCCCC75" w14:textId="77777777" w:rsidR="003741CE" w:rsidRPr="005B494D" w:rsidRDefault="003741CE" w:rsidP="003741CE">
            <w:pPr>
              <w:keepNext/>
              <w:spacing w:after="60"/>
              <w:jc w:val="center"/>
              <w:rPr>
                <w:sz w:val="20"/>
              </w:rPr>
            </w:pPr>
          </w:p>
        </w:tc>
        <w:tc>
          <w:tcPr>
            <w:tcW w:w="1844" w:type="dxa"/>
            <w:tcBorders>
              <w:top w:val="single" w:sz="0" w:space="0" w:color="D3D3D3"/>
              <w:left w:val="single" w:sz="0" w:space="0" w:color="D3D3D3"/>
              <w:bottom w:val="single" w:sz="0" w:space="0" w:color="D3D3D3"/>
              <w:right w:val="single" w:sz="0" w:space="0" w:color="D3D3D3"/>
            </w:tcBorders>
          </w:tcPr>
          <w:p w14:paraId="5ECC70EE" w14:textId="77777777" w:rsidR="003741CE" w:rsidRPr="005B494D" w:rsidRDefault="003741CE" w:rsidP="003741CE">
            <w:pPr>
              <w:keepNext/>
              <w:spacing w:after="60"/>
              <w:jc w:val="center"/>
              <w:rPr>
                <w:sz w:val="20"/>
              </w:rPr>
            </w:pPr>
          </w:p>
        </w:tc>
        <w:tc>
          <w:tcPr>
            <w:tcW w:w="861" w:type="dxa"/>
            <w:tcBorders>
              <w:top w:val="single" w:sz="0" w:space="0" w:color="D3D3D3"/>
              <w:left w:val="single" w:sz="0" w:space="0" w:color="D3D3D3"/>
              <w:bottom w:val="single" w:sz="0" w:space="0" w:color="D3D3D3"/>
              <w:right w:val="single" w:sz="0" w:space="0" w:color="D3D3D3"/>
            </w:tcBorders>
          </w:tcPr>
          <w:p w14:paraId="64153ECA" w14:textId="0E8EC9FB" w:rsidR="003741CE" w:rsidRPr="005B494D" w:rsidRDefault="003741CE" w:rsidP="003741CE">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1E16AD8B" w14:textId="16E75B35" w:rsidR="003741CE" w:rsidRPr="005B494D" w:rsidRDefault="003741CE" w:rsidP="003741CE">
            <w:pPr>
              <w:keepNext/>
              <w:spacing w:after="60"/>
              <w:jc w:val="center"/>
              <w:rPr>
                <w:sz w:val="20"/>
              </w:rPr>
            </w:pPr>
            <w:r w:rsidRPr="005B494D">
              <w:rPr>
                <w:sz w:val="20"/>
              </w:rPr>
              <w:t>0.05</w:t>
            </w:r>
          </w:p>
        </w:tc>
      </w:tr>
      <w:tr w:rsidR="005B494D" w:rsidRPr="005B494D" w14:paraId="522195D9"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73FB4D55" w14:textId="44A2BC7F" w:rsidR="003741CE" w:rsidRPr="005B494D" w:rsidRDefault="003741CE" w:rsidP="003741CE">
            <w:pPr>
              <w:keepNext/>
              <w:spacing w:after="60"/>
            </w:pPr>
            <w:r w:rsidRPr="005B494D">
              <w:rPr>
                <w:sz w:val="20"/>
              </w:rPr>
              <w:t>    With college/university degree</w:t>
            </w:r>
          </w:p>
        </w:tc>
        <w:tc>
          <w:tcPr>
            <w:tcW w:w="1486" w:type="dxa"/>
            <w:tcBorders>
              <w:top w:val="single" w:sz="0" w:space="0" w:color="D3D3D3"/>
              <w:left w:val="single" w:sz="0" w:space="0" w:color="D3D3D3"/>
              <w:bottom w:val="single" w:sz="0" w:space="0" w:color="D3D3D3"/>
              <w:right w:val="single" w:sz="0" w:space="0" w:color="D3D3D3"/>
            </w:tcBorders>
          </w:tcPr>
          <w:p w14:paraId="0AD2AAD8" w14:textId="32262F7A" w:rsidR="003741CE" w:rsidRPr="005B494D" w:rsidRDefault="003741CE" w:rsidP="003741CE">
            <w:pPr>
              <w:keepNext/>
              <w:spacing w:after="60"/>
              <w:jc w:val="center"/>
            </w:pPr>
            <w:r w:rsidRPr="005B494D">
              <w:rPr>
                <w:sz w:val="20"/>
              </w:rPr>
              <w:t>159,948 (32.4%)</w:t>
            </w:r>
          </w:p>
        </w:tc>
        <w:tc>
          <w:tcPr>
            <w:tcW w:w="1844" w:type="dxa"/>
            <w:tcBorders>
              <w:top w:val="single" w:sz="0" w:space="0" w:color="D3D3D3"/>
              <w:left w:val="single" w:sz="0" w:space="0" w:color="D3D3D3"/>
              <w:bottom w:val="single" w:sz="0" w:space="0" w:color="D3D3D3"/>
              <w:right w:val="single" w:sz="0" w:space="0" w:color="D3D3D3"/>
            </w:tcBorders>
          </w:tcPr>
          <w:p w14:paraId="4EF0E8C6" w14:textId="7DF81EE7" w:rsidR="003741CE" w:rsidRPr="005B494D" w:rsidRDefault="003741CE" w:rsidP="003741CE">
            <w:pPr>
              <w:keepNext/>
              <w:spacing w:after="60"/>
              <w:jc w:val="center"/>
            </w:pPr>
            <w:r w:rsidRPr="005B494D">
              <w:rPr>
                <w:sz w:val="20"/>
              </w:rPr>
              <w:t>9,140 (30.2%)</w:t>
            </w:r>
          </w:p>
        </w:tc>
        <w:tc>
          <w:tcPr>
            <w:tcW w:w="1844" w:type="dxa"/>
            <w:tcBorders>
              <w:top w:val="single" w:sz="0" w:space="0" w:color="D3D3D3"/>
              <w:left w:val="single" w:sz="0" w:space="0" w:color="D3D3D3"/>
              <w:bottom w:val="single" w:sz="0" w:space="0" w:color="D3D3D3"/>
              <w:right w:val="single" w:sz="0" w:space="0" w:color="D3D3D3"/>
            </w:tcBorders>
          </w:tcPr>
          <w:p w14:paraId="0B1ED8A3" w14:textId="32C67DFA" w:rsidR="003741CE" w:rsidRPr="005B494D" w:rsidRDefault="003741CE" w:rsidP="003741CE">
            <w:pPr>
              <w:keepNext/>
              <w:spacing w:after="60"/>
              <w:jc w:val="center"/>
            </w:pPr>
            <w:r w:rsidRPr="005B494D">
              <w:rPr>
                <w:sz w:val="20"/>
              </w:rPr>
              <w:t>150,808 (32.5%)</w:t>
            </w:r>
          </w:p>
        </w:tc>
        <w:tc>
          <w:tcPr>
            <w:tcW w:w="861" w:type="dxa"/>
            <w:tcBorders>
              <w:top w:val="single" w:sz="0" w:space="0" w:color="D3D3D3"/>
              <w:left w:val="single" w:sz="0" w:space="0" w:color="D3D3D3"/>
              <w:bottom w:val="single" w:sz="0" w:space="0" w:color="D3D3D3"/>
              <w:right w:val="single" w:sz="0" w:space="0" w:color="D3D3D3"/>
            </w:tcBorders>
          </w:tcPr>
          <w:p w14:paraId="39699D7D" w14:textId="7B386D3E" w:rsidR="003741CE" w:rsidRPr="005B494D" w:rsidRDefault="003741CE" w:rsidP="003741CE">
            <w:pPr>
              <w:keepNext/>
              <w:spacing w:after="60"/>
              <w:jc w:val="center"/>
            </w:pPr>
          </w:p>
        </w:tc>
        <w:tc>
          <w:tcPr>
            <w:tcW w:w="634" w:type="dxa"/>
            <w:tcBorders>
              <w:top w:val="single" w:sz="0" w:space="0" w:color="D3D3D3"/>
              <w:left w:val="single" w:sz="0" w:space="0" w:color="D3D3D3"/>
              <w:bottom w:val="single" w:sz="0" w:space="0" w:color="D3D3D3"/>
              <w:right w:val="single" w:sz="0" w:space="0" w:color="D3D3D3"/>
            </w:tcBorders>
          </w:tcPr>
          <w:p w14:paraId="23CB87B3" w14:textId="1B49D9E2" w:rsidR="003741CE" w:rsidRPr="005B494D" w:rsidRDefault="003741CE" w:rsidP="003741CE">
            <w:pPr>
              <w:keepNext/>
              <w:spacing w:after="60"/>
              <w:jc w:val="center"/>
              <w:rPr>
                <w:sz w:val="20"/>
              </w:rPr>
            </w:pPr>
          </w:p>
        </w:tc>
      </w:tr>
      <w:tr w:rsidR="005B494D" w:rsidRPr="005B494D" w14:paraId="6445F0E5"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6D7E8C08" w14:textId="03DBB59E" w:rsidR="003741CE" w:rsidRPr="005B494D" w:rsidRDefault="003741CE" w:rsidP="003741CE">
            <w:pPr>
              <w:keepNext/>
              <w:spacing w:after="60"/>
            </w:pPr>
            <w:r w:rsidRPr="005B494D">
              <w:rPr>
                <w:sz w:val="20"/>
              </w:rPr>
              <w:t>    Without college/university degree</w:t>
            </w:r>
          </w:p>
        </w:tc>
        <w:tc>
          <w:tcPr>
            <w:tcW w:w="1486" w:type="dxa"/>
            <w:tcBorders>
              <w:top w:val="single" w:sz="0" w:space="0" w:color="D3D3D3"/>
              <w:left w:val="single" w:sz="0" w:space="0" w:color="D3D3D3"/>
              <w:bottom w:val="single" w:sz="0" w:space="0" w:color="D3D3D3"/>
              <w:right w:val="single" w:sz="0" w:space="0" w:color="D3D3D3"/>
            </w:tcBorders>
          </w:tcPr>
          <w:p w14:paraId="2ACF05D2" w14:textId="1ED3210D" w:rsidR="003741CE" w:rsidRPr="005B494D" w:rsidRDefault="003741CE" w:rsidP="003741CE">
            <w:pPr>
              <w:keepNext/>
              <w:spacing w:after="60"/>
              <w:jc w:val="center"/>
            </w:pPr>
            <w:r w:rsidRPr="005B494D">
              <w:rPr>
                <w:sz w:val="20"/>
              </w:rPr>
              <w:t>329,994 (66.8%)</w:t>
            </w:r>
          </w:p>
        </w:tc>
        <w:tc>
          <w:tcPr>
            <w:tcW w:w="1844" w:type="dxa"/>
            <w:tcBorders>
              <w:top w:val="single" w:sz="0" w:space="0" w:color="D3D3D3"/>
              <w:left w:val="single" w:sz="0" w:space="0" w:color="D3D3D3"/>
              <w:bottom w:val="single" w:sz="0" w:space="0" w:color="D3D3D3"/>
              <w:right w:val="single" w:sz="0" w:space="0" w:color="D3D3D3"/>
            </w:tcBorders>
          </w:tcPr>
          <w:p w14:paraId="631F06F4" w14:textId="24A7C179" w:rsidR="003741CE" w:rsidRPr="005B494D" w:rsidRDefault="003741CE" w:rsidP="003741CE">
            <w:pPr>
              <w:keepNext/>
              <w:spacing w:after="60"/>
              <w:jc w:val="center"/>
            </w:pPr>
            <w:r w:rsidRPr="005B494D">
              <w:rPr>
                <w:sz w:val="20"/>
              </w:rPr>
              <w:t>20,932 (69.2%)</w:t>
            </w:r>
          </w:p>
        </w:tc>
        <w:tc>
          <w:tcPr>
            <w:tcW w:w="1844" w:type="dxa"/>
            <w:tcBorders>
              <w:top w:val="single" w:sz="0" w:space="0" w:color="D3D3D3"/>
              <w:left w:val="single" w:sz="0" w:space="0" w:color="D3D3D3"/>
              <w:bottom w:val="single" w:sz="0" w:space="0" w:color="D3D3D3"/>
              <w:right w:val="single" w:sz="0" w:space="0" w:color="D3D3D3"/>
            </w:tcBorders>
          </w:tcPr>
          <w:p w14:paraId="385AAB4A" w14:textId="52B5F8F3" w:rsidR="003741CE" w:rsidRPr="005B494D" w:rsidRDefault="003741CE" w:rsidP="003741CE">
            <w:pPr>
              <w:keepNext/>
              <w:spacing w:after="60"/>
              <w:jc w:val="center"/>
            </w:pPr>
            <w:r w:rsidRPr="005B494D">
              <w:rPr>
                <w:sz w:val="20"/>
              </w:rPr>
              <w:t>309,062 (66.7%)</w:t>
            </w:r>
          </w:p>
        </w:tc>
        <w:tc>
          <w:tcPr>
            <w:tcW w:w="861" w:type="dxa"/>
            <w:tcBorders>
              <w:top w:val="single" w:sz="0" w:space="0" w:color="D3D3D3"/>
              <w:left w:val="single" w:sz="0" w:space="0" w:color="D3D3D3"/>
              <w:bottom w:val="single" w:sz="0" w:space="0" w:color="D3D3D3"/>
              <w:right w:val="single" w:sz="0" w:space="0" w:color="D3D3D3"/>
            </w:tcBorders>
          </w:tcPr>
          <w:p w14:paraId="0969F7E6"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4157E701" w14:textId="77777777" w:rsidR="003741CE" w:rsidRPr="005B494D" w:rsidRDefault="003741CE" w:rsidP="003741CE">
            <w:pPr>
              <w:keepNext/>
              <w:spacing w:after="60"/>
              <w:jc w:val="center"/>
              <w:rPr>
                <w:sz w:val="20"/>
              </w:rPr>
            </w:pPr>
          </w:p>
        </w:tc>
      </w:tr>
      <w:tr w:rsidR="005B494D" w:rsidRPr="005B494D" w14:paraId="5DEE9A91"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6A3771BB" w14:textId="2A1C72BF" w:rsidR="003741CE" w:rsidRPr="005B494D" w:rsidRDefault="003741CE" w:rsidP="003741CE">
            <w:pPr>
              <w:keepNext/>
              <w:spacing w:after="60"/>
            </w:pPr>
            <w:r w:rsidRPr="005B494D">
              <w:rPr>
                <w:sz w:val="20"/>
              </w:rPr>
              <w:t>    Missing</w:t>
            </w:r>
          </w:p>
        </w:tc>
        <w:tc>
          <w:tcPr>
            <w:tcW w:w="1486" w:type="dxa"/>
            <w:tcBorders>
              <w:top w:val="single" w:sz="0" w:space="0" w:color="D3D3D3"/>
              <w:left w:val="single" w:sz="0" w:space="0" w:color="D3D3D3"/>
              <w:bottom w:val="single" w:sz="0" w:space="0" w:color="D3D3D3"/>
              <w:right w:val="single" w:sz="0" w:space="0" w:color="D3D3D3"/>
            </w:tcBorders>
          </w:tcPr>
          <w:p w14:paraId="6C130C64" w14:textId="206AD584" w:rsidR="003741CE" w:rsidRPr="005B494D" w:rsidRDefault="003741CE" w:rsidP="003741CE">
            <w:pPr>
              <w:keepNext/>
              <w:spacing w:after="60"/>
              <w:jc w:val="center"/>
            </w:pPr>
            <w:r w:rsidRPr="005B494D">
              <w:rPr>
                <w:sz w:val="20"/>
              </w:rPr>
              <w:t>3,702 (0.7%)</w:t>
            </w:r>
          </w:p>
        </w:tc>
        <w:tc>
          <w:tcPr>
            <w:tcW w:w="1844" w:type="dxa"/>
            <w:tcBorders>
              <w:top w:val="single" w:sz="0" w:space="0" w:color="D3D3D3"/>
              <w:left w:val="single" w:sz="0" w:space="0" w:color="D3D3D3"/>
              <w:bottom w:val="single" w:sz="0" w:space="0" w:color="D3D3D3"/>
              <w:right w:val="single" w:sz="0" w:space="0" w:color="D3D3D3"/>
            </w:tcBorders>
          </w:tcPr>
          <w:p w14:paraId="31CF4307" w14:textId="3D8DF169" w:rsidR="003741CE" w:rsidRPr="005B494D" w:rsidRDefault="003741CE" w:rsidP="003741CE">
            <w:pPr>
              <w:keepNext/>
              <w:spacing w:after="60"/>
              <w:jc w:val="center"/>
            </w:pPr>
            <w:r w:rsidRPr="005B494D">
              <w:rPr>
                <w:sz w:val="20"/>
              </w:rPr>
              <w:t>198 (0.7%)</w:t>
            </w:r>
          </w:p>
        </w:tc>
        <w:tc>
          <w:tcPr>
            <w:tcW w:w="1844" w:type="dxa"/>
            <w:tcBorders>
              <w:top w:val="single" w:sz="0" w:space="0" w:color="D3D3D3"/>
              <w:left w:val="single" w:sz="0" w:space="0" w:color="D3D3D3"/>
              <w:bottom w:val="single" w:sz="0" w:space="0" w:color="D3D3D3"/>
              <w:right w:val="single" w:sz="0" w:space="0" w:color="D3D3D3"/>
            </w:tcBorders>
          </w:tcPr>
          <w:p w14:paraId="774B3031" w14:textId="0973156D" w:rsidR="003741CE" w:rsidRPr="005B494D" w:rsidRDefault="003741CE" w:rsidP="003741CE">
            <w:pPr>
              <w:keepNext/>
              <w:spacing w:after="60"/>
              <w:jc w:val="center"/>
            </w:pPr>
            <w:r w:rsidRPr="005B494D">
              <w:rPr>
                <w:sz w:val="20"/>
              </w:rPr>
              <w:t>3,504 (0.8%)</w:t>
            </w:r>
          </w:p>
        </w:tc>
        <w:tc>
          <w:tcPr>
            <w:tcW w:w="861" w:type="dxa"/>
            <w:tcBorders>
              <w:top w:val="single" w:sz="0" w:space="0" w:color="D3D3D3"/>
              <w:left w:val="single" w:sz="0" w:space="0" w:color="D3D3D3"/>
              <w:bottom w:val="single" w:sz="0" w:space="0" w:color="D3D3D3"/>
              <w:right w:val="single" w:sz="0" w:space="0" w:color="D3D3D3"/>
            </w:tcBorders>
          </w:tcPr>
          <w:p w14:paraId="1A84C10A"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71EE4C36" w14:textId="77777777" w:rsidR="003741CE" w:rsidRPr="005B494D" w:rsidRDefault="003741CE" w:rsidP="003741CE">
            <w:pPr>
              <w:keepNext/>
              <w:spacing w:after="60"/>
              <w:jc w:val="center"/>
              <w:rPr>
                <w:sz w:val="20"/>
              </w:rPr>
            </w:pPr>
          </w:p>
        </w:tc>
      </w:tr>
      <w:tr w:rsidR="005B494D" w:rsidRPr="005B494D" w14:paraId="698998DA"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25AC9CB2" w14:textId="1F09A6A1" w:rsidR="003741CE" w:rsidRPr="005B494D" w:rsidRDefault="003741CE" w:rsidP="003741CE">
            <w:pPr>
              <w:keepNext/>
              <w:spacing w:after="60"/>
            </w:pPr>
            <w:r w:rsidRPr="005B494D">
              <w:rPr>
                <w:b/>
                <w:bCs/>
                <w:sz w:val="20"/>
                <w:szCs w:val="20"/>
              </w:rPr>
              <w:t>Townsend deprivation index</w:t>
            </w:r>
          </w:p>
        </w:tc>
        <w:tc>
          <w:tcPr>
            <w:tcW w:w="1486" w:type="dxa"/>
            <w:tcBorders>
              <w:top w:val="single" w:sz="0" w:space="0" w:color="D3D3D3"/>
              <w:left w:val="single" w:sz="0" w:space="0" w:color="D3D3D3"/>
              <w:bottom w:val="single" w:sz="0" w:space="0" w:color="D3D3D3"/>
              <w:right w:val="single" w:sz="0" w:space="0" w:color="D3D3D3"/>
            </w:tcBorders>
          </w:tcPr>
          <w:p w14:paraId="6A042158"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3B800E27"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3AABB833" w14:textId="77777777" w:rsidR="003741CE" w:rsidRPr="005B494D" w:rsidRDefault="003741CE" w:rsidP="003741CE">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68C641AF" w14:textId="15AE44DB" w:rsidR="003741CE" w:rsidRPr="005B494D" w:rsidRDefault="00F036AF" w:rsidP="003741CE">
            <w:pPr>
              <w:keepNext/>
              <w:spacing w:after="60"/>
              <w:jc w:val="cente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18D2C984" w14:textId="4D94D7E9" w:rsidR="003741CE" w:rsidRPr="005B494D" w:rsidRDefault="00F036AF" w:rsidP="003741CE">
            <w:pPr>
              <w:keepNext/>
              <w:spacing w:after="60"/>
              <w:jc w:val="center"/>
              <w:rPr>
                <w:sz w:val="20"/>
              </w:rPr>
            </w:pPr>
            <w:r w:rsidRPr="005B494D">
              <w:rPr>
                <w:rFonts w:hint="eastAsia"/>
                <w:sz w:val="20"/>
              </w:rPr>
              <w:t>0</w:t>
            </w:r>
            <w:r w:rsidRPr="005B494D">
              <w:rPr>
                <w:sz w:val="20"/>
              </w:rPr>
              <w:t>.18</w:t>
            </w:r>
          </w:p>
        </w:tc>
      </w:tr>
      <w:tr w:rsidR="005B494D" w:rsidRPr="005B494D" w14:paraId="5BCFDD6F"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5EB9E379" w14:textId="504A3286" w:rsidR="003741CE" w:rsidRPr="005B494D" w:rsidRDefault="003741CE" w:rsidP="003741CE">
            <w:pPr>
              <w:keepNext/>
              <w:spacing w:after="60"/>
            </w:pPr>
            <w:r w:rsidRPr="005B494D">
              <w:rPr>
                <w:sz w:val="20"/>
                <w:szCs w:val="20"/>
              </w:rPr>
              <w:t>    Low deprivation (-6.26 -3.15)</w:t>
            </w:r>
          </w:p>
        </w:tc>
        <w:tc>
          <w:tcPr>
            <w:tcW w:w="1486" w:type="dxa"/>
            <w:tcBorders>
              <w:top w:val="single" w:sz="0" w:space="0" w:color="D3D3D3"/>
              <w:left w:val="single" w:sz="0" w:space="0" w:color="D3D3D3"/>
              <w:bottom w:val="single" w:sz="0" w:space="0" w:color="D3D3D3"/>
              <w:right w:val="single" w:sz="0" w:space="0" w:color="D3D3D3"/>
            </w:tcBorders>
            <w:vAlign w:val="center"/>
          </w:tcPr>
          <w:p w14:paraId="1C58719A" w14:textId="498115D2" w:rsidR="003741CE" w:rsidRPr="005B494D" w:rsidRDefault="003741CE" w:rsidP="003741CE">
            <w:pPr>
              <w:keepNext/>
              <w:spacing w:after="60"/>
              <w:jc w:val="center"/>
            </w:pPr>
            <w:r w:rsidRPr="005B494D">
              <w:rPr>
                <w:sz w:val="20"/>
                <w:szCs w:val="20"/>
              </w:rPr>
              <w:t>165,490 (33.5%)</w:t>
            </w:r>
          </w:p>
        </w:tc>
        <w:tc>
          <w:tcPr>
            <w:tcW w:w="1844" w:type="dxa"/>
            <w:tcBorders>
              <w:top w:val="single" w:sz="0" w:space="0" w:color="D3D3D3"/>
              <w:left w:val="single" w:sz="0" w:space="0" w:color="D3D3D3"/>
              <w:bottom w:val="single" w:sz="0" w:space="0" w:color="D3D3D3"/>
              <w:right w:val="single" w:sz="0" w:space="0" w:color="D3D3D3"/>
            </w:tcBorders>
            <w:vAlign w:val="center"/>
          </w:tcPr>
          <w:p w14:paraId="080ACFDB" w14:textId="782EFCA4" w:rsidR="003741CE" w:rsidRPr="005B494D" w:rsidRDefault="003741CE" w:rsidP="003741CE">
            <w:pPr>
              <w:keepNext/>
              <w:spacing w:after="60"/>
              <w:jc w:val="center"/>
            </w:pPr>
            <w:r w:rsidRPr="005B494D">
              <w:rPr>
                <w:sz w:val="20"/>
                <w:szCs w:val="20"/>
              </w:rPr>
              <w:t>8,660 (28.6%)</w:t>
            </w:r>
          </w:p>
        </w:tc>
        <w:tc>
          <w:tcPr>
            <w:tcW w:w="1844" w:type="dxa"/>
            <w:tcBorders>
              <w:top w:val="single" w:sz="0" w:space="0" w:color="D3D3D3"/>
              <w:left w:val="single" w:sz="0" w:space="0" w:color="D3D3D3"/>
              <w:bottom w:val="single" w:sz="0" w:space="0" w:color="D3D3D3"/>
              <w:right w:val="single" w:sz="0" w:space="0" w:color="D3D3D3"/>
            </w:tcBorders>
            <w:vAlign w:val="center"/>
          </w:tcPr>
          <w:p w14:paraId="21D4ACCC" w14:textId="3D9F1A3C" w:rsidR="003741CE" w:rsidRPr="005B494D" w:rsidRDefault="003741CE" w:rsidP="003741CE">
            <w:pPr>
              <w:keepNext/>
              <w:spacing w:after="60"/>
              <w:jc w:val="center"/>
            </w:pPr>
            <w:r w:rsidRPr="005B494D">
              <w:rPr>
                <w:sz w:val="20"/>
                <w:szCs w:val="20"/>
              </w:rPr>
              <w:t>156,830 (33.8%)</w:t>
            </w:r>
          </w:p>
        </w:tc>
        <w:tc>
          <w:tcPr>
            <w:tcW w:w="861" w:type="dxa"/>
            <w:tcBorders>
              <w:top w:val="single" w:sz="0" w:space="0" w:color="D3D3D3"/>
              <w:left w:val="single" w:sz="0" w:space="0" w:color="D3D3D3"/>
              <w:bottom w:val="single" w:sz="0" w:space="0" w:color="D3D3D3"/>
              <w:right w:val="single" w:sz="0" w:space="0" w:color="D3D3D3"/>
            </w:tcBorders>
          </w:tcPr>
          <w:p w14:paraId="76F5D656"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502CA557" w14:textId="77777777" w:rsidR="003741CE" w:rsidRPr="005B494D" w:rsidRDefault="003741CE" w:rsidP="003741CE">
            <w:pPr>
              <w:keepNext/>
              <w:spacing w:after="60"/>
              <w:jc w:val="center"/>
              <w:rPr>
                <w:sz w:val="20"/>
              </w:rPr>
            </w:pPr>
          </w:p>
        </w:tc>
      </w:tr>
      <w:tr w:rsidR="005B494D" w:rsidRPr="005B494D" w14:paraId="1D2B416C"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506EDB91" w14:textId="1BBE56FA" w:rsidR="003741CE" w:rsidRPr="005B494D" w:rsidRDefault="003741CE" w:rsidP="003741CE">
            <w:pPr>
              <w:keepNext/>
              <w:spacing w:after="60"/>
            </w:pPr>
            <w:r w:rsidRPr="005B494D">
              <w:rPr>
                <w:sz w:val="20"/>
                <w:szCs w:val="20"/>
              </w:rPr>
              <w:t>    Moderate deprivation (-3.14 -0.59)</w:t>
            </w:r>
          </w:p>
        </w:tc>
        <w:tc>
          <w:tcPr>
            <w:tcW w:w="1486" w:type="dxa"/>
            <w:tcBorders>
              <w:top w:val="single" w:sz="0" w:space="0" w:color="D3D3D3"/>
              <w:left w:val="single" w:sz="0" w:space="0" w:color="D3D3D3"/>
              <w:bottom w:val="single" w:sz="0" w:space="0" w:color="D3D3D3"/>
              <w:right w:val="single" w:sz="0" w:space="0" w:color="D3D3D3"/>
            </w:tcBorders>
            <w:vAlign w:val="center"/>
          </w:tcPr>
          <w:p w14:paraId="47EA2743" w14:textId="701B6CDD" w:rsidR="003741CE" w:rsidRPr="005B494D" w:rsidRDefault="003741CE" w:rsidP="003741CE">
            <w:pPr>
              <w:keepNext/>
              <w:spacing w:after="60"/>
              <w:jc w:val="center"/>
            </w:pPr>
            <w:r w:rsidRPr="005B494D">
              <w:rPr>
                <w:sz w:val="20"/>
                <w:szCs w:val="20"/>
              </w:rPr>
              <w:t>165,367 (33.5%)</w:t>
            </w:r>
          </w:p>
        </w:tc>
        <w:tc>
          <w:tcPr>
            <w:tcW w:w="1844" w:type="dxa"/>
            <w:tcBorders>
              <w:top w:val="single" w:sz="0" w:space="0" w:color="D3D3D3"/>
              <w:left w:val="single" w:sz="0" w:space="0" w:color="D3D3D3"/>
              <w:bottom w:val="single" w:sz="0" w:space="0" w:color="D3D3D3"/>
              <w:right w:val="single" w:sz="0" w:space="0" w:color="D3D3D3"/>
            </w:tcBorders>
            <w:vAlign w:val="center"/>
          </w:tcPr>
          <w:p w14:paraId="7CF10A28" w14:textId="672C5564" w:rsidR="003741CE" w:rsidRPr="005B494D" w:rsidRDefault="003741CE" w:rsidP="003741CE">
            <w:pPr>
              <w:keepNext/>
              <w:spacing w:after="60"/>
              <w:jc w:val="center"/>
            </w:pPr>
            <w:r w:rsidRPr="005B494D">
              <w:rPr>
                <w:sz w:val="20"/>
                <w:szCs w:val="20"/>
              </w:rPr>
              <w:t>9,250 (30.6%)</w:t>
            </w:r>
          </w:p>
        </w:tc>
        <w:tc>
          <w:tcPr>
            <w:tcW w:w="1844" w:type="dxa"/>
            <w:tcBorders>
              <w:top w:val="single" w:sz="0" w:space="0" w:color="D3D3D3"/>
              <w:left w:val="single" w:sz="0" w:space="0" w:color="D3D3D3"/>
              <w:bottom w:val="single" w:sz="0" w:space="0" w:color="D3D3D3"/>
              <w:right w:val="single" w:sz="0" w:space="0" w:color="D3D3D3"/>
            </w:tcBorders>
            <w:vAlign w:val="center"/>
          </w:tcPr>
          <w:p w14:paraId="461F920C" w14:textId="2AD4C7F4" w:rsidR="003741CE" w:rsidRPr="005B494D" w:rsidRDefault="003741CE" w:rsidP="003741CE">
            <w:pPr>
              <w:keepNext/>
              <w:spacing w:after="60"/>
              <w:jc w:val="center"/>
            </w:pPr>
            <w:r w:rsidRPr="005B494D">
              <w:rPr>
                <w:sz w:val="20"/>
                <w:szCs w:val="20"/>
              </w:rPr>
              <w:t>156,117 (33.7%)</w:t>
            </w:r>
          </w:p>
        </w:tc>
        <w:tc>
          <w:tcPr>
            <w:tcW w:w="861" w:type="dxa"/>
            <w:tcBorders>
              <w:top w:val="single" w:sz="0" w:space="0" w:color="D3D3D3"/>
              <w:left w:val="single" w:sz="0" w:space="0" w:color="D3D3D3"/>
              <w:bottom w:val="single" w:sz="0" w:space="0" w:color="D3D3D3"/>
              <w:right w:val="single" w:sz="0" w:space="0" w:color="D3D3D3"/>
            </w:tcBorders>
          </w:tcPr>
          <w:p w14:paraId="4432B764"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68B259C8" w14:textId="77777777" w:rsidR="003741CE" w:rsidRPr="005B494D" w:rsidRDefault="003741CE" w:rsidP="003741CE">
            <w:pPr>
              <w:keepNext/>
              <w:spacing w:after="60"/>
              <w:jc w:val="center"/>
              <w:rPr>
                <w:sz w:val="20"/>
              </w:rPr>
            </w:pPr>
          </w:p>
        </w:tc>
      </w:tr>
      <w:tr w:rsidR="005B494D" w:rsidRPr="005B494D" w14:paraId="195A5339"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1F799810" w14:textId="4007A153" w:rsidR="003741CE" w:rsidRPr="005B494D" w:rsidRDefault="003741CE" w:rsidP="003741CE">
            <w:pPr>
              <w:keepNext/>
              <w:spacing w:after="60"/>
            </w:pPr>
            <w:r w:rsidRPr="005B494D">
              <w:rPr>
                <w:sz w:val="20"/>
                <w:szCs w:val="20"/>
              </w:rPr>
              <w:t>    High deprivation (-0.58 11)</w:t>
            </w:r>
          </w:p>
        </w:tc>
        <w:tc>
          <w:tcPr>
            <w:tcW w:w="1486" w:type="dxa"/>
            <w:tcBorders>
              <w:top w:val="single" w:sz="0" w:space="0" w:color="D3D3D3"/>
              <w:left w:val="single" w:sz="0" w:space="0" w:color="D3D3D3"/>
              <w:bottom w:val="single" w:sz="0" w:space="0" w:color="D3D3D3"/>
              <w:right w:val="single" w:sz="0" w:space="0" w:color="D3D3D3"/>
            </w:tcBorders>
            <w:vAlign w:val="center"/>
          </w:tcPr>
          <w:p w14:paraId="16CB70C3" w14:textId="7FC4C424" w:rsidR="003741CE" w:rsidRPr="005B494D" w:rsidRDefault="003741CE" w:rsidP="003741CE">
            <w:pPr>
              <w:keepNext/>
              <w:spacing w:after="60"/>
              <w:jc w:val="center"/>
            </w:pPr>
            <w:r w:rsidRPr="005B494D">
              <w:rPr>
                <w:sz w:val="20"/>
                <w:szCs w:val="20"/>
              </w:rPr>
              <w:t>162,180 (32.9%)</w:t>
            </w:r>
          </w:p>
        </w:tc>
        <w:tc>
          <w:tcPr>
            <w:tcW w:w="1844" w:type="dxa"/>
            <w:tcBorders>
              <w:top w:val="single" w:sz="0" w:space="0" w:color="D3D3D3"/>
              <w:left w:val="single" w:sz="0" w:space="0" w:color="D3D3D3"/>
              <w:bottom w:val="single" w:sz="0" w:space="0" w:color="D3D3D3"/>
              <w:right w:val="single" w:sz="0" w:space="0" w:color="D3D3D3"/>
            </w:tcBorders>
            <w:vAlign w:val="center"/>
          </w:tcPr>
          <w:p w14:paraId="15B19F3E" w14:textId="3AA594DC" w:rsidR="003741CE" w:rsidRPr="005B494D" w:rsidRDefault="003741CE" w:rsidP="003741CE">
            <w:pPr>
              <w:keepNext/>
              <w:spacing w:after="60"/>
              <w:jc w:val="center"/>
            </w:pPr>
            <w:r w:rsidRPr="005B494D">
              <w:rPr>
                <w:sz w:val="20"/>
                <w:szCs w:val="20"/>
              </w:rPr>
              <w:t>12,308 (40.7%)</w:t>
            </w:r>
          </w:p>
        </w:tc>
        <w:tc>
          <w:tcPr>
            <w:tcW w:w="1844" w:type="dxa"/>
            <w:tcBorders>
              <w:top w:val="single" w:sz="0" w:space="0" w:color="D3D3D3"/>
              <w:left w:val="single" w:sz="0" w:space="0" w:color="D3D3D3"/>
              <w:bottom w:val="single" w:sz="0" w:space="0" w:color="D3D3D3"/>
              <w:right w:val="single" w:sz="0" w:space="0" w:color="D3D3D3"/>
            </w:tcBorders>
            <w:vAlign w:val="center"/>
          </w:tcPr>
          <w:p w14:paraId="5A36BC0D" w14:textId="7D4C9874" w:rsidR="003741CE" w:rsidRPr="005B494D" w:rsidRDefault="003741CE" w:rsidP="003741CE">
            <w:pPr>
              <w:keepNext/>
              <w:spacing w:after="60"/>
              <w:jc w:val="center"/>
            </w:pPr>
            <w:r w:rsidRPr="005B494D">
              <w:rPr>
                <w:sz w:val="20"/>
                <w:szCs w:val="20"/>
              </w:rPr>
              <w:t>149,872 (32.3%)</w:t>
            </w:r>
          </w:p>
        </w:tc>
        <w:tc>
          <w:tcPr>
            <w:tcW w:w="861" w:type="dxa"/>
            <w:tcBorders>
              <w:top w:val="single" w:sz="0" w:space="0" w:color="D3D3D3"/>
              <w:left w:val="single" w:sz="0" w:space="0" w:color="D3D3D3"/>
              <w:bottom w:val="single" w:sz="0" w:space="0" w:color="D3D3D3"/>
              <w:right w:val="single" w:sz="0" w:space="0" w:color="D3D3D3"/>
            </w:tcBorders>
          </w:tcPr>
          <w:p w14:paraId="00D93736"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2827C918" w14:textId="77777777" w:rsidR="003741CE" w:rsidRPr="005B494D" w:rsidRDefault="003741CE" w:rsidP="003741CE">
            <w:pPr>
              <w:keepNext/>
              <w:spacing w:after="60"/>
              <w:jc w:val="center"/>
              <w:rPr>
                <w:sz w:val="20"/>
              </w:rPr>
            </w:pPr>
          </w:p>
        </w:tc>
      </w:tr>
      <w:tr w:rsidR="005B494D" w:rsidRPr="005B494D" w14:paraId="1CAF4D89"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393764D9" w14:textId="7E81A6DA" w:rsidR="003741CE" w:rsidRPr="005B494D" w:rsidRDefault="003741CE" w:rsidP="003741CE">
            <w:pPr>
              <w:keepNext/>
              <w:spacing w:after="60"/>
            </w:pPr>
            <w:r w:rsidRPr="005B494D">
              <w:rPr>
                <w:sz w:val="20"/>
                <w:szCs w:val="20"/>
              </w:rPr>
              <w:t>    Missing</w:t>
            </w:r>
          </w:p>
        </w:tc>
        <w:tc>
          <w:tcPr>
            <w:tcW w:w="1486" w:type="dxa"/>
            <w:tcBorders>
              <w:top w:val="single" w:sz="0" w:space="0" w:color="D3D3D3"/>
              <w:left w:val="single" w:sz="0" w:space="0" w:color="D3D3D3"/>
              <w:bottom w:val="single" w:sz="0" w:space="0" w:color="D3D3D3"/>
              <w:right w:val="single" w:sz="0" w:space="0" w:color="D3D3D3"/>
            </w:tcBorders>
            <w:vAlign w:val="center"/>
          </w:tcPr>
          <w:p w14:paraId="1D249E55" w14:textId="4EEAFE31" w:rsidR="003741CE" w:rsidRPr="005B494D" w:rsidRDefault="003741CE" w:rsidP="003741CE">
            <w:pPr>
              <w:keepNext/>
              <w:spacing w:after="60"/>
              <w:jc w:val="center"/>
            </w:pPr>
            <w:r w:rsidRPr="005B494D">
              <w:rPr>
                <w:sz w:val="20"/>
                <w:szCs w:val="20"/>
              </w:rPr>
              <w:t>607 (0.1%)</w:t>
            </w:r>
          </w:p>
        </w:tc>
        <w:tc>
          <w:tcPr>
            <w:tcW w:w="1844" w:type="dxa"/>
            <w:tcBorders>
              <w:top w:val="single" w:sz="0" w:space="0" w:color="D3D3D3"/>
              <w:left w:val="single" w:sz="0" w:space="0" w:color="D3D3D3"/>
              <w:bottom w:val="single" w:sz="0" w:space="0" w:color="D3D3D3"/>
              <w:right w:val="single" w:sz="0" w:space="0" w:color="D3D3D3"/>
            </w:tcBorders>
            <w:vAlign w:val="center"/>
          </w:tcPr>
          <w:p w14:paraId="20DAD53C" w14:textId="28268787" w:rsidR="003741CE" w:rsidRPr="005B494D" w:rsidRDefault="003741CE" w:rsidP="003741CE">
            <w:pPr>
              <w:keepNext/>
              <w:spacing w:after="60"/>
              <w:jc w:val="center"/>
            </w:pPr>
            <w:r w:rsidRPr="005B494D">
              <w:rPr>
                <w:sz w:val="20"/>
                <w:szCs w:val="20"/>
              </w:rPr>
              <w:t>52 (0.1%)</w:t>
            </w:r>
          </w:p>
        </w:tc>
        <w:tc>
          <w:tcPr>
            <w:tcW w:w="1844" w:type="dxa"/>
            <w:tcBorders>
              <w:top w:val="single" w:sz="0" w:space="0" w:color="D3D3D3"/>
              <w:left w:val="single" w:sz="0" w:space="0" w:color="D3D3D3"/>
              <w:bottom w:val="single" w:sz="0" w:space="0" w:color="D3D3D3"/>
              <w:right w:val="single" w:sz="0" w:space="0" w:color="D3D3D3"/>
            </w:tcBorders>
            <w:vAlign w:val="center"/>
          </w:tcPr>
          <w:p w14:paraId="063314AD" w14:textId="692A04D5" w:rsidR="003741CE" w:rsidRPr="005B494D" w:rsidRDefault="003741CE" w:rsidP="003741CE">
            <w:pPr>
              <w:keepNext/>
              <w:spacing w:after="60"/>
              <w:jc w:val="center"/>
            </w:pPr>
            <w:r w:rsidRPr="005B494D">
              <w:rPr>
                <w:sz w:val="20"/>
                <w:szCs w:val="20"/>
              </w:rPr>
              <w:t>555 (0.1%)</w:t>
            </w:r>
          </w:p>
        </w:tc>
        <w:tc>
          <w:tcPr>
            <w:tcW w:w="861" w:type="dxa"/>
            <w:tcBorders>
              <w:top w:val="single" w:sz="0" w:space="0" w:color="D3D3D3"/>
              <w:left w:val="single" w:sz="0" w:space="0" w:color="D3D3D3"/>
              <w:bottom w:val="single" w:sz="0" w:space="0" w:color="D3D3D3"/>
              <w:right w:val="single" w:sz="0" w:space="0" w:color="D3D3D3"/>
            </w:tcBorders>
          </w:tcPr>
          <w:p w14:paraId="70ACD4F6"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3172D056" w14:textId="77777777" w:rsidR="003741CE" w:rsidRPr="005B494D" w:rsidRDefault="003741CE" w:rsidP="003741CE">
            <w:pPr>
              <w:keepNext/>
              <w:spacing w:after="60"/>
              <w:jc w:val="center"/>
              <w:rPr>
                <w:sz w:val="20"/>
              </w:rPr>
            </w:pPr>
          </w:p>
        </w:tc>
      </w:tr>
      <w:tr w:rsidR="005B494D" w:rsidRPr="005B494D" w14:paraId="653F728E"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0C3E2F87" w14:textId="0F589D7E" w:rsidR="003741CE" w:rsidRPr="005B494D" w:rsidRDefault="009132FC" w:rsidP="009132FC">
            <w:r w:rsidRPr="005B494D">
              <w:rPr>
                <w:b/>
                <w:bCs/>
                <w:sz w:val="20"/>
                <w:szCs w:val="20"/>
              </w:rPr>
              <w:t>Total Fish</w:t>
            </w:r>
          </w:p>
        </w:tc>
        <w:tc>
          <w:tcPr>
            <w:tcW w:w="1486" w:type="dxa"/>
            <w:tcBorders>
              <w:top w:val="single" w:sz="0" w:space="0" w:color="D3D3D3"/>
              <w:left w:val="single" w:sz="0" w:space="0" w:color="D3D3D3"/>
              <w:bottom w:val="single" w:sz="0" w:space="0" w:color="D3D3D3"/>
              <w:right w:val="single" w:sz="0" w:space="0" w:color="D3D3D3"/>
            </w:tcBorders>
          </w:tcPr>
          <w:p w14:paraId="48B20EB5" w14:textId="53FE310C"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71EB0639" w14:textId="3C8EF949"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605ABC0E" w14:textId="3C70558E" w:rsidR="003741CE" w:rsidRPr="005B494D" w:rsidRDefault="003741CE" w:rsidP="003741CE">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13ED4EF6" w14:textId="132ADB01" w:rsidR="003741CE" w:rsidRPr="005B494D" w:rsidRDefault="00F036AF" w:rsidP="003741CE">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11FB0019" w14:textId="59955FCD" w:rsidR="003741CE" w:rsidRPr="005B494D" w:rsidRDefault="00F036AF" w:rsidP="003741CE">
            <w:pPr>
              <w:keepNext/>
              <w:spacing w:after="60"/>
              <w:jc w:val="center"/>
              <w:rPr>
                <w:sz w:val="20"/>
              </w:rPr>
            </w:pPr>
            <w:r w:rsidRPr="005B494D">
              <w:rPr>
                <w:rFonts w:hint="eastAsia"/>
                <w:sz w:val="20"/>
              </w:rPr>
              <w:t>0</w:t>
            </w:r>
            <w:r w:rsidRPr="005B494D">
              <w:rPr>
                <w:sz w:val="20"/>
              </w:rPr>
              <w:t>.21</w:t>
            </w:r>
          </w:p>
        </w:tc>
      </w:tr>
      <w:tr w:rsidR="005B494D" w:rsidRPr="005B494D" w14:paraId="6E712C6E"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4E1AA99F" w14:textId="5FCBAE90" w:rsidR="009132FC" w:rsidRPr="005B494D" w:rsidRDefault="009132FC" w:rsidP="009132FC">
            <w:pPr>
              <w:keepNext/>
              <w:spacing w:after="60"/>
            </w:pPr>
            <w:r w:rsidRPr="005B494D">
              <w:rPr>
                <w:sz w:val="20"/>
                <w:szCs w:val="20"/>
              </w:rPr>
              <w:t>    ≤1 times/</w:t>
            </w:r>
            <w:proofErr w:type="spellStart"/>
            <w:r w:rsidRPr="005B494D">
              <w:rPr>
                <w:sz w:val="20"/>
                <w:szCs w:val="20"/>
              </w:rPr>
              <w:t>wk</w:t>
            </w:r>
            <w:proofErr w:type="spellEnd"/>
          </w:p>
        </w:tc>
        <w:tc>
          <w:tcPr>
            <w:tcW w:w="1486" w:type="dxa"/>
            <w:tcBorders>
              <w:top w:val="single" w:sz="0" w:space="0" w:color="D3D3D3"/>
              <w:left w:val="single" w:sz="0" w:space="0" w:color="D3D3D3"/>
              <w:bottom w:val="single" w:sz="0" w:space="0" w:color="D3D3D3"/>
              <w:right w:val="single" w:sz="0" w:space="0" w:color="D3D3D3"/>
            </w:tcBorders>
            <w:vAlign w:val="center"/>
          </w:tcPr>
          <w:p w14:paraId="6FEA1226" w14:textId="186BB336" w:rsidR="009132FC" w:rsidRPr="005B494D" w:rsidRDefault="009132FC" w:rsidP="009132FC">
            <w:pPr>
              <w:keepNext/>
              <w:spacing w:after="60"/>
              <w:jc w:val="center"/>
              <w:rPr>
                <w:sz w:val="20"/>
                <w:szCs w:val="20"/>
              </w:rPr>
            </w:pPr>
            <w:r w:rsidRPr="005B494D">
              <w:rPr>
                <w:sz w:val="20"/>
                <w:szCs w:val="20"/>
              </w:rPr>
              <w:t>126,906 (25.7%)</w:t>
            </w:r>
          </w:p>
        </w:tc>
        <w:tc>
          <w:tcPr>
            <w:tcW w:w="1844" w:type="dxa"/>
            <w:tcBorders>
              <w:top w:val="single" w:sz="0" w:space="0" w:color="D3D3D3"/>
              <w:left w:val="single" w:sz="0" w:space="0" w:color="D3D3D3"/>
              <w:bottom w:val="single" w:sz="0" w:space="0" w:color="D3D3D3"/>
              <w:right w:val="single" w:sz="0" w:space="0" w:color="D3D3D3"/>
            </w:tcBorders>
            <w:vAlign w:val="center"/>
          </w:tcPr>
          <w:p w14:paraId="01C73066" w14:textId="29E277FA" w:rsidR="009132FC" w:rsidRPr="005B494D" w:rsidRDefault="009132FC" w:rsidP="009132FC">
            <w:pPr>
              <w:keepNext/>
              <w:spacing w:after="60"/>
              <w:jc w:val="center"/>
              <w:rPr>
                <w:sz w:val="20"/>
                <w:szCs w:val="20"/>
              </w:rPr>
            </w:pPr>
            <w:r w:rsidRPr="005B494D">
              <w:rPr>
                <w:sz w:val="20"/>
                <w:szCs w:val="20"/>
              </w:rPr>
              <w:t>10,112 (33.4%)</w:t>
            </w:r>
          </w:p>
        </w:tc>
        <w:tc>
          <w:tcPr>
            <w:tcW w:w="1844" w:type="dxa"/>
            <w:tcBorders>
              <w:top w:val="single" w:sz="0" w:space="0" w:color="D3D3D3"/>
              <w:left w:val="single" w:sz="0" w:space="0" w:color="D3D3D3"/>
              <w:bottom w:val="single" w:sz="0" w:space="0" w:color="D3D3D3"/>
              <w:right w:val="single" w:sz="0" w:space="0" w:color="D3D3D3"/>
            </w:tcBorders>
            <w:vAlign w:val="center"/>
          </w:tcPr>
          <w:p w14:paraId="51985E71" w14:textId="06521118" w:rsidR="009132FC" w:rsidRPr="005B494D" w:rsidRDefault="009132FC" w:rsidP="009132FC">
            <w:pPr>
              <w:keepNext/>
              <w:spacing w:after="60"/>
              <w:jc w:val="center"/>
              <w:rPr>
                <w:sz w:val="20"/>
                <w:szCs w:val="20"/>
              </w:rPr>
            </w:pPr>
            <w:r w:rsidRPr="005B494D">
              <w:rPr>
                <w:sz w:val="20"/>
                <w:szCs w:val="20"/>
              </w:rPr>
              <w:t>116,794 (25.2%)</w:t>
            </w:r>
          </w:p>
        </w:tc>
        <w:tc>
          <w:tcPr>
            <w:tcW w:w="861" w:type="dxa"/>
            <w:tcBorders>
              <w:top w:val="single" w:sz="0" w:space="0" w:color="D3D3D3"/>
              <w:left w:val="single" w:sz="0" w:space="0" w:color="D3D3D3"/>
              <w:bottom w:val="single" w:sz="0" w:space="0" w:color="D3D3D3"/>
              <w:right w:val="single" w:sz="0" w:space="0" w:color="D3D3D3"/>
            </w:tcBorders>
          </w:tcPr>
          <w:p w14:paraId="5D6C0764" w14:textId="2E8881AC" w:rsidR="009132FC" w:rsidRPr="005B494D" w:rsidRDefault="009132FC" w:rsidP="009132FC">
            <w:pPr>
              <w:keepNext/>
              <w:spacing w:after="60"/>
              <w:jc w:val="center"/>
            </w:pPr>
          </w:p>
        </w:tc>
        <w:tc>
          <w:tcPr>
            <w:tcW w:w="634" w:type="dxa"/>
            <w:tcBorders>
              <w:top w:val="single" w:sz="0" w:space="0" w:color="D3D3D3"/>
              <w:left w:val="single" w:sz="0" w:space="0" w:color="D3D3D3"/>
              <w:bottom w:val="single" w:sz="0" w:space="0" w:color="D3D3D3"/>
              <w:right w:val="single" w:sz="0" w:space="0" w:color="D3D3D3"/>
            </w:tcBorders>
          </w:tcPr>
          <w:p w14:paraId="14647F37" w14:textId="485636FE" w:rsidR="009132FC" w:rsidRPr="005B494D" w:rsidRDefault="009132FC" w:rsidP="009132FC">
            <w:pPr>
              <w:keepNext/>
              <w:spacing w:after="60"/>
              <w:jc w:val="center"/>
              <w:rPr>
                <w:sz w:val="20"/>
              </w:rPr>
            </w:pPr>
          </w:p>
        </w:tc>
      </w:tr>
      <w:tr w:rsidR="005B494D" w:rsidRPr="005B494D" w14:paraId="3104439E"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06C274CC" w14:textId="7E7D78FA" w:rsidR="009132FC" w:rsidRPr="005B494D" w:rsidRDefault="009132FC" w:rsidP="009132FC">
            <w:pPr>
              <w:keepNext/>
              <w:spacing w:after="60"/>
            </w:pPr>
            <w:r w:rsidRPr="005B494D">
              <w:rPr>
                <w:b/>
                <w:bCs/>
                <w:sz w:val="20"/>
                <w:szCs w:val="20"/>
              </w:rPr>
              <w:t xml:space="preserve">    </w:t>
            </w:r>
            <w:r w:rsidRPr="005B494D">
              <w:rPr>
                <w:sz w:val="20"/>
                <w:szCs w:val="20"/>
              </w:rPr>
              <w:t>1.1-1-9</w:t>
            </w:r>
            <w:r w:rsidRPr="005B494D">
              <w:rPr>
                <w:b/>
                <w:bCs/>
                <w:sz w:val="20"/>
                <w:szCs w:val="20"/>
              </w:rPr>
              <w:t xml:space="preserve">  </w:t>
            </w:r>
            <w:r w:rsidRPr="005B494D">
              <w:rPr>
                <w:sz w:val="20"/>
                <w:szCs w:val="20"/>
              </w:rPr>
              <w:t>times/</w:t>
            </w:r>
            <w:proofErr w:type="spellStart"/>
            <w:r w:rsidRPr="005B494D">
              <w:rPr>
                <w:sz w:val="20"/>
                <w:szCs w:val="20"/>
              </w:rPr>
              <w:t>wk</w:t>
            </w:r>
            <w:proofErr w:type="spellEnd"/>
          </w:p>
        </w:tc>
        <w:tc>
          <w:tcPr>
            <w:tcW w:w="1486" w:type="dxa"/>
            <w:tcBorders>
              <w:top w:val="single" w:sz="0" w:space="0" w:color="D3D3D3"/>
              <w:left w:val="single" w:sz="0" w:space="0" w:color="D3D3D3"/>
              <w:bottom w:val="single" w:sz="0" w:space="0" w:color="D3D3D3"/>
              <w:right w:val="single" w:sz="0" w:space="0" w:color="D3D3D3"/>
            </w:tcBorders>
            <w:vAlign w:val="center"/>
          </w:tcPr>
          <w:p w14:paraId="6D075AE6" w14:textId="47147642" w:rsidR="009132FC" w:rsidRPr="005B494D" w:rsidRDefault="009132FC" w:rsidP="009132FC">
            <w:pPr>
              <w:keepNext/>
              <w:spacing w:after="60"/>
              <w:jc w:val="center"/>
              <w:rPr>
                <w:sz w:val="20"/>
                <w:szCs w:val="20"/>
              </w:rPr>
            </w:pPr>
            <w:r w:rsidRPr="005B494D">
              <w:rPr>
                <w:sz w:val="20"/>
                <w:szCs w:val="20"/>
              </w:rPr>
              <w:t>107,186 (21.7%)</w:t>
            </w:r>
          </w:p>
        </w:tc>
        <w:tc>
          <w:tcPr>
            <w:tcW w:w="1844" w:type="dxa"/>
            <w:tcBorders>
              <w:top w:val="single" w:sz="0" w:space="0" w:color="D3D3D3"/>
              <w:left w:val="single" w:sz="0" w:space="0" w:color="D3D3D3"/>
              <w:bottom w:val="single" w:sz="0" w:space="0" w:color="D3D3D3"/>
              <w:right w:val="single" w:sz="0" w:space="0" w:color="D3D3D3"/>
            </w:tcBorders>
            <w:vAlign w:val="center"/>
          </w:tcPr>
          <w:p w14:paraId="4E370A83" w14:textId="51484BF4" w:rsidR="009132FC" w:rsidRPr="005B494D" w:rsidRDefault="009132FC" w:rsidP="009132FC">
            <w:pPr>
              <w:keepNext/>
              <w:spacing w:after="60"/>
              <w:jc w:val="center"/>
              <w:rPr>
                <w:sz w:val="20"/>
                <w:szCs w:val="20"/>
              </w:rPr>
            </w:pPr>
            <w:r w:rsidRPr="005B494D">
              <w:rPr>
                <w:sz w:val="20"/>
                <w:szCs w:val="20"/>
              </w:rPr>
              <w:t>6,503 (21.5%)</w:t>
            </w:r>
          </w:p>
        </w:tc>
        <w:tc>
          <w:tcPr>
            <w:tcW w:w="1844" w:type="dxa"/>
            <w:tcBorders>
              <w:top w:val="single" w:sz="0" w:space="0" w:color="D3D3D3"/>
              <w:left w:val="single" w:sz="0" w:space="0" w:color="D3D3D3"/>
              <w:bottom w:val="single" w:sz="0" w:space="0" w:color="D3D3D3"/>
              <w:right w:val="single" w:sz="0" w:space="0" w:color="D3D3D3"/>
            </w:tcBorders>
            <w:vAlign w:val="center"/>
          </w:tcPr>
          <w:p w14:paraId="309B1F3A" w14:textId="185278AF" w:rsidR="009132FC" w:rsidRPr="005B494D" w:rsidRDefault="009132FC" w:rsidP="009132FC">
            <w:pPr>
              <w:keepNext/>
              <w:spacing w:after="60"/>
              <w:jc w:val="center"/>
              <w:rPr>
                <w:sz w:val="20"/>
                <w:szCs w:val="20"/>
              </w:rPr>
            </w:pPr>
            <w:r w:rsidRPr="005B494D">
              <w:rPr>
                <w:sz w:val="20"/>
                <w:szCs w:val="20"/>
              </w:rPr>
              <w:t>100,683 (21.7%)</w:t>
            </w:r>
          </w:p>
        </w:tc>
        <w:tc>
          <w:tcPr>
            <w:tcW w:w="861" w:type="dxa"/>
            <w:tcBorders>
              <w:top w:val="single" w:sz="0" w:space="0" w:color="D3D3D3"/>
              <w:left w:val="single" w:sz="0" w:space="0" w:color="D3D3D3"/>
              <w:bottom w:val="single" w:sz="0" w:space="0" w:color="D3D3D3"/>
              <w:right w:val="single" w:sz="0" w:space="0" w:color="D3D3D3"/>
            </w:tcBorders>
          </w:tcPr>
          <w:p w14:paraId="4A09D387" w14:textId="77777777" w:rsidR="009132FC" w:rsidRPr="005B494D" w:rsidRDefault="009132FC" w:rsidP="009132FC">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7604CB9D" w14:textId="77777777" w:rsidR="009132FC" w:rsidRPr="005B494D" w:rsidRDefault="009132FC" w:rsidP="009132FC">
            <w:pPr>
              <w:keepNext/>
              <w:spacing w:after="60"/>
              <w:jc w:val="center"/>
              <w:rPr>
                <w:sz w:val="20"/>
              </w:rPr>
            </w:pPr>
          </w:p>
        </w:tc>
      </w:tr>
      <w:tr w:rsidR="005B494D" w:rsidRPr="005B494D" w14:paraId="42E4D932"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0BA2C85D" w14:textId="764D324C" w:rsidR="009132FC" w:rsidRPr="005B494D" w:rsidRDefault="009132FC" w:rsidP="009132FC">
            <w:pPr>
              <w:keepNext/>
              <w:spacing w:after="60"/>
            </w:pPr>
            <w:r w:rsidRPr="005B494D">
              <w:rPr>
                <w:sz w:val="20"/>
                <w:szCs w:val="20"/>
              </w:rPr>
              <w:t>    2-3</w:t>
            </w:r>
            <w:r w:rsidRPr="005B494D">
              <w:rPr>
                <w:b/>
                <w:bCs/>
                <w:sz w:val="20"/>
                <w:szCs w:val="20"/>
              </w:rPr>
              <w:t xml:space="preserve">  </w:t>
            </w:r>
            <w:r w:rsidRPr="005B494D">
              <w:rPr>
                <w:sz w:val="20"/>
                <w:szCs w:val="20"/>
              </w:rPr>
              <w:t>times/</w:t>
            </w:r>
            <w:proofErr w:type="spellStart"/>
            <w:r w:rsidRPr="005B494D">
              <w:rPr>
                <w:sz w:val="20"/>
                <w:szCs w:val="20"/>
              </w:rPr>
              <w:t>wk</w:t>
            </w:r>
            <w:proofErr w:type="spellEnd"/>
          </w:p>
        </w:tc>
        <w:tc>
          <w:tcPr>
            <w:tcW w:w="1486" w:type="dxa"/>
            <w:tcBorders>
              <w:top w:val="single" w:sz="0" w:space="0" w:color="D3D3D3"/>
              <w:left w:val="single" w:sz="0" w:space="0" w:color="D3D3D3"/>
              <w:bottom w:val="single" w:sz="0" w:space="0" w:color="D3D3D3"/>
              <w:right w:val="single" w:sz="0" w:space="0" w:color="D3D3D3"/>
            </w:tcBorders>
            <w:vAlign w:val="center"/>
          </w:tcPr>
          <w:p w14:paraId="7EED4197" w14:textId="4671F52F" w:rsidR="009132FC" w:rsidRPr="005B494D" w:rsidRDefault="009132FC" w:rsidP="009132FC">
            <w:pPr>
              <w:keepNext/>
              <w:spacing w:after="60"/>
              <w:jc w:val="center"/>
              <w:rPr>
                <w:sz w:val="20"/>
                <w:szCs w:val="20"/>
              </w:rPr>
            </w:pPr>
            <w:r w:rsidRPr="005B494D">
              <w:rPr>
                <w:sz w:val="20"/>
                <w:szCs w:val="20"/>
              </w:rPr>
              <w:t>121,365 (24.6%)</w:t>
            </w:r>
          </w:p>
        </w:tc>
        <w:tc>
          <w:tcPr>
            <w:tcW w:w="1844" w:type="dxa"/>
            <w:tcBorders>
              <w:top w:val="single" w:sz="0" w:space="0" w:color="D3D3D3"/>
              <w:left w:val="single" w:sz="0" w:space="0" w:color="D3D3D3"/>
              <w:bottom w:val="single" w:sz="0" w:space="0" w:color="D3D3D3"/>
              <w:right w:val="single" w:sz="0" w:space="0" w:color="D3D3D3"/>
            </w:tcBorders>
            <w:vAlign w:val="center"/>
          </w:tcPr>
          <w:p w14:paraId="6EFA4BB1" w14:textId="7B0FC166" w:rsidR="009132FC" w:rsidRPr="005B494D" w:rsidRDefault="009132FC" w:rsidP="009132FC">
            <w:pPr>
              <w:keepNext/>
              <w:spacing w:after="60"/>
              <w:jc w:val="center"/>
              <w:rPr>
                <w:sz w:val="20"/>
                <w:szCs w:val="20"/>
              </w:rPr>
            </w:pPr>
            <w:r w:rsidRPr="005B494D">
              <w:rPr>
                <w:sz w:val="20"/>
                <w:szCs w:val="20"/>
              </w:rPr>
              <w:t>5,689 (18.8%)</w:t>
            </w:r>
          </w:p>
        </w:tc>
        <w:tc>
          <w:tcPr>
            <w:tcW w:w="1844" w:type="dxa"/>
            <w:tcBorders>
              <w:top w:val="single" w:sz="0" w:space="0" w:color="D3D3D3"/>
              <w:left w:val="single" w:sz="0" w:space="0" w:color="D3D3D3"/>
              <w:bottom w:val="single" w:sz="0" w:space="0" w:color="D3D3D3"/>
              <w:right w:val="single" w:sz="0" w:space="0" w:color="D3D3D3"/>
            </w:tcBorders>
            <w:vAlign w:val="center"/>
          </w:tcPr>
          <w:p w14:paraId="1336BFA9" w14:textId="42181CA3" w:rsidR="009132FC" w:rsidRPr="005B494D" w:rsidRDefault="009132FC" w:rsidP="009132FC">
            <w:pPr>
              <w:keepNext/>
              <w:spacing w:after="60"/>
              <w:jc w:val="center"/>
              <w:rPr>
                <w:sz w:val="20"/>
                <w:szCs w:val="20"/>
              </w:rPr>
            </w:pPr>
            <w:r w:rsidRPr="005B494D">
              <w:rPr>
                <w:sz w:val="20"/>
                <w:szCs w:val="20"/>
              </w:rPr>
              <w:t>115,676 (25.0%)</w:t>
            </w:r>
          </w:p>
        </w:tc>
        <w:tc>
          <w:tcPr>
            <w:tcW w:w="861" w:type="dxa"/>
            <w:tcBorders>
              <w:top w:val="single" w:sz="0" w:space="0" w:color="D3D3D3"/>
              <w:left w:val="single" w:sz="0" w:space="0" w:color="D3D3D3"/>
              <w:bottom w:val="single" w:sz="0" w:space="0" w:color="D3D3D3"/>
              <w:right w:val="single" w:sz="0" w:space="0" w:color="D3D3D3"/>
            </w:tcBorders>
          </w:tcPr>
          <w:p w14:paraId="366381B3" w14:textId="77777777" w:rsidR="009132FC" w:rsidRPr="005B494D" w:rsidRDefault="009132FC" w:rsidP="009132FC">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2273788F" w14:textId="77777777" w:rsidR="009132FC" w:rsidRPr="005B494D" w:rsidRDefault="009132FC" w:rsidP="009132FC">
            <w:pPr>
              <w:keepNext/>
              <w:spacing w:after="60"/>
              <w:jc w:val="center"/>
              <w:rPr>
                <w:sz w:val="20"/>
              </w:rPr>
            </w:pPr>
          </w:p>
        </w:tc>
      </w:tr>
      <w:tr w:rsidR="005B494D" w:rsidRPr="005B494D" w14:paraId="69626DBE"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606D256F" w14:textId="3F4BE161" w:rsidR="009132FC" w:rsidRPr="005B494D" w:rsidRDefault="009132FC" w:rsidP="009132FC">
            <w:pPr>
              <w:keepNext/>
              <w:spacing w:after="60"/>
            </w:pPr>
            <w:r w:rsidRPr="005B494D">
              <w:rPr>
                <w:sz w:val="20"/>
                <w:szCs w:val="20"/>
              </w:rPr>
              <w:t>    &gt; 3 times/</w:t>
            </w:r>
            <w:proofErr w:type="spellStart"/>
            <w:r w:rsidRPr="005B494D">
              <w:rPr>
                <w:sz w:val="20"/>
                <w:szCs w:val="20"/>
              </w:rPr>
              <w:t>wk</w:t>
            </w:r>
            <w:proofErr w:type="spellEnd"/>
          </w:p>
        </w:tc>
        <w:tc>
          <w:tcPr>
            <w:tcW w:w="1486" w:type="dxa"/>
            <w:tcBorders>
              <w:top w:val="single" w:sz="0" w:space="0" w:color="D3D3D3"/>
              <w:left w:val="single" w:sz="0" w:space="0" w:color="D3D3D3"/>
              <w:bottom w:val="single" w:sz="0" w:space="0" w:color="D3D3D3"/>
              <w:right w:val="single" w:sz="0" w:space="0" w:color="D3D3D3"/>
            </w:tcBorders>
            <w:vAlign w:val="center"/>
          </w:tcPr>
          <w:p w14:paraId="5641FE19" w14:textId="226B0A5F" w:rsidR="009132FC" w:rsidRPr="005B494D" w:rsidRDefault="009132FC" w:rsidP="009132FC">
            <w:pPr>
              <w:keepNext/>
              <w:spacing w:after="60"/>
              <w:jc w:val="center"/>
              <w:rPr>
                <w:sz w:val="20"/>
                <w:szCs w:val="20"/>
              </w:rPr>
            </w:pPr>
            <w:r w:rsidRPr="005B494D">
              <w:rPr>
                <w:sz w:val="20"/>
                <w:szCs w:val="20"/>
              </w:rPr>
              <w:t>135,025 (27.4%)</w:t>
            </w:r>
          </w:p>
        </w:tc>
        <w:tc>
          <w:tcPr>
            <w:tcW w:w="1844" w:type="dxa"/>
            <w:tcBorders>
              <w:top w:val="single" w:sz="0" w:space="0" w:color="D3D3D3"/>
              <w:left w:val="single" w:sz="0" w:space="0" w:color="D3D3D3"/>
              <w:bottom w:val="single" w:sz="0" w:space="0" w:color="D3D3D3"/>
              <w:right w:val="single" w:sz="0" w:space="0" w:color="D3D3D3"/>
            </w:tcBorders>
            <w:vAlign w:val="center"/>
          </w:tcPr>
          <w:p w14:paraId="3CBDD8B4" w14:textId="7FBFA97C" w:rsidR="009132FC" w:rsidRPr="005B494D" w:rsidRDefault="009132FC" w:rsidP="009132FC">
            <w:pPr>
              <w:keepNext/>
              <w:spacing w:after="60"/>
              <w:jc w:val="center"/>
              <w:rPr>
                <w:sz w:val="20"/>
                <w:szCs w:val="20"/>
              </w:rPr>
            </w:pPr>
            <w:r w:rsidRPr="005B494D">
              <w:rPr>
                <w:sz w:val="20"/>
                <w:szCs w:val="20"/>
              </w:rPr>
              <w:t>7,628 (25.2%)</w:t>
            </w:r>
          </w:p>
        </w:tc>
        <w:tc>
          <w:tcPr>
            <w:tcW w:w="1844" w:type="dxa"/>
            <w:tcBorders>
              <w:top w:val="single" w:sz="0" w:space="0" w:color="D3D3D3"/>
              <w:left w:val="single" w:sz="0" w:space="0" w:color="D3D3D3"/>
              <w:bottom w:val="single" w:sz="0" w:space="0" w:color="D3D3D3"/>
              <w:right w:val="single" w:sz="0" w:space="0" w:color="D3D3D3"/>
            </w:tcBorders>
            <w:vAlign w:val="center"/>
          </w:tcPr>
          <w:p w14:paraId="5A2F4024" w14:textId="15C37181" w:rsidR="009132FC" w:rsidRPr="005B494D" w:rsidRDefault="009132FC" w:rsidP="009132FC">
            <w:pPr>
              <w:keepNext/>
              <w:spacing w:after="60"/>
              <w:jc w:val="center"/>
              <w:rPr>
                <w:sz w:val="20"/>
                <w:szCs w:val="20"/>
              </w:rPr>
            </w:pPr>
            <w:r w:rsidRPr="005B494D">
              <w:rPr>
                <w:sz w:val="20"/>
                <w:szCs w:val="20"/>
              </w:rPr>
              <w:t>127,397 (27.5%)</w:t>
            </w:r>
          </w:p>
        </w:tc>
        <w:tc>
          <w:tcPr>
            <w:tcW w:w="861" w:type="dxa"/>
            <w:tcBorders>
              <w:top w:val="single" w:sz="0" w:space="0" w:color="D3D3D3"/>
              <w:left w:val="single" w:sz="0" w:space="0" w:color="D3D3D3"/>
              <w:bottom w:val="single" w:sz="0" w:space="0" w:color="D3D3D3"/>
              <w:right w:val="single" w:sz="0" w:space="0" w:color="D3D3D3"/>
            </w:tcBorders>
          </w:tcPr>
          <w:p w14:paraId="61BC7B3E" w14:textId="77777777" w:rsidR="009132FC" w:rsidRPr="005B494D" w:rsidRDefault="009132FC" w:rsidP="009132FC">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16D0F562" w14:textId="77777777" w:rsidR="009132FC" w:rsidRPr="005B494D" w:rsidRDefault="009132FC" w:rsidP="009132FC">
            <w:pPr>
              <w:keepNext/>
              <w:spacing w:after="60"/>
              <w:jc w:val="center"/>
              <w:rPr>
                <w:sz w:val="20"/>
              </w:rPr>
            </w:pPr>
          </w:p>
        </w:tc>
      </w:tr>
      <w:tr w:rsidR="005B494D" w:rsidRPr="005B494D" w14:paraId="450BB708"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0018F442" w14:textId="61F64AD2" w:rsidR="009132FC" w:rsidRPr="005B494D" w:rsidRDefault="009132FC" w:rsidP="006D6DCA">
            <w:pPr>
              <w:keepNext/>
              <w:spacing w:after="60"/>
            </w:pPr>
            <w:r w:rsidRPr="005B494D">
              <w:rPr>
                <w:rFonts w:ascii="Segoe UI" w:hAnsi="Segoe UI" w:cs="Segoe UI"/>
                <w:sz w:val="27"/>
                <w:szCs w:val="27"/>
              </w:rPr>
              <w:t>    </w:t>
            </w:r>
            <w:r w:rsidRPr="005B494D">
              <w:rPr>
                <w:sz w:val="20"/>
                <w:szCs w:val="20"/>
              </w:rPr>
              <w:t>Missing</w:t>
            </w:r>
          </w:p>
        </w:tc>
        <w:tc>
          <w:tcPr>
            <w:tcW w:w="1486" w:type="dxa"/>
            <w:tcBorders>
              <w:top w:val="single" w:sz="0" w:space="0" w:color="D3D3D3"/>
              <w:left w:val="single" w:sz="0" w:space="0" w:color="D3D3D3"/>
              <w:bottom w:val="single" w:sz="0" w:space="0" w:color="D3D3D3"/>
              <w:right w:val="single" w:sz="0" w:space="0" w:color="D3D3D3"/>
            </w:tcBorders>
            <w:vAlign w:val="center"/>
          </w:tcPr>
          <w:p w14:paraId="585F4079" w14:textId="775817C4" w:rsidR="009132FC" w:rsidRPr="005B494D" w:rsidRDefault="009132FC" w:rsidP="009132FC">
            <w:pPr>
              <w:keepNext/>
              <w:spacing w:after="60"/>
              <w:jc w:val="center"/>
              <w:rPr>
                <w:sz w:val="20"/>
                <w:szCs w:val="20"/>
              </w:rPr>
            </w:pPr>
            <w:r w:rsidRPr="005B494D">
              <w:rPr>
                <w:sz w:val="20"/>
                <w:szCs w:val="20"/>
              </w:rPr>
              <w:t>3,162 (0.6%)</w:t>
            </w:r>
          </w:p>
        </w:tc>
        <w:tc>
          <w:tcPr>
            <w:tcW w:w="1844" w:type="dxa"/>
            <w:tcBorders>
              <w:top w:val="single" w:sz="0" w:space="0" w:color="D3D3D3"/>
              <w:left w:val="single" w:sz="0" w:space="0" w:color="D3D3D3"/>
              <w:bottom w:val="single" w:sz="0" w:space="0" w:color="D3D3D3"/>
              <w:right w:val="single" w:sz="0" w:space="0" w:color="D3D3D3"/>
            </w:tcBorders>
            <w:vAlign w:val="center"/>
          </w:tcPr>
          <w:p w14:paraId="59393A26" w14:textId="08A0CA01" w:rsidR="009132FC" w:rsidRPr="005B494D" w:rsidRDefault="009132FC" w:rsidP="009132FC">
            <w:pPr>
              <w:keepNext/>
              <w:spacing w:after="60"/>
              <w:jc w:val="center"/>
              <w:rPr>
                <w:sz w:val="20"/>
                <w:szCs w:val="20"/>
              </w:rPr>
            </w:pPr>
            <w:r w:rsidRPr="005B494D">
              <w:rPr>
                <w:sz w:val="20"/>
                <w:szCs w:val="20"/>
              </w:rPr>
              <w:t>338 (1.1%)</w:t>
            </w:r>
          </w:p>
        </w:tc>
        <w:tc>
          <w:tcPr>
            <w:tcW w:w="1844" w:type="dxa"/>
            <w:tcBorders>
              <w:top w:val="single" w:sz="0" w:space="0" w:color="D3D3D3"/>
              <w:left w:val="single" w:sz="0" w:space="0" w:color="D3D3D3"/>
              <w:bottom w:val="single" w:sz="0" w:space="0" w:color="D3D3D3"/>
              <w:right w:val="single" w:sz="0" w:space="0" w:color="D3D3D3"/>
            </w:tcBorders>
            <w:vAlign w:val="center"/>
          </w:tcPr>
          <w:p w14:paraId="0378A344" w14:textId="607846C7" w:rsidR="009132FC" w:rsidRPr="005B494D" w:rsidRDefault="009132FC" w:rsidP="009132FC">
            <w:pPr>
              <w:keepNext/>
              <w:spacing w:after="60"/>
              <w:jc w:val="center"/>
              <w:rPr>
                <w:sz w:val="20"/>
                <w:szCs w:val="20"/>
              </w:rPr>
            </w:pPr>
            <w:r w:rsidRPr="005B494D">
              <w:rPr>
                <w:sz w:val="20"/>
                <w:szCs w:val="20"/>
              </w:rPr>
              <w:t>2,824 (0.6%)</w:t>
            </w:r>
          </w:p>
        </w:tc>
        <w:tc>
          <w:tcPr>
            <w:tcW w:w="861" w:type="dxa"/>
            <w:tcBorders>
              <w:top w:val="single" w:sz="0" w:space="0" w:color="D3D3D3"/>
              <w:left w:val="single" w:sz="0" w:space="0" w:color="D3D3D3"/>
              <w:bottom w:val="single" w:sz="0" w:space="0" w:color="D3D3D3"/>
              <w:right w:val="single" w:sz="0" w:space="0" w:color="D3D3D3"/>
            </w:tcBorders>
          </w:tcPr>
          <w:p w14:paraId="461C2AEA" w14:textId="1E9E2D5B" w:rsidR="009132FC" w:rsidRPr="005B494D" w:rsidRDefault="009132FC" w:rsidP="009132FC">
            <w:pPr>
              <w:keepNext/>
              <w:spacing w:after="60"/>
              <w:jc w:val="center"/>
            </w:pPr>
          </w:p>
        </w:tc>
        <w:tc>
          <w:tcPr>
            <w:tcW w:w="634" w:type="dxa"/>
            <w:tcBorders>
              <w:top w:val="single" w:sz="0" w:space="0" w:color="D3D3D3"/>
              <w:left w:val="single" w:sz="0" w:space="0" w:color="D3D3D3"/>
              <w:bottom w:val="single" w:sz="0" w:space="0" w:color="D3D3D3"/>
              <w:right w:val="single" w:sz="0" w:space="0" w:color="D3D3D3"/>
            </w:tcBorders>
          </w:tcPr>
          <w:p w14:paraId="41A72A39" w14:textId="353EBA8D" w:rsidR="009132FC" w:rsidRPr="005B494D" w:rsidRDefault="009132FC" w:rsidP="009132FC">
            <w:pPr>
              <w:keepNext/>
              <w:spacing w:after="60"/>
              <w:jc w:val="center"/>
              <w:rPr>
                <w:sz w:val="20"/>
              </w:rPr>
            </w:pPr>
          </w:p>
        </w:tc>
      </w:tr>
      <w:tr w:rsidR="005B494D" w:rsidRPr="005B494D" w14:paraId="56637D57"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6D797E14" w14:textId="4DDE1B7C" w:rsidR="003741CE" w:rsidRPr="005B494D" w:rsidRDefault="006D6DCA" w:rsidP="006D6DCA">
            <w:pPr>
              <w:pStyle w:val="NormalWeb"/>
              <w:spacing w:before="0" w:after="60"/>
            </w:pPr>
            <w:r w:rsidRPr="005B494D">
              <w:rPr>
                <w:b/>
                <w:bCs/>
                <w:sz w:val="20"/>
                <w:szCs w:val="20"/>
              </w:rPr>
              <w:t>Vegetables and Fruits</w:t>
            </w:r>
          </w:p>
        </w:tc>
        <w:tc>
          <w:tcPr>
            <w:tcW w:w="1486" w:type="dxa"/>
            <w:tcBorders>
              <w:top w:val="single" w:sz="0" w:space="0" w:color="D3D3D3"/>
              <w:left w:val="single" w:sz="0" w:space="0" w:color="D3D3D3"/>
              <w:bottom w:val="single" w:sz="0" w:space="0" w:color="D3D3D3"/>
              <w:right w:val="single" w:sz="0" w:space="0" w:color="D3D3D3"/>
            </w:tcBorders>
            <w:vAlign w:val="center"/>
          </w:tcPr>
          <w:p w14:paraId="68E6ACBD" w14:textId="1CDC7A3A"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vAlign w:val="center"/>
          </w:tcPr>
          <w:p w14:paraId="747DC904" w14:textId="18FF7FF4"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vAlign w:val="center"/>
          </w:tcPr>
          <w:p w14:paraId="1895900C" w14:textId="14DDB899" w:rsidR="003741CE" w:rsidRPr="005B494D" w:rsidRDefault="003741CE" w:rsidP="003741CE">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3CC3DDEC" w14:textId="52891370" w:rsidR="003741CE" w:rsidRPr="005B494D" w:rsidRDefault="00F036AF" w:rsidP="003741CE">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41257E1A" w14:textId="6A105932" w:rsidR="003741CE" w:rsidRPr="005B494D" w:rsidRDefault="00F036AF" w:rsidP="003741CE">
            <w:pPr>
              <w:keepNext/>
              <w:spacing w:after="60"/>
              <w:jc w:val="center"/>
              <w:rPr>
                <w:sz w:val="20"/>
              </w:rPr>
            </w:pPr>
            <w:r w:rsidRPr="005B494D">
              <w:rPr>
                <w:rFonts w:hint="eastAsia"/>
                <w:sz w:val="20"/>
              </w:rPr>
              <w:t>0</w:t>
            </w:r>
            <w:r w:rsidRPr="005B494D">
              <w:rPr>
                <w:sz w:val="20"/>
              </w:rPr>
              <w:t>.26</w:t>
            </w:r>
          </w:p>
        </w:tc>
      </w:tr>
      <w:tr w:rsidR="005B494D" w:rsidRPr="005B494D" w14:paraId="673E098B"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41CC60E6" w14:textId="1C73B099" w:rsidR="00695857" w:rsidRPr="005B494D" w:rsidRDefault="00695857" w:rsidP="00695857">
            <w:pPr>
              <w:keepNext/>
              <w:spacing w:after="60"/>
              <w:ind w:firstLineChars="100" w:firstLine="200"/>
              <w:rPr>
                <w:sz w:val="20"/>
                <w:szCs w:val="20"/>
              </w:rPr>
            </w:pPr>
            <w:r w:rsidRPr="005B494D">
              <w:rPr>
                <w:sz w:val="20"/>
                <w:szCs w:val="20"/>
              </w:rPr>
              <w:t>0-2 servings/d</w:t>
            </w:r>
          </w:p>
        </w:tc>
        <w:tc>
          <w:tcPr>
            <w:tcW w:w="1486" w:type="dxa"/>
            <w:tcBorders>
              <w:top w:val="single" w:sz="0" w:space="0" w:color="D3D3D3"/>
              <w:left w:val="single" w:sz="0" w:space="0" w:color="D3D3D3"/>
              <w:bottom w:val="single" w:sz="0" w:space="0" w:color="D3D3D3"/>
              <w:right w:val="single" w:sz="0" w:space="0" w:color="D3D3D3"/>
            </w:tcBorders>
            <w:vAlign w:val="center"/>
          </w:tcPr>
          <w:p w14:paraId="58AE3FC7" w14:textId="46CB038F" w:rsidR="00695857" w:rsidRPr="005B494D" w:rsidRDefault="00695857" w:rsidP="00695857">
            <w:pPr>
              <w:keepNext/>
              <w:spacing w:after="60"/>
              <w:jc w:val="center"/>
              <w:rPr>
                <w:sz w:val="20"/>
                <w:szCs w:val="20"/>
              </w:rPr>
            </w:pPr>
            <w:r w:rsidRPr="005B494D">
              <w:rPr>
                <w:sz w:val="20"/>
                <w:szCs w:val="20"/>
              </w:rPr>
              <w:t>48,803 (9.9%)</w:t>
            </w:r>
          </w:p>
        </w:tc>
        <w:tc>
          <w:tcPr>
            <w:tcW w:w="1844" w:type="dxa"/>
            <w:tcBorders>
              <w:top w:val="single" w:sz="0" w:space="0" w:color="D3D3D3"/>
              <w:left w:val="single" w:sz="0" w:space="0" w:color="D3D3D3"/>
              <w:bottom w:val="single" w:sz="0" w:space="0" w:color="D3D3D3"/>
              <w:right w:val="single" w:sz="0" w:space="0" w:color="D3D3D3"/>
            </w:tcBorders>
            <w:vAlign w:val="center"/>
          </w:tcPr>
          <w:p w14:paraId="2FD1A889" w14:textId="0162DF71" w:rsidR="00695857" w:rsidRPr="005B494D" w:rsidRDefault="00695857" w:rsidP="00695857">
            <w:pPr>
              <w:keepNext/>
              <w:spacing w:after="60"/>
              <w:jc w:val="center"/>
              <w:rPr>
                <w:sz w:val="20"/>
                <w:szCs w:val="20"/>
              </w:rPr>
            </w:pPr>
            <w:r w:rsidRPr="005B494D">
              <w:rPr>
                <w:sz w:val="20"/>
                <w:szCs w:val="20"/>
              </w:rPr>
              <w:t>5,159 (17.0%)</w:t>
            </w:r>
          </w:p>
        </w:tc>
        <w:tc>
          <w:tcPr>
            <w:tcW w:w="1844" w:type="dxa"/>
            <w:tcBorders>
              <w:top w:val="single" w:sz="0" w:space="0" w:color="D3D3D3"/>
              <w:left w:val="single" w:sz="0" w:space="0" w:color="D3D3D3"/>
              <w:bottom w:val="single" w:sz="0" w:space="0" w:color="D3D3D3"/>
              <w:right w:val="single" w:sz="0" w:space="0" w:color="D3D3D3"/>
            </w:tcBorders>
            <w:vAlign w:val="center"/>
          </w:tcPr>
          <w:p w14:paraId="193B512F" w14:textId="341CAA5F" w:rsidR="00695857" w:rsidRPr="005B494D" w:rsidRDefault="00695857" w:rsidP="00695857">
            <w:pPr>
              <w:keepNext/>
              <w:spacing w:after="60"/>
              <w:jc w:val="center"/>
              <w:rPr>
                <w:sz w:val="20"/>
                <w:szCs w:val="20"/>
              </w:rPr>
            </w:pPr>
            <w:r w:rsidRPr="005B494D">
              <w:rPr>
                <w:sz w:val="20"/>
                <w:szCs w:val="20"/>
              </w:rPr>
              <w:t>43,644 (9.4%)</w:t>
            </w:r>
          </w:p>
        </w:tc>
        <w:tc>
          <w:tcPr>
            <w:tcW w:w="861" w:type="dxa"/>
            <w:tcBorders>
              <w:top w:val="single" w:sz="0" w:space="0" w:color="D3D3D3"/>
              <w:left w:val="single" w:sz="0" w:space="0" w:color="D3D3D3"/>
              <w:bottom w:val="single" w:sz="0" w:space="0" w:color="D3D3D3"/>
              <w:right w:val="single" w:sz="0" w:space="0" w:color="D3D3D3"/>
            </w:tcBorders>
          </w:tcPr>
          <w:p w14:paraId="13A64182" w14:textId="77777777" w:rsidR="00695857" w:rsidRPr="005B494D" w:rsidRDefault="00695857" w:rsidP="00695857">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6C2BCC00" w14:textId="77777777" w:rsidR="00695857" w:rsidRPr="005B494D" w:rsidRDefault="00695857" w:rsidP="00695857">
            <w:pPr>
              <w:keepNext/>
              <w:spacing w:after="60"/>
              <w:jc w:val="center"/>
              <w:rPr>
                <w:sz w:val="20"/>
              </w:rPr>
            </w:pPr>
          </w:p>
        </w:tc>
      </w:tr>
      <w:tr w:rsidR="005B494D" w:rsidRPr="005B494D" w14:paraId="5EA9B7FF"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520108EA" w14:textId="61CBE216" w:rsidR="00695857" w:rsidRPr="005B494D" w:rsidRDefault="00695857" w:rsidP="00695857">
            <w:pPr>
              <w:keepNext/>
              <w:spacing w:after="60"/>
              <w:rPr>
                <w:sz w:val="20"/>
                <w:szCs w:val="20"/>
              </w:rPr>
            </w:pPr>
            <w:r w:rsidRPr="005B494D">
              <w:rPr>
                <w:sz w:val="20"/>
                <w:szCs w:val="20"/>
              </w:rPr>
              <w:t>    2.1-4 servings/d</w:t>
            </w:r>
          </w:p>
        </w:tc>
        <w:tc>
          <w:tcPr>
            <w:tcW w:w="1486" w:type="dxa"/>
            <w:tcBorders>
              <w:top w:val="single" w:sz="0" w:space="0" w:color="D3D3D3"/>
              <w:left w:val="single" w:sz="0" w:space="0" w:color="D3D3D3"/>
              <w:bottom w:val="single" w:sz="0" w:space="0" w:color="D3D3D3"/>
              <w:right w:val="single" w:sz="0" w:space="0" w:color="D3D3D3"/>
            </w:tcBorders>
            <w:vAlign w:val="center"/>
          </w:tcPr>
          <w:p w14:paraId="0CBFD6AC" w14:textId="3EA8D55E" w:rsidR="00695857" w:rsidRPr="005B494D" w:rsidRDefault="00695857" w:rsidP="00695857">
            <w:pPr>
              <w:keepNext/>
              <w:spacing w:after="60"/>
              <w:jc w:val="center"/>
              <w:rPr>
                <w:sz w:val="20"/>
                <w:szCs w:val="20"/>
              </w:rPr>
            </w:pPr>
            <w:r w:rsidRPr="005B494D">
              <w:rPr>
                <w:sz w:val="20"/>
                <w:szCs w:val="20"/>
              </w:rPr>
              <w:t>153,564 (31.1%)</w:t>
            </w:r>
          </w:p>
        </w:tc>
        <w:tc>
          <w:tcPr>
            <w:tcW w:w="1844" w:type="dxa"/>
            <w:tcBorders>
              <w:top w:val="single" w:sz="0" w:space="0" w:color="D3D3D3"/>
              <w:left w:val="single" w:sz="0" w:space="0" w:color="D3D3D3"/>
              <w:bottom w:val="single" w:sz="0" w:space="0" w:color="D3D3D3"/>
              <w:right w:val="single" w:sz="0" w:space="0" w:color="D3D3D3"/>
            </w:tcBorders>
            <w:vAlign w:val="center"/>
          </w:tcPr>
          <w:p w14:paraId="369B39E9" w14:textId="51D036BB" w:rsidR="00695857" w:rsidRPr="005B494D" w:rsidRDefault="00695857" w:rsidP="00695857">
            <w:pPr>
              <w:keepNext/>
              <w:spacing w:after="60"/>
              <w:jc w:val="center"/>
              <w:rPr>
                <w:sz w:val="20"/>
                <w:szCs w:val="20"/>
              </w:rPr>
            </w:pPr>
            <w:r w:rsidRPr="005B494D">
              <w:rPr>
                <w:sz w:val="20"/>
                <w:szCs w:val="20"/>
              </w:rPr>
              <w:t>9,791 (32.3%)</w:t>
            </w:r>
          </w:p>
        </w:tc>
        <w:tc>
          <w:tcPr>
            <w:tcW w:w="1844" w:type="dxa"/>
            <w:tcBorders>
              <w:top w:val="single" w:sz="0" w:space="0" w:color="D3D3D3"/>
              <w:left w:val="single" w:sz="0" w:space="0" w:color="D3D3D3"/>
              <w:bottom w:val="single" w:sz="0" w:space="0" w:color="D3D3D3"/>
              <w:right w:val="single" w:sz="0" w:space="0" w:color="D3D3D3"/>
            </w:tcBorders>
            <w:vAlign w:val="center"/>
          </w:tcPr>
          <w:p w14:paraId="7C0966AC" w14:textId="63B180EF" w:rsidR="00695857" w:rsidRPr="005B494D" w:rsidRDefault="00695857" w:rsidP="00695857">
            <w:pPr>
              <w:keepNext/>
              <w:spacing w:after="60"/>
              <w:jc w:val="center"/>
              <w:rPr>
                <w:sz w:val="20"/>
                <w:szCs w:val="20"/>
              </w:rPr>
            </w:pPr>
            <w:r w:rsidRPr="005B494D">
              <w:rPr>
                <w:sz w:val="20"/>
                <w:szCs w:val="20"/>
              </w:rPr>
              <w:t>143,773 (31.0%)</w:t>
            </w:r>
          </w:p>
        </w:tc>
        <w:tc>
          <w:tcPr>
            <w:tcW w:w="861" w:type="dxa"/>
            <w:tcBorders>
              <w:top w:val="single" w:sz="0" w:space="0" w:color="D3D3D3"/>
              <w:left w:val="single" w:sz="0" w:space="0" w:color="D3D3D3"/>
              <w:bottom w:val="single" w:sz="0" w:space="0" w:color="D3D3D3"/>
              <w:right w:val="single" w:sz="0" w:space="0" w:color="D3D3D3"/>
            </w:tcBorders>
          </w:tcPr>
          <w:p w14:paraId="0FB4DC2F" w14:textId="77777777" w:rsidR="00695857" w:rsidRPr="005B494D" w:rsidRDefault="00695857" w:rsidP="00695857">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286FA8C1" w14:textId="77777777" w:rsidR="00695857" w:rsidRPr="005B494D" w:rsidRDefault="00695857" w:rsidP="00695857">
            <w:pPr>
              <w:keepNext/>
              <w:spacing w:after="60"/>
              <w:jc w:val="center"/>
              <w:rPr>
                <w:sz w:val="20"/>
              </w:rPr>
            </w:pPr>
          </w:p>
        </w:tc>
      </w:tr>
      <w:tr w:rsidR="005B494D" w:rsidRPr="005B494D" w14:paraId="297B73F4"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3004A135" w14:textId="479844F3" w:rsidR="00695857" w:rsidRPr="005B494D" w:rsidRDefault="00695857" w:rsidP="00695857">
            <w:pPr>
              <w:keepNext/>
              <w:spacing w:after="60"/>
              <w:rPr>
                <w:sz w:val="20"/>
                <w:szCs w:val="20"/>
              </w:rPr>
            </w:pPr>
            <w:r w:rsidRPr="005B494D">
              <w:rPr>
                <w:sz w:val="20"/>
                <w:szCs w:val="20"/>
              </w:rPr>
              <w:t>    4.1-6 servings/d</w:t>
            </w:r>
          </w:p>
        </w:tc>
        <w:tc>
          <w:tcPr>
            <w:tcW w:w="1486" w:type="dxa"/>
            <w:tcBorders>
              <w:top w:val="single" w:sz="0" w:space="0" w:color="D3D3D3"/>
              <w:left w:val="single" w:sz="0" w:space="0" w:color="D3D3D3"/>
              <w:bottom w:val="single" w:sz="0" w:space="0" w:color="D3D3D3"/>
              <w:right w:val="single" w:sz="0" w:space="0" w:color="D3D3D3"/>
            </w:tcBorders>
            <w:vAlign w:val="center"/>
          </w:tcPr>
          <w:p w14:paraId="3CA9337D" w14:textId="3759BF2B" w:rsidR="00695857" w:rsidRPr="005B494D" w:rsidRDefault="00695857" w:rsidP="00695857">
            <w:pPr>
              <w:keepNext/>
              <w:spacing w:after="60"/>
              <w:jc w:val="center"/>
              <w:rPr>
                <w:sz w:val="20"/>
                <w:szCs w:val="20"/>
              </w:rPr>
            </w:pPr>
            <w:r w:rsidRPr="005B494D">
              <w:rPr>
                <w:sz w:val="20"/>
                <w:szCs w:val="20"/>
              </w:rPr>
              <w:t>150,644 (30.5%)</w:t>
            </w:r>
          </w:p>
        </w:tc>
        <w:tc>
          <w:tcPr>
            <w:tcW w:w="1844" w:type="dxa"/>
            <w:tcBorders>
              <w:top w:val="single" w:sz="0" w:space="0" w:color="D3D3D3"/>
              <w:left w:val="single" w:sz="0" w:space="0" w:color="D3D3D3"/>
              <w:bottom w:val="single" w:sz="0" w:space="0" w:color="D3D3D3"/>
              <w:right w:val="single" w:sz="0" w:space="0" w:color="D3D3D3"/>
            </w:tcBorders>
            <w:vAlign w:val="center"/>
          </w:tcPr>
          <w:p w14:paraId="422915F5" w14:textId="4B41A666" w:rsidR="00695857" w:rsidRPr="005B494D" w:rsidRDefault="00695857" w:rsidP="00695857">
            <w:pPr>
              <w:keepNext/>
              <w:spacing w:after="60"/>
              <w:jc w:val="center"/>
              <w:rPr>
                <w:sz w:val="20"/>
                <w:szCs w:val="20"/>
              </w:rPr>
            </w:pPr>
            <w:r w:rsidRPr="005B494D">
              <w:rPr>
                <w:sz w:val="20"/>
                <w:szCs w:val="20"/>
              </w:rPr>
              <w:t>7,482 (24.7%)</w:t>
            </w:r>
          </w:p>
        </w:tc>
        <w:tc>
          <w:tcPr>
            <w:tcW w:w="1844" w:type="dxa"/>
            <w:tcBorders>
              <w:top w:val="single" w:sz="0" w:space="0" w:color="D3D3D3"/>
              <w:left w:val="single" w:sz="0" w:space="0" w:color="D3D3D3"/>
              <w:bottom w:val="single" w:sz="0" w:space="0" w:color="D3D3D3"/>
              <w:right w:val="single" w:sz="0" w:space="0" w:color="D3D3D3"/>
            </w:tcBorders>
            <w:vAlign w:val="center"/>
          </w:tcPr>
          <w:p w14:paraId="3D3C1FC9" w14:textId="09AAEDE1" w:rsidR="00695857" w:rsidRPr="005B494D" w:rsidRDefault="00695857" w:rsidP="00695857">
            <w:pPr>
              <w:keepNext/>
              <w:spacing w:after="60"/>
              <w:jc w:val="center"/>
              <w:rPr>
                <w:sz w:val="20"/>
                <w:szCs w:val="20"/>
              </w:rPr>
            </w:pPr>
            <w:r w:rsidRPr="005B494D">
              <w:rPr>
                <w:sz w:val="20"/>
                <w:szCs w:val="20"/>
              </w:rPr>
              <w:t>143,162 (30.9%)</w:t>
            </w:r>
          </w:p>
        </w:tc>
        <w:tc>
          <w:tcPr>
            <w:tcW w:w="861" w:type="dxa"/>
            <w:tcBorders>
              <w:top w:val="single" w:sz="0" w:space="0" w:color="D3D3D3"/>
              <w:left w:val="single" w:sz="0" w:space="0" w:color="D3D3D3"/>
              <w:bottom w:val="single" w:sz="0" w:space="0" w:color="D3D3D3"/>
              <w:right w:val="single" w:sz="0" w:space="0" w:color="D3D3D3"/>
            </w:tcBorders>
          </w:tcPr>
          <w:p w14:paraId="469C3C4F" w14:textId="77777777" w:rsidR="00695857" w:rsidRPr="005B494D" w:rsidRDefault="00695857" w:rsidP="00695857">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72C277D1" w14:textId="77777777" w:rsidR="00695857" w:rsidRPr="005B494D" w:rsidRDefault="00695857" w:rsidP="00695857">
            <w:pPr>
              <w:keepNext/>
              <w:spacing w:after="60"/>
              <w:jc w:val="center"/>
              <w:rPr>
                <w:sz w:val="20"/>
              </w:rPr>
            </w:pPr>
          </w:p>
        </w:tc>
      </w:tr>
      <w:tr w:rsidR="005B494D" w:rsidRPr="005B494D" w14:paraId="7F99B436"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658BE56A" w14:textId="28380F6D" w:rsidR="00695857" w:rsidRPr="005B494D" w:rsidRDefault="00695857" w:rsidP="00695857">
            <w:pPr>
              <w:keepNext/>
              <w:spacing w:after="60"/>
              <w:rPr>
                <w:sz w:val="20"/>
                <w:szCs w:val="20"/>
              </w:rPr>
            </w:pPr>
            <w:r w:rsidRPr="005B494D">
              <w:rPr>
                <w:sz w:val="20"/>
                <w:szCs w:val="20"/>
              </w:rPr>
              <w:t>    More than 6 servings/d</w:t>
            </w:r>
          </w:p>
        </w:tc>
        <w:tc>
          <w:tcPr>
            <w:tcW w:w="1486" w:type="dxa"/>
            <w:tcBorders>
              <w:top w:val="single" w:sz="0" w:space="0" w:color="D3D3D3"/>
              <w:left w:val="single" w:sz="0" w:space="0" w:color="D3D3D3"/>
              <w:bottom w:val="single" w:sz="0" w:space="0" w:color="D3D3D3"/>
              <w:right w:val="single" w:sz="0" w:space="0" w:color="D3D3D3"/>
            </w:tcBorders>
            <w:vAlign w:val="center"/>
          </w:tcPr>
          <w:p w14:paraId="42ED0C4B" w14:textId="04E54BC1" w:rsidR="00695857" w:rsidRPr="005B494D" w:rsidRDefault="00695857" w:rsidP="00695857">
            <w:pPr>
              <w:keepNext/>
              <w:spacing w:after="60"/>
              <w:jc w:val="center"/>
              <w:rPr>
                <w:sz w:val="20"/>
                <w:szCs w:val="20"/>
              </w:rPr>
            </w:pPr>
            <w:r w:rsidRPr="005B494D">
              <w:rPr>
                <w:sz w:val="20"/>
                <w:szCs w:val="20"/>
              </w:rPr>
              <w:t>128,399 (26.0%)</w:t>
            </w:r>
          </w:p>
        </w:tc>
        <w:tc>
          <w:tcPr>
            <w:tcW w:w="1844" w:type="dxa"/>
            <w:tcBorders>
              <w:top w:val="single" w:sz="0" w:space="0" w:color="D3D3D3"/>
              <w:left w:val="single" w:sz="0" w:space="0" w:color="D3D3D3"/>
              <w:bottom w:val="single" w:sz="0" w:space="0" w:color="D3D3D3"/>
              <w:right w:val="single" w:sz="0" w:space="0" w:color="D3D3D3"/>
            </w:tcBorders>
            <w:vAlign w:val="center"/>
          </w:tcPr>
          <w:p w14:paraId="1AFD770F" w14:textId="0AEE62F6" w:rsidR="00695857" w:rsidRPr="005B494D" w:rsidRDefault="00695857" w:rsidP="00695857">
            <w:pPr>
              <w:keepNext/>
              <w:spacing w:after="60"/>
              <w:jc w:val="center"/>
              <w:rPr>
                <w:sz w:val="20"/>
                <w:szCs w:val="20"/>
              </w:rPr>
            </w:pPr>
            <w:r w:rsidRPr="005B494D">
              <w:rPr>
                <w:sz w:val="20"/>
                <w:szCs w:val="20"/>
              </w:rPr>
              <w:t>6,874 (22.7%)</w:t>
            </w:r>
          </w:p>
        </w:tc>
        <w:tc>
          <w:tcPr>
            <w:tcW w:w="1844" w:type="dxa"/>
            <w:tcBorders>
              <w:top w:val="single" w:sz="0" w:space="0" w:color="D3D3D3"/>
              <w:left w:val="single" w:sz="0" w:space="0" w:color="D3D3D3"/>
              <w:bottom w:val="single" w:sz="0" w:space="0" w:color="D3D3D3"/>
              <w:right w:val="single" w:sz="0" w:space="0" w:color="D3D3D3"/>
            </w:tcBorders>
            <w:vAlign w:val="center"/>
          </w:tcPr>
          <w:p w14:paraId="08CD3DD0" w14:textId="78B95264" w:rsidR="00695857" w:rsidRPr="005B494D" w:rsidRDefault="00695857" w:rsidP="00695857">
            <w:pPr>
              <w:keepNext/>
              <w:spacing w:after="60"/>
              <w:jc w:val="center"/>
              <w:rPr>
                <w:sz w:val="20"/>
                <w:szCs w:val="20"/>
              </w:rPr>
            </w:pPr>
            <w:r w:rsidRPr="005B494D">
              <w:rPr>
                <w:sz w:val="20"/>
                <w:szCs w:val="20"/>
              </w:rPr>
              <w:t>121,525 (26.2%)</w:t>
            </w:r>
          </w:p>
        </w:tc>
        <w:tc>
          <w:tcPr>
            <w:tcW w:w="861" w:type="dxa"/>
            <w:tcBorders>
              <w:top w:val="single" w:sz="0" w:space="0" w:color="D3D3D3"/>
              <w:left w:val="single" w:sz="0" w:space="0" w:color="D3D3D3"/>
              <w:bottom w:val="single" w:sz="0" w:space="0" w:color="D3D3D3"/>
              <w:right w:val="single" w:sz="0" w:space="0" w:color="D3D3D3"/>
            </w:tcBorders>
          </w:tcPr>
          <w:p w14:paraId="44C9135A" w14:textId="77777777" w:rsidR="00695857" w:rsidRPr="005B494D" w:rsidRDefault="00695857" w:rsidP="00695857">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70F845C6" w14:textId="77777777" w:rsidR="00695857" w:rsidRPr="005B494D" w:rsidRDefault="00695857" w:rsidP="00695857">
            <w:pPr>
              <w:keepNext/>
              <w:spacing w:after="60"/>
              <w:jc w:val="center"/>
              <w:rPr>
                <w:sz w:val="20"/>
              </w:rPr>
            </w:pPr>
          </w:p>
        </w:tc>
      </w:tr>
      <w:tr w:rsidR="005B494D" w:rsidRPr="005B494D" w14:paraId="0124B0C6"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vAlign w:val="center"/>
          </w:tcPr>
          <w:p w14:paraId="2A071054" w14:textId="6FF3E970" w:rsidR="00695857" w:rsidRPr="005B494D" w:rsidRDefault="00695857" w:rsidP="00695857">
            <w:pPr>
              <w:keepNext/>
              <w:spacing w:after="60"/>
              <w:rPr>
                <w:sz w:val="20"/>
                <w:szCs w:val="20"/>
              </w:rPr>
            </w:pPr>
            <w:r w:rsidRPr="005B494D">
              <w:rPr>
                <w:sz w:val="20"/>
                <w:szCs w:val="20"/>
              </w:rPr>
              <w:t>    Missing</w:t>
            </w:r>
          </w:p>
        </w:tc>
        <w:tc>
          <w:tcPr>
            <w:tcW w:w="1486" w:type="dxa"/>
            <w:tcBorders>
              <w:top w:val="single" w:sz="0" w:space="0" w:color="D3D3D3"/>
              <w:left w:val="single" w:sz="0" w:space="0" w:color="D3D3D3"/>
              <w:bottom w:val="single" w:sz="0" w:space="0" w:color="D3D3D3"/>
              <w:right w:val="single" w:sz="0" w:space="0" w:color="D3D3D3"/>
            </w:tcBorders>
            <w:vAlign w:val="center"/>
          </w:tcPr>
          <w:p w14:paraId="6C0A34E3" w14:textId="39FE72A7" w:rsidR="00695857" w:rsidRPr="005B494D" w:rsidRDefault="00695857" w:rsidP="00695857">
            <w:pPr>
              <w:keepNext/>
              <w:spacing w:after="60"/>
              <w:jc w:val="center"/>
              <w:rPr>
                <w:sz w:val="20"/>
                <w:szCs w:val="20"/>
              </w:rPr>
            </w:pPr>
            <w:r w:rsidRPr="005B494D">
              <w:rPr>
                <w:sz w:val="20"/>
                <w:szCs w:val="20"/>
              </w:rPr>
              <w:t>12,234 (2.5%)</w:t>
            </w:r>
          </w:p>
        </w:tc>
        <w:tc>
          <w:tcPr>
            <w:tcW w:w="1844" w:type="dxa"/>
            <w:tcBorders>
              <w:top w:val="single" w:sz="0" w:space="0" w:color="D3D3D3"/>
              <w:left w:val="single" w:sz="0" w:space="0" w:color="D3D3D3"/>
              <w:bottom w:val="single" w:sz="0" w:space="0" w:color="D3D3D3"/>
              <w:right w:val="single" w:sz="0" w:space="0" w:color="D3D3D3"/>
            </w:tcBorders>
            <w:vAlign w:val="center"/>
          </w:tcPr>
          <w:p w14:paraId="5E9BE884" w14:textId="07C8E104" w:rsidR="00695857" w:rsidRPr="005B494D" w:rsidRDefault="00695857" w:rsidP="00695857">
            <w:pPr>
              <w:keepNext/>
              <w:spacing w:after="60"/>
              <w:jc w:val="center"/>
              <w:rPr>
                <w:sz w:val="20"/>
                <w:szCs w:val="20"/>
              </w:rPr>
            </w:pPr>
            <w:r w:rsidRPr="005B494D">
              <w:rPr>
                <w:sz w:val="20"/>
                <w:szCs w:val="20"/>
              </w:rPr>
              <w:t>964 (3.2%)</w:t>
            </w:r>
          </w:p>
        </w:tc>
        <w:tc>
          <w:tcPr>
            <w:tcW w:w="1844" w:type="dxa"/>
            <w:tcBorders>
              <w:top w:val="single" w:sz="0" w:space="0" w:color="D3D3D3"/>
              <w:left w:val="single" w:sz="0" w:space="0" w:color="D3D3D3"/>
              <w:bottom w:val="single" w:sz="0" w:space="0" w:color="D3D3D3"/>
              <w:right w:val="single" w:sz="0" w:space="0" w:color="D3D3D3"/>
            </w:tcBorders>
            <w:vAlign w:val="center"/>
          </w:tcPr>
          <w:p w14:paraId="1E33FA21" w14:textId="661811A2" w:rsidR="00695857" w:rsidRPr="005B494D" w:rsidRDefault="00695857" w:rsidP="00695857">
            <w:pPr>
              <w:keepNext/>
              <w:spacing w:after="60"/>
              <w:jc w:val="center"/>
              <w:rPr>
                <w:sz w:val="20"/>
                <w:szCs w:val="20"/>
              </w:rPr>
            </w:pPr>
            <w:r w:rsidRPr="005B494D">
              <w:rPr>
                <w:sz w:val="20"/>
                <w:szCs w:val="20"/>
              </w:rPr>
              <w:t>11,270 (2.4%)</w:t>
            </w:r>
          </w:p>
        </w:tc>
        <w:tc>
          <w:tcPr>
            <w:tcW w:w="861" w:type="dxa"/>
            <w:tcBorders>
              <w:top w:val="single" w:sz="0" w:space="0" w:color="D3D3D3"/>
              <w:left w:val="single" w:sz="0" w:space="0" w:color="D3D3D3"/>
              <w:bottom w:val="single" w:sz="0" w:space="0" w:color="D3D3D3"/>
              <w:right w:val="single" w:sz="0" w:space="0" w:color="D3D3D3"/>
            </w:tcBorders>
          </w:tcPr>
          <w:p w14:paraId="4B0F8639" w14:textId="77777777" w:rsidR="00695857" w:rsidRPr="005B494D" w:rsidRDefault="00695857" w:rsidP="00695857">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2D9D286D" w14:textId="77777777" w:rsidR="00695857" w:rsidRPr="005B494D" w:rsidRDefault="00695857" w:rsidP="00695857">
            <w:pPr>
              <w:keepNext/>
              <w:spacing w:after="60"/>
              <w:jc w:val="center"/>
              <w:rPr>
                <w:sz w:val="20"/>
              </w:rPr>
            </w:pPr>
          </w:p>
        </w:tc>
      </w:tr>
      <w:tr w:rsidR="005B494D" w:rsidRPr="005B494D" w14:paraId="0717864E"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30C44F1B" w14:textId="77777777" w:rsidR="003741CE" w:rsidRPr="005B494D" w:rsidRDefault="003741CE" w:rsidP="003741CE">
            <w:pPr>
              <w:keepNext/>
              <w:spacing w:after="60"/>
            </w:pPr>
            <w:proofErr w:type="spellStart"/>
            <w:r w:rsidRPr="005B494D">
              <w:rPr>
                <w:b/>
                <w:sz w:val="20"/>
              </w:rPr>
              <w:t>Phy</w:t>
            </w:r>
            <w:r w:rsidRPr="005B494D">
              <w:rPr>
                <w:b/>
                <w:sz w:val="20"/>
                <w:lang w:val="de-AT"/>
              </w:rPr>
              <w:t>sical</w:t>
            </w:r>
            <w:proofErr w:type="spellEnd"/>
            <w:r w:rsidRPr="005B494D">
              <w:rPr>
                <w:b/>
                <w:sz w:val="20"/>
                <w:lang w:val="de-AT"/>
              </w:rPr>
              <w:t xml:space="preserve"> </w:t>
            </w:r>
            <w:r w:rsidRPr="005B494D">
              <w:rPr>
                <w:b/>
                <w:sz w:val="20"/>
              </w:rPr>
              <w:t>activity</w:t>
            </w:r>
            <w:r w:rsidRPr="005B494D">
              <w:rPr>
                <w:b/>
                <w:sz w:val="20"/>
                <w:lang w:val="de-AT"/>
              </w:rPr>
              <w:t xml:space="preserve"> </w:t>
            </w:r>
            <w:proofErr w:type="spellStart"/>
            <w:r w:rsidRPr="005B494D">
              <w:rPr>
                <w:b/>
                <w:sz w:val="20"/>
                <w:lang w:val="de-AT"/>
              </w:rPr>
              <w:t>level</w:t>
            </w:r>
            <w:proofErr w:type="spellEnd"/>
          </w:p>
        </w:tc>
        <w:tc>
          <w:tcPr>
            <w:tcW w:w="1486" w:type="dxa"/>
            <w:tcBorders>
              <w:top w:val="single" w:sz="0" w:space="0" w:color="D3D3D3"/>
              <w:left w:val="single" w:sz="0" w:space="0" w:color="D3D3D3"/>
              <w:bottom w:val="single" w:sz="0" w:space="0" w:color="D3D3D3"/>
              <w:right w:val="single" w:sz="0" w:space="0" w:color="D3D3D3"/>
            </w:tcBorders>
          </w:tcPr>
          <w:p w14:paraId="761B9101"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1A96B72C"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22FDC45D" w14:textId="77777777" w:rsidR="003741CE" w:rsidRPr="005B494D" w:rsidRDefault="003741CE" w:rsidP="003741CE">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7C62F228" w14:textId="77777777" w:rsidR="003741CE" w:rsidRPr="005B494D" w:rsidRDefault="003741CE" w:rsidP="003741CE">
            <w:pPr>
              <w:keepNext/>
              <w:spacing w:after="60"/>
              <w:jc w:val="cente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7AF0E895" w14:textId="77777777" w:rsidR="003741CE" w:rsidRPr="005B494D" w:rsidRDefault="003741CE" w:rsidP="003741CE">
            <w:pPr>
              <w:keepNext/>
              <w:spacing w:after="60"/>
              <w:jc w:val="center"/>
              <w:rPr>
                <w:sz w:val="20"/>
              </w:rPr>
            </w:pPr>
            <w:r w:rsidRPr="005B494D">
              <w:rPr>
                <w:sz w:val="20"/>
              </w:rPr>
              <w:t>0.07</w:t>
            </w:r>
          </w:p>
        </w:tc>
      </w:tr>
      <w:tr w:rsidR="005B494D" w:rsidRPr="005B494D" w14:paraId="4A047429"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2C8820A6" w14:textId="77777777" w:rsidR="003741CE" w:rsidRPr="005B494D" w:rsidRDefault="003741CE" w:rsidP="003741CE">
            <w:pPr>
              <w:keepNext/>
              <w:spacing w:after="60"/>
            </w:pPr>
            <w:r w:rsidRPr="005B494D">
              <w:rPr>
                <w:sz w:val="20"/>
              </w:rPr>
              <w:t>    Low</w:t>
            </w:r>
          </w:p>
        </w:tc>
        <w:tc>
          <w:tcPr>
            <w:tcW w:w="1486" w:type="dxa"/>
            <w:tcBorders>
              <w:top w:val="single" w:sz="0" w:space="0" w:color="D3D3D3"/>
              <w:left w:val="single" w:sz="0" w:space="0" w:color="D3D3D3"/>
              <w:bottom w:val="single" w:sz="0" w:space="0" w:color="D3D3D3"/>
              <w:right w:val="single" w:sz="0" w:space="0" w:color="D3D3D3"/>
            </w:tcBorders>
          </w:tcPr>
          <w:p w14:paraId="7D5950A0" w14:textId="77777777" w:rsidR="003741CE" w:rsidRPr="005B494D" w:rsidRDefault="003741CE" w:rsidP="003741CE">
            <w:pPr>
              <w:keepNext/>
              <w:spacing w:after="60"/>
              <w:jc w:val="center"/>
            </w:pPr>
            <w:r w:rsidRPr="005B494D">
              <w:rPr>
                <w:sz w:val="20"/>
              </w:rPr>
              <w:t>70,859 (14.4%)</w:t>
            </w:r>
          </w:p>
        </w:tc>
        <w:tc>
          <w:tcPr>
            <w:tcW w:w="1844" w:type="dxa"/>
            <w:tcBorders>
              <w:top w:val="single" w:sz="0" w:space="0" w:color="D3D3D3"/>
              <w:left w:val="single" w:sz="0" w:space="0" w:color="D3D3D3"/>
              <w:bottom w:val="single" w:sz="0" w:space="0" w:color="D3D3D3"/>
              <w:right w:val="single" w:sz="0" w:space="0" w:color="D3D3D3"/>
            </w:tcBorders>
          </w:tcPr>
          <w:p w14:paraId="6676FF89" w14:textId="77777777" w:rsidR="003741CE" w:rsidRPr="005B494D" w:rsidRDefault="003741CE" w:rsidP="003741CE">
            <w:pPr>
              <w:keepNext/>
              <w:spacing w:after="60"/>
              <w:jc w:val="center"/>
            </w:pPr>
            <w:r w:rsidRPr="005B494D">
              <w:rPr>
                <w:sz w:val="20"/>
              </w:rPr>
              <w:t>4,822 (15.9%)</w:t>
            </w:r>
          </w:p>
        </w:tc>
        <w:tc>
          <w:tcPr>
            <w:tcW w:w="1844" w:type="dxa"/>
            <w:tcBorders>
              <w:top w:val="single" w:sz="0" w:space="0" w:color="D3D3D3"/>
              <w:left w:val="single" w:sz="0" w:space="0" w:color="D3D3D3"/>
              <w:bottom w:val="single" w:sz="0" w:space="0" w:color="D3D3D3"/>
              <w:right w:val="single" w:sz="0" w:space="0" w:color="D3D3D3"/>
            </w:tcBorders>
          </w:tcPr>
          <w:p w14:paraId="7E361CE2" w14:textId="77777777" w:rsidR="003741CE" w:rsidRPr="005B494D" w:rsidRDefault="003741CE" w:rsidP="003741CE">
            <w:pPr>
              <w:keepNext/>
              <w:spacing w:after="60"/>
              <w:jc w:val="center"/>
            </w:pPr>
            <w:r w:rsidRPr="005B494D">
              <w:rPr>
                <w:sz w:val="20"/>
              </w:rPr>
              <w:t>66,037 (14.3%)</w:t>
            </w:r>
          </w:p>
        </w:tc>
        <w:tc>
          <w:tcPr>
            <w:tcW w:w="861" w:type="dxa"/>
            <w:tcBorders>
              <w:top w:val="single" w:sz="0" w:space="0" w:color="D3D3D3"/>
              <w:left w:val="single" w:sz="0" w:space="0" w:color="D3D3D3"/>
              <w:bottom w:val="single" w:sz="0" w:space="0" w:color="D3D3D3"/>
              <w:right w:val="single" w:sz="0" w:space="0" w:color="D3D3D3"/>
            </w:tcBorders>
          </w:tcPr>
          <w:p w14:paraId="7CFEFC70"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5D275C15" w14:textId="77777777" w:rsidR="003741CE" w:rsidRPr="005B494D" w:rsidRDefault="003741CE" w:rsidP="003741CE">
            <w:pPr>
              <w:keepNext/>
              <w:spacing w:after="60"/>
              <w:jc w:val="center"/>
              <w:rPr>
                <w:sz w:val="20"/>
              </w:rPr>
            </w:pPr>
          </w:p>
        </w:tc>
      </w:tr>
      <w:tr w:rsidR="005B494D" w:rsidRPr="005B494D" w14:paraId="2ED7CB5F"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27E91D44" w14:textId="77777777" w:rsidR="003741CE" w:rsidRPr="005B494D" w:rsidRDefault="003741CE" w:rsidP="003741CE">
            <w:pPr>
              <w:keepNext/>
              <w:spacing w:after="60"/>
            </w:pPr>
            <w:r w:rsidRPr="005B494D">
              <w:rPr>
                <w:sz w:val="20"/>
              </w:rPr>
              <w:t>    Moderate</w:t>
            </w:r>
          </w:p>
        </w:tc>
        <w:tc>
          <w:tcPr>
            <w:tcW w:w="1486" w:type="dxa"/>
            <w:tcBorders>
              <w:top w:val="single" w:sz="0" w:space="0" w:color="D3D3D3"/>
              <w:left w:val="single" w:sz="0" w:space="0" w:color="D3D3D3"/>
              <w:bottom w:val="single" w:sz="0" w:space="0" w:color="D3D3D3"/>
              <w:right w:val="single" w:sz="0" w:space="0" w:color="D3D3D3"/>
            </w:tcBorders>
          </w:tcPr>
          <w:p w14:paraId="35148169" w14:textId="5D3ED4F6" w:rsidR="003741CE" w:rsidRPr="005B494D" w:rsidRDefault="003741CE" w:rsidP="003741CE">
            <w:pPr>
              <w:keepNext/>
              <w:spacing w:after="60"/>
              <w:jc w:val="center"/>
            </w:pPr>
            <w:r w:rsidRPr="005B494D">
              <w:rPr>
                <w:sz w:val="20"/>
              </w:rPr>
              <w:t>155,39</w:t>
            </w:r>
            <w:r w:rsidR="00A50BD8" w:rsidRPr="005B494D">
              <w:rPr>
                <w:sz w:val="20"/>
              </w:rPr>
              <w:t>2</w:t>
            </w:r>
            <w:r w:rsidRPr="005B494D">
              <w:rPr>
                <w:sz w:val="20"/>
              </w:rPr>
              <w:t xml:space="preserve"> (31.5%)</w:t>
            </w:r>
          </w:p>
        </w:tc>
        <w:tc>
          <w:tcPr>
            <w:tcW w:w="1844" w:type="dxa"/>
            <w:tcBorders>
              <w:top w:val="single" w:sz="0" w:space="0" w:color="D3D3D3"/>
              <w:left w:val="single" w:sz="0" w:space="0" w:color="D3D3D3"/>
              <w:bottom w:val="single" w:sz="0" w:space="0" w:color="D3D3D3"/>
              <w:right w:val="single" w:sz="0" w:space="0" w:color="D3D3D3"/>
            </w:tcBorders>
          </w:tcPr>
          <w:p w14:paraId="6EB56C76" w14:textId="77777777" w:rsidR="003741CE" w:rsidRPr="005B494D" w:rsidRDefault="003741CE" w:rsidP="003741CE">
            <w:pPr>
              <w:keepNext/>
              <w:spacing w:after="60"/>
              <w:jc w:val="center"/>
            </w:pPr>
            <w:r w:rsidRPr="005B494D">
              <w:rPr>
                <w:sz w:val="20"/>
              </w:rPr>
              <w:t>8,815 (29.1%)</w:t>
            </w:r>
          </w:p>
        </w:tc>
        <w:tc>
          <w:tcPr>
            <w:tcW w:w="1844" w:type="dxa"/>
            <w:tcBorders>
              <w:top w:val="single" w:sz="0" w:space="0" w:color="D3D3D3"/>
              <w:left w:val="single" w:sz="0" w:space="0" w:color="D3D3D3"/>
              <w:bottom w:val="single" w:sz="0" w:space="0" w:color="D3D3D3"/>
              <w:right w:val="single" w:sz="0" w:space="0" w:color="D3D3D3"/>
            </w:tcBorders>
          </w:tcPr>
          <w:p w14:paraId="410EEA78" w14:textId="5DF556A1" w:rsidR="003741CE" w:rsidRPr="005B494D" w:rsidRDefault="003741CE" w:rsidP="003741CE">
            <w:pPr>
              <w:keepNext/>
              <w:spacing w:after="60"/>
              <w:jc w:val="center"/>
            </w:pPr>
            <w:r w:rsidRPr="005B494D">
              <w:rPr>
                <w:sz w:val="20"/>
              </w:rPr>
              <w:t>146,57</w:t>
            </w:r>
            <w:r w:rsidR="00A50BD8" w:rsidRPr="005B494D">
              <w:rPr>
                <w:sz w:val="20"/>
              </w:rPr>
              <w:t>7</w:t>
            </w:r>
            <w:r w:rsidRPr="005B494D">
              <w:rPr>
                <w:sz w:val="20"/>
              </w:rPr>
              <w:t xml:space="preserve"> (31.6%)</w:t>
            </w:r>
          </w:p>
        </w:tc>
        <w:tc>
          <w:tcPr>
            <w:tcW w:w="861" w:type="dxa"/>
            <w:tcBorders>
              <w:top w:val="single" w:sz="0" w:space="0" w:color="D3D3D3"/>
              <w:left w:val="single" w:sz="0" w:space="0" w:color="D3D3D3"/>
              <w:bottom w:val="single" w:sz="0" w:space="0" w:color="D3D3D3"/>
              <w:right w:val="single" w:sz="0" w:space="0" w:color="D3D3D3"/>
            </w:tcBorders>
          </w:tcPr>
          <w:p w14:paraId="7445E451"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3854F8C1" w14:textId="77777777" w:rsidR="003741CE" w:rsidRPr="005B494D" w:rsidRDefault="003741CE" w:rsidP="003741CE">
            <w:pPr>
              <w:keepNext/>
              <w:spacing w:after="60"/>
              <w:jc w:val="center"/>
              <w:rPr>
                <w:sz w:val="20"/>
              </w:rPr>
            </w:pPr>
          </w:p>
        </w:tc>
      </w:tr>
      <w:tr w:rsidR="005B494D" w:rsidRPr="005B494D" w14:paraId="25F42992"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27A1CB63" w14:textId="77777777" w:rsidR="003741CE" w:rsidRPr="005B494D" w:rsidRDefault="003741CE" w:rsidP="003741CE">
            <w:pPr>
              <w:keepNext/>
              <w:spacing w:after="60"/>
            </w:pPr>
            <w:r w:rsidRPr="005B494D">
              <w:rPr>
                <w:sz w:val="20"/>
              </w:rPr>
              <w:t>    High</w:t>
            </w:r>
          </w:p>
        </w:tc>
        <w:tc>
          <w:tcPr>
            <w:tcW w:w="1486" w:type="dxa"/>
            <w:tcBorders>
              <w:top w:val="single" w:sz="0" w:space="0" w:color="D3D3D3"/>
              <w:left w:val="single" w:sz="0" w:space="0" w:color="D3D3D3"/>
              <w:bottom w:val="single" w:sz="0" w:space="0" w:color="D3D3D3"/>
              <w:right w:val="single" w:sz="0" w:space="0" w:color="D3D3D3"/>
            </w:tcBorders>
          </w:tcPr>
          <w:p w14:paraId="05046092" w14:textId="3645743A" w:rsidR="003741CE" w:rsidRPr="005B494D" w:rsidRDefault="003741CE" w:rsidP="003741CE">
            <w:pPr>
              <w:keepNext/>
              <w:spacing w:after="60"/>
              <w:jc w:val="center"/>
            </w:pPr>
            <w:r w:rsidRPr="005B494D">
              <w:rPr>
                <w:sz w:val="20"/>
              </w:rPr>
              <w:t>155,8</w:t>
            </w:r>
            <w:r w:rsidR="00A50BD8" w:rsidRPr="005B494D">
              <w:rPr>
                <w:sz w:val="20"/>
              </w:rPr>
              <w:t>58</w:t>
            </w:r>
            <w:r w:rsidRPr="005B494D">
              <w:rPr>
                <w:sz w:val="20"/>
              </w:rPr>
              <w:t xml:space="preserve"> (31.6%)</w:t>
            </w:r>
          </w:p>
        </w:tc>
        <w:tc>
          <w:tcPr>
            <w:tcW w:w="1844" w:type="dxa"/>
            <w:tcBorders>
              <w:top w:val="single" w:sz="0" w:space="0" w:color="D3D3D3"/>
              <w:left w:val="single" w:sz="0" w:space="0" w:color="D3D3D3"/>
              <w:bottom w:val="single" w:sz="0" w:space="0" w:color="D3D3D3"/>
              <w:right w:val="single" w:sz="0" w:space="0" w:color="D3D3D3"/>
            </w:tcBorders>
          </w:tcPr>
          <w:p w14:paraId="13F97F15" w14:textId="77777777" w:rsidR="003741CE" w:rsidRPr="005B494D" w:rsidRDefault="003741CE" w:rsidP="003741CE">
            <w:pPr>
              <w:keepNext/>
              <w:spacing w:after="60"/>
              <w:jc w:val="center"/>
            </w:pPr>
            <w:r w:rsidRPr="005B494D">
              <w:rPr>
                <w:sz w:val="20"/>
              </w:rPr>
              <w:t>9,512 (31.4%)</w:t>
            </w:r>
          </w:p>
        </w:tc>
        <w:tc>
          <w:tcPr>
            <w:tcW w:w="1844" w:type="dxa"/>
            <w:tcBorders>
              <w:top w:val="single" w:sz="0" w:space="0" w:color="D3D3D3"/>
              <w:left w:val="single" w:sz="0" w:space="0" w:color="D3D3D3"/>
              <w:bottom w:val="single" w:sz="0" w:space="0" w:color="D3D3D3"/>
              <w:right w:val="single" w:sz="0" w:space="0" w:color="D3D3D3"/>
            </w:tcBorders>
          </w:tcPr>
          <w:p w14:paraId="658D0B63" w14:textId="0660AD92" w:rsidR="003741CE" w:rsidRPr="005B494D" w:rsidRDefault="003741CE" w:rsidP="003741CE">
            <w:pPr>
              <w:keepNext/>
              <w:spacing w:after="60"/>
              <w:jc w:val="center"/>
            </w:pPr>
            <w:r w:rsidRPr="005B494D">
              <w:rPr>
                <w:sz w:val="20"/>
              </w:rPr>
              <w:t>146,34</w:t>
            </w:r>
            <w:r w:rsidR="00A50BD8" w:rsidRPr="005B494D">
              <w:rPr>
                <w:sz w:val="20"/>
              </w:rPr>
              <w:t>6</w:t>
            </w:r>
            <w:r w:rsidRPr="005B494D">
              <w:rPr>
                <w:sz w:val="20"/>
              </w:rPr>
              <w:t xml:space="preserve"> (31.6%)</w:t>
            </w:r>
          </w:p>
        </w:tc>
        <w:tc>
          <w:tcPr>
            <w:tcW w:w="861" w:type="dxa"/>
            <w:tcBorders>
              <w:top w:val="single" w:sz="0" w:space="0" w:color="D3D3D3"/>
              <w:left w:val="single" w:sz="0" w:space="0" w:color="D3D3D3"/>
              <w:bottom w:val="single" w:sz="0" w:space="0" w:color="D3D3D3"/>
              <w:right w:val="single" w:sz="0" w:space="0" w:color="D3D3D3"/>
            </w:tcBorders>
          </w:tcPr>
          <w:p w14:paraId="6EFACF18"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26E7CEC5" w14:textId="77777777" w:rsidR="003741CE" w:rsidRPr="005B494D" w:rsidRDefault="003741CE" w:rsidP="003741CE">
            <w:pPr>
              <w:keepNext/>
              <w:spacing w:after="60"/>
              <w:jc w:val="center"/>
              <w:rPr>
                <w:sz w:val="20"/>
              </w:rPr>
            </w:pPr>
          </w:p>
        </w:tc>
      </w:tr>
      <w:tr w:rsidR="005B494D" w:rsidRPr="005B494D" w14:paraId="5BC6ED16"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22EB7CE4" w14:textId="77777777" w:rsidR="003741CE" w:rsidRPr="005B494D" w:rsidRDefault="003741CE" w:rsidP="003741CE">
            <w:pPr>
              <w:keepNext/>
              <w:spacing w:after="60"/>
            </w:pPr>
            <w:r w:rsidRPr="005B494D">
              <w:rPr>
                <w:sz w:val="20"/>
              </w:rPr>
              <w:lastRenderedPageBreak/>
              <w:t>    Missing</w:t>
            </w:r>
          </w:p>
        </w:tc>
        <w:tc>
          <w:tcPr>
            <w:tcW w:w="1486" w:type="dxa"/>
            <w:tcBorders>
              <w:top w:val="single" w:sz="0" w:space="0" w:color="D3D3D3"/>
              <w:left w:val="single" w:sz="0" w:space="0" w:color="D3D3D3"/>
              <w:bottom w:val="single" w:sz="0" w:space="0" w:color="D3D3D3"/>
              <w:right w:val="single" w:sz="0" w:space="0" w:color="D3D3D3"/>
            </w:tcBorders>
          </w:tcPr>
          <w:p w14:paraId="3F22E8CE" w14:textId="125D8152" w:rsidR="003741CE" w:rsidRPr="005B494D" w:rsidRDefault="003741CE" w:rsidP="003741CE">
            <w:pPr>
              <w:keepNext/>
              <w:spacing w:after="60"/>
              <w:jc w:val="center"/>
            </w:pPr>
            <w:r w:rsidRPr="005B494D">
              <w:rPr>
                <w:sz w:val="20"/>
              </w:rPr>
              <w:t>111,53</w:t>
            </w:r>
            <w:r w:rsidR="00A50BD8" w:rsidRPr="005B494D">
              <w:rPr>
                <w:sz w:val="20"/>
              </w:rPr>
              <w:t>5</w:t>
            </w:r>
            <w:r w:rsidRPr="005B494D">
              <w:rPr>
                <w:sz w:val="20"/>
              </w:rPr>
              <w:t xml:space="preserve"> (22.6%)</w:t>
            </w:r>
          </w:p>
        </w:tc>
        <w:tc>
          <w:tcPr>
            <w:tcW w:w="1844" w:type="dxa"/>
            <w:tcBorders>
              <w:top w:val="single" w:sz="0" w:space="0" w:color="D3D3D3"/>
              <w:left w:val="single" w:sz="0" w:space="0" w:color="D3D3D3"/>
              <w:bottom w:val="single" w:sz="0" w:space="0" w:color="D3D3D3"/>
              <w:right w:val="single" w:sz="0" w:space="0" w:color="D3D3D3"/>
            </w:tcBorders>
          </w:tcPr>
          <w:p w14:paraId="394A0698" w14:textId="77777777" w:rsidR="003741CE" w:rsidRPr="005B494D" w:rsidRDefault="003741CE" w:rsidP="003741CE">
            <w:pPr>
              <w:keepNext/>
              <w:spacing w:after="60"/>
              <w:jc w:val="center"/>
            </w:pPr>
            <w:r w:rsidRPr="005B494D">
              <w:rPr>
                <w:sz w:val="20"/>
              </w:rPr>
              <w:t>7,121 (23.5%)</w:t>
            </w:r>
          </w:p>
        </w:tc>
        <w:tc>
          <w:tcPr>
            <w:tcW w:w="1844" w:type="dxa"/>
            <w:tcBorders>
              <w:top w:val="single" w:sz="0" w:space="0" w:color="D3D3D3"/>
              <w:left w:val="single" w:sz="0" w:space="0" w:color="D3D3D3"/>
              <w:bottom w:val="single" w:sz="0" w:space="0" w:color="D3D3D3"/>
              <w:right w:val="single" w:sz="0" w:space="0" w:color="D3D3D3"/>
            </w:tcBorders>
          </w:tcPr>
          <w:p w14:paraId="67EBD44D" w14:textId="0A861271" w:rsidR="003741CE" w:rsidRPr="005B494D" w:rsidRDefault="003741CE" w:rsidP="003741CE">
            <w:pPr>
              <w:keepNext/>
              <w:spacing w:after="60"/>
              <w:jc w:val="center"/>
            </w:pPr>
            <w:r w:rsidRPr="005B494D">
              <w:rPr>
                <w:sz w:val="20"/>
              </w:rPr>
              <w:t>104,41</w:t>
            </w:r>
            <w:r w:rsidR="00A50BD8" w:rsidRPr="005B494D">
              <w:rPr>
                <w:sz w:val="20"/>
              </w:rPr>
              <w:t>4</w:t>
            </w:r>
            <w:r w:rsidRPr="005B494D">
              <w:rPr>
                <w:sz w:val="20"/>
              </w:rPr>
              <w:t xml:space="preserve"> (22.5%)</w:t>
            </w:r>
          </w:p>
        </w:tc>
        <w:tc>
          <w:tcPr>
            <w:tcW w:w="861" w:type="dxa"/>
            <w:tcBorders>
              <w:top w:val="single" w:sz="0" w:space="0" w:color="D3D3D3"/>
              <w:left w:val="single" w:sz="0" w:space="0" w:color="D3D3D3"/>
              <w:bottom w:val="single" w:sz="0" w:space="0" w:color="D3D3D3"/>
              <w:right w:val="single" w:sz="0" w:space="0" w:color="D3D3D3"/>
            </w:tcBorders>
          </w:tcPr>
          <w:p w14:paraId="5D3C7B11"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744A26FF" w14:textId="77777777" w:rsidR="003741CE" w:rsidRPr="005B494D" w:rsidRDefault="003741CE" w:rsidP="003741CE">
            <w:pPr>
              <w:keepNext/>
              <w:spacing w:after="60"/>
              <w:jc w:val="center"/>
              <w:rPr>
                <w:sz w:val="20"/>
              </w:rPr>
            </w:pPr>
          </w:p>
        </w:tc>
      </w:tr>
      <w:tr w:rsidR="005B494D" w:rsidRPr="005B494D" w14:paraId="7B981D6D"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28289786" w14:textId="77777777" w:rsidR="003741CE" w:rsidRPr="005B494D" w:rsidRDefault="003741CE" w:rsidP="003741CE">
            <w:pPr>
              <w:keepNext/>
              <w:spacing w:after="60"/>
            </w:pPr>
            <w:r w:rsidRPr="005B494D">
              <w:rPr>
                <w:b/>
                <w:sz w:val="20"/>
              </w:rPr>
              <w:t>Sleep duration</w:t>
            </w:r>
          </w:p>
        </w:tc>
        <w:tc>
          <w:tcPr>
            <w:tcW w:w="1486" w:type="dxa"/>
            <w:tcBorders>
              <w:top w:val="single" w:sz="0" w:space="0" w:color="D3D3D3"/>
              <w:left w:val="single" w:sz="0" w:space="0" w:color="D3D3D3"/>
              <w:bottom w:val="single" w:sz="0" w:space="0" w:color="D3D3D3"/>
              <w:right w:val="single" w:sz="0" w:space="0" w:color="D3D3D3"/>
            </w:tcBorders>
          </w:tcPr>
          <w:p w14:paraId="3849B6DD"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7EF90530"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3248F887" w14:textId="77777777" w:rsidR="003741CE" w:rsidRPr="005B494D" w:rsidRDefault="003741CE" w:rsidP="003741CE">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347310B6" w14:textId="77777777" w:rsidR="003741CE" w:rsidRPr="005B494D" w:rsidRDefault="003741CE" w:rsidP="003741CE">
            <w:pPr>
              <w:keepNext/>
              <w:spacing w:after="60"/>
              <w:jc w:val="cente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3D54DC67" w14:textId="77777777" w:rsidR="003741CE" w:rsidRPr="005B494D" w:rsidRDefault="003741CE" w:rsidP="003741CE">
            <w:pPr>
              <w:keepNext/>
              <w:spacing w:after="60"/>
              <w:jc w:val="center"/>
              <w:rPr>
                <w:sz w:val="20"/>
              </w:rPr>
            </w:pPr>
            <w:r w:rsidRPr="005B494D">
              <w:rPr>
                <w:sz w:val="20"/>
              </w:rPr>
              <w:t>0.12</w:t>
            </w:r>
          </w:p>
        </w:tc>
      </w:tr>
      <w:tr w:rsidR="005B494D" w:rsidRPr="005B494D" w14:paraId="6B633346"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15ADDFC7" w14:textId="77777777" w:rsidR="003741CE" w:rsidRPr="005B494D" w:rsidRDefault="003741CE" w:rsidP="003741CE">
            <w:pPr>
              <w:keepNext/>
              <w:spacing w:after="60"/>
            </w:pPr>
            <w:r w:rsidRPr="005B494D">
              <w:rPr>
                <w:sz w:val="20"/>
              </w:rPr>
              <w:t>    7-8 hour/day</w:t>
            </w:r>
          </w:p>
        </w:tc>
        <w:tc>
          <w:tcPr>
            <w:tcW w:w="1486" w:type="dxa"/>
            <w:tcBorders>
              <w:top w:val="single" w:sz="0" w:space="0" w:color="D3D3D3"/>
              <w:left w:val="single" w:sz="0" w:space="0" w:color="D3D3D3"/>
              <w:bottom w:val="single" w:sz="0" w:space="0" w:color="D3D3D3"/>
              <w:right w:val="single" w:sz="0" w:space="0" w:color="D3D3D3"/>
            </w:tcBorders>
          </w:tcPr>
          <w:p w14:paraId="4A6E8E77" w14:textId="51E4FD39" w:rsidR="003741CE" w:rsidRPr="005B494D" w:rsidRDefault="003741CE" w:rsidP="003741CE">
            <w:pPr>
              <w:keepNext/>
              <w:spacing w:after="60"/>
              <w:jc w:val="center"/>
            </w:pPr>
            <w:r w:rsidRPr="005B494D">
              <w:rPr>
                <w:sz w:val="20"/>
              </w:rPr>
              <w:t>332,57</w:t>
            </w:r>
            <w:r w:rsidR="00A50BD8" w:rsidRPr="005B494D">
              <w:rPr>
                <w:sz w:val="20"/>
              </w:rPr>
              <w:t>4</w:t>
            </w:r>
            <w:r w:rsidRPr="005B494D">
              <w:rPr>
                <w:sz w:val="20"/>
              </w:rPr>
              <w:t xml:space="preserve"> (67.4%)</w:t>
            </w:r>
          </w:p>
        </w:tc>
        <w:tc>
          <w:tcPr>
            <w:tcW w:w="1844" w:type="dxa"/>
            <w:tcBorders>
              <w:top w:val="single" w:sz="0" w:space="0" w:color="D3D3D3"/>
              <w:left w:val="single" w:sz="0" w:space="0" w:color="D3D3D3"/>
              <w:bottom w:val="single" w:sz="0" w:space="0" w:color="D3D3D3"/>
              <w:right w:val="single" w:sz="0" w:space="0" w:color="D3D3D3"/>
            </w:tcBorders>
          </w:tcPr>
          <w:p w14:paraId="0E5C356A" w14:textId="77777777" w:rsidR="003741CE" w:rsidRPr="005B494D" w:rsidRDefault="003741CE" w:rsidP="003741CE">
            <w:pPr>
              <w:keepNext/>
              <w:spacing w:after="60"/>
              <w:jc w:val="center"/>
            </w:pPr>
            <w:r w:rsidRPr="005B494D">
              <w:rPr>
                <w:sz w:val="20"/>
              </w:rPr>
              <w:t>18,875 (62.4%)</w:t>
            </w:r>
          </w:p>
        </w:tc>
        <w:tc>
          <w:tcPr>
            <w:tcW w:w="1844" w:type="dxa"/>
            <w:tcBorders>
              <w:top w:val="single" w:sz="0" w:space="0" w:color="D3D3D3"/>
              <w:left w:val="single" w:sz="0" w:space="0" w:color="D3D3D3"/>
              <w:bottom w:val="single" w:sz="0" w:space="0" w:color="D3D3D3"/>
              <w:right w:val="single" w:sz="0" w:space="0" w:color="D3D3D3"/>
            </w:tcBorders>
          </w:tcPr>
          <w:p w14:paraId="0279D03E" w14:textId="74EC16D6" w:rsidR="003741CE" w:rsidRPr="005B494D" w:rsidRDefault="003741CE" w:rsidP="003741CE">
            <w:pPr>
              <w:keepNext/>
              <w:spacing w:after="60"/>
              <w:jc w:val="center"/>
            </w:pPr>
            <w:r w:rsidRPr="005B494D">
              <w:rPr>
                <w:sz w:val="20"/>
              </w:rPr>
              <w:t>313,</w:t>
            </w:r>
            <w:r w:rsidR="00A50BD8" w:rsidRPr="005B494D">
              <w:rPr>
                <w:sz w:val="20"/>
              </w:rPr>
              <w:t>699</w:t>
            </w:r>
            <w:r w:rsidRPr="005B494D">
              <w:rPr>
                <w:sz w:val="20"/>
              </w:rPr>
              <w:t xml:space="preserve"> (67.7%)</w:t>
            </w:r>
          </w:p>
        </w:tc>
        <w:tc>
          <w:tcPr>
            <w:tcW w:w="861" w:type="dxa"/>
            <w:tcBorders>
              <w:top w:val="single" w:sz="0" w:space="0" w:color="D3D3D3"/>
              <w:left w:val="single" w:sz="0" w:space="0" w:color="D3D3D3"/>
              <w:bottom w:val="single" w:sz="0" w:space="0" w:color="D3D3D3"/>
              <w:right w:val="single" w:sz="0" w:space="0" w:color="D3D3D3"/>
            </w:tcBorders>
          </w:tcPr>
          <w:p w14:paraId="16369EDC"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48792A93" w14:textId="77777777" w:rsidR="003741CE" w:rsidRPr="005B494D" w:rsidRDefault="003741CE" w:rsidP="003741CE">
            <w:pPr>
              <w:keepNext/>
              <w:spacing w:after="60"/>
              <w:jc w:val="center"/>
              <w:rPr>
                <w:sz w:val="20"/>
              </w:rPr>
            </w:pPr>
          </w:p>
        </w:tc>
      </w:tr>
      <w:tr w:rsidR="005B494D" w:rsidRPr="005B494D" w14:paraId="0D0CC10A"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57B2F785" w14:textId="77777777" w:rsidR="003741CE" w:rsidRPr="005B494D" w:rsidRDefault="003741CE" w:rsidP="003741CE">
            <w:pPr>
              <w:keepNext/>
              <w:spacing w:after="60"/>
            </w:pPr>
            <w:r w:rsidRPr="005B494D">
              <w:rPr>
                <w:sz w:val="20"/>
              </w:rPr>
              <w:t>    &lt; 7 hour/day</w:t>
            </w:r>
          </w:p>
        </w:tc>
        <w:tc>
          <w:tcPr>
            <w:tcW w:w="1486" w:type="dxa"/>
            <w:tcBorders>
              <w:top w:val="single" w:sz="0" w:space="0" w:color="D3D3D3"/>
              <w:left w:val="single" w:sz="0" w:space="0" w:color="D3D3D3"/>
              <w:bottom w:val="single" w:sz="0" w:space="0" w:color="D3D3D3"/>
              <w:right w:val="single" w:sz="0" w:space="0" w:color="D3D3D3"/>
            </w:tcBorders>
          </w:tcPr>
          <w:p w14:paraId="07CE8329" w14:textId="3E4FD127" w:rsidR="003741CE" w:rsidRPr="005B494D" w:rsidRDefault="003741CE" w:rsidP="003741CE">
            <w:pPr>
              <w:keepNext/>
              <w:spacing w:after="60"/>
              <w:jc w:val="center"/>
            </w:pPr>
            <w:r w:rsidRPr="005B494D">
              <w:rPr>
                <w:sz w:val="20"/>
              </w:rPr>
              <w:t>129,84</w:t>
            </w:r>
            <w:r w:rsidR="00A50BD8" w:rsidRPr="005B494D">
              <w:rPr>
                <w:sz w:val="20"/>
              </w:rPr>
              <w:t>0</w:t>
            </w:r>
            <w:r w:rsidRPr="005B494D">
              <w:rPr>
                <w:sz w:val="20"/>
              </w:rPr>
              <w:t xml:space="preserve"> (26.3%)</w:t>
            </w:r>
          </w:p>
        </w:tc>
        <w:tc>
          <w:tcPr>
            <w:tcW w:w="1844" w:type="dxa"/>
            <w:tcBorders>
              <w:top w:val="single" w:sz="0" w:space="0" w:color="D3D3D3"/>
              <w:left w:val="single" w:sz="0" w:space="0" w:color="D3D3D3"/>
              <w:bottom w:val="single" w:sz="0" w:space="0" w:color="D3D3D3"/>
              <w:right w:val="single" w:sz="0" w:space="0" w:color="D3D3D3"/>
            </w:tcBorders>
          </w:tcPr>
          <w:p w14:paraId="188A6735" w14:textId="77777777" w:rsidR="003741CE" w:rsidRPr="005B494D" w:rsidRDefault="003741CE" w:rsidP="003741CE">
            <w:pPr>
              <w:keepNext/>
              <w:spacing w:after="60"/>
              <w:jc w:val="center"/>
            </w:pPr>
            <w:r w:rsidRPr="005B494D">
              <w:rPr>
                <w:sz w:val="20"/>
              </w:rPr>
              <w:t>9,411 (31.1%)</w:t>
            </w:r>
          </w:p>
        </w:tc>
        <w:tc>
          <w:tcPr>
            <w:tcW w:w="1844" w:type="dxa"/>
            <w:tcBorders>
              <w:top w:val="single" w:sz="0" w:space="0" w:color="D3D3D3"/>
              <w:left w:val="single" w:sz="0" w:space="0" w:color="D3D3D3"/>
              <w:bottom w:val="single" w:sz="0" w:space="0" w:color="D3D3D3"/>
              <w:right w:val="single" w:sz="0" w:space="0" w:color="D3D3D3"/>
            </w:tcBorders>
          </w:tcPr>
          <w:p w14:paraId="10A60F49" w14:textId="0316961B" w:rsidR="003741CE" w:rsidRPr="005B494D" w:rsidRDefault="003741CE" w:rsidP="003741CE">
            <w:pPr>
              <w:keepNext/>
              <w:spacing w:after="60"/>
              <w:jc w:val="center"/>
            </w:pPr>
            <w:r w:rsidRPr="005B494D">
              <w:rPr>
                <w:sz w:val="20"/>
              </w:rPr>
              <w:t>120,4</w:t>
            </w:r>
            <w:r w:rsidR="00A50BD8" w:rsidRPr="005B494D">
              <w:rPr>
                <w:sz w:val="20"/>
              </w:rPr>
              <w:t>29</w:t>
            </w:r>
            <w:r w:rsidRPr="005B494D">
              <w:rPr>
                <w:sz w:val="20"/>
              </w:rPr>
              <w:t xml:space="preserve"> (26.0%)</w:t>
            </w:r>
          </w:p>
        </w:tc>
        <w:tc>
          <w:tcPr>
            <w:tcW w:w="861" w:type="dxa"/>
            <w:tcBorders>
              <w:top w:val="single" w:sz="0" w:space="0" w:color="D3D3D3"/>
              <w:left w:val="single" w:sz="0" w:space="0" w:color="D3D3D3"/>
              <w:bottom w:val="single" w:sz="0" w:space="0" w:color="D3D3D3"/>
              <w:right w:val="single" w:sz="0" w:space="0" w:color="D3D3D3"/>
            </w:tcBorders>
          </w:tcPr>
          <w:p w14:paraId="4DA50B62"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4FB27A5A" w14:textId="77777777" w:rsidR="003741CE" w:rsidRPr="005B494D" w:rsidRDefault="003741CE" w:rsidP="003741CE">
            <w:pPr>
              <w:keepNext/>
              <w:spacing w:after="60"/>
              <w:jc w:val="center"/>
              <w:rPr>
                <w:sz w:val="20"/>
              </w:rPr>
            </w:pPr>
          </w:p>
        </w:tc>
      </w:tr>
      <w:tr w:rsidR="005B494D" w:rsidRPr="005B494D" w14:paraId="6A82297F"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3D565727" w14:textId="77777777" w:rsidR="003741CE" w:rsidRPr="005B494D" w:rsidRDefault="003741CE" w:rsidP="003741CE">
            <w:pPr>
              <w:keepNext/>
              <w:spacing w:after="60"/>
            </w:pPr>
            <w:r w:rsidRPr="005B494D">
              <w:rPr>
                <w:sz w:val="20"/>
              </w:rPr>
              <w:t>    &gt; 8 hour/day</w:t>
            </w:r>
          </w:p>
        </w:tc>
        <w:tc>
          <w:tcPr>
            <w:tcW w:w="1486" w:type="dxa"/>
            <w:tcBorders>
              <w:top w:val="single" w:sz="0" w:space="0" w:color="D3D3D3"/>
              <w:left w:val="single" w:sz="0" w:space="0" w:color="D3D3D3"/>
              <w:bottom w:val="single" w:sz="0" w:space="0" w:color="D3D3D3"/>
              <w:right w:val="single" w:sz="0" w:space="0" w:color="D3D3D3"/>
            </w:tcBorders>
          </w:tcPr>
          <w:p w14:paraId="345A47B0" w14:textId="77777777" w:rsidR="003741CE" w:rsidRPr="005B494D" w:rsidRDefault="003741CE" w:rsidP="003741CE">
            <w:pPr>
              <w:keepNext/>
              <w:spacing w:after="60"/>
              <w:jc w:val="center"/>
            </w:pPr>
            <w:r w:rsidRPr="005B494D">
              <w:rPr>
                <w:sz w:val="20"/>
              </w:rPr>
              <w:t>31,230 (6.3%)</w:t>
            </w:r>
          </w:p>
        </w:tc>
        <w:tc>
          <w:tcPr>
            <w:tcW w:w="1844" w:type="dxa"/>
            <w:tcBorders>
              <w:top w:val="single" w:sz="0" w:space="0" w:color="D3D3D3"/>
              <w:left w:val="single" w:sz="0" w:space="0" w:color="D3D3D3"/>
              <w:bottom w:val="single" w:sz="0" w:space="0" w:color="D3D3D3"/>
              <w:right w:val="single" w:sz="0" w:space="0" w:color="D3D3D3"/>
            </w:tcBorders>
          </w:tcPr>
          <w:p w14:paraId="067D0096" w14:textId="77777777" w:rsidR="003741CE" w:rsidRPr="005B494D" w:rsidRDefault="003741CE" w:rsidP="003741CE">
            <w:pPr>
              <w:keepNext/>
              <w:spacing w:after="60"/>
              <w:jc w:val="center"/>
            </w:pPr>
            <w:r w:rsidRPr="005B494D">
              <w:rPr>
                <w:sz w:val="20"/>
              </w:rPr>
              <w:t>1,984 (6.6%)</w:t>
            </w:r>
          </w:p>
        </w:tc>
        <w:tc>
          <w:tcPr>
            <w:tcW w:w="1844" w:type="dxa"/>
            <w:tcBorders>
              <w:top w:val="single" w:sz="0" w:space="0" w:color="D3D3D3"/>
              <w:left w:val="single" w:sz="0" w:space="0" w:color="D3D3D3"/>
              <w:bottom w:val="single" w:sz="0" w:space="0" w:color="D3D3D3"/>
              <w:right w:val="single" w:sz="0" w:space="0" w:color="D3D3D3"/>
            </w:tcBorders>
          </w:tcPr>
          <w:p w14:paraId="048C1F36" w14:textId="77777777" w:rsidR="003741CE" w:rsidRPr="005B494D" w:rsidRDefault="003741CE" w:rsidP="003741CE">
            <w:pPr>
              <w:keepNext/>
              <w:spacing w:after="60"/>
              <w:jc w:val="center"/>
            </w:pPr>
            <w:r w:rsidRPr="005B494D">
              <w:rPr>
                <w:sz w:val="20"/>
              </w:rPr>
              <w:t>29,246 (6.3%)</w:t>
            </w:r>
          </w:p>
        </w:tc>
        <w:tc>
          <w:tcPr>
            <w:tcW w:w="861" w:type="dxa"/>
            <w:tcBorders>
              <w:top w:val="single" w:sz="0" w:space="0" w:color="D3D3D3"/>
              <w:left w:val="single" w:sz="0" w:space="0" w:color="D3D3D3"/>
              <w:bottom w:val="single" w:sz="0" w:space="0" w:color="D3D3D3"/>
              <w:right w:val="single" w:sz="0" w:space="0" w:color="D3D3D3"/>
            </w:tcBorders>
          </w:tcPr>
          <w:p w14:paraId="0E960E3F"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2DAD4022" w14:textId="77777777" w:rsidR="003741CE" w:rsidRPr="005B494D" w:rsidRDefault="003741CE" w:rsidP="003741CE">
            <w:pPr>
              <w:keepNext/>
              <w:spacing w:after="60"/>
              <w:jc w:val="center"/>
              <w:rPr>
                <w:sz w:val="20"/>
              </w:rPr>
            </w:pPr>
          </w:p>
        </w:tc>
      </w:tr>
      <w:tr w:rsidR="005B494D" w:rsidRPr="005B494D" w14:paraId="13D0CE40"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798246EC" w14:textId="77777777" w:rsidR="003741CE" w:rsidRPr="005B494D" w:rsidRDefault="003741CE" w:rsidP="003741CE">
            <w:pPr>
              <w:keepNext/>
              <w:spacing w:after="60"/>
            </w:pPr>
            <w:r w:rsidRPr="005B494D">
              <w:rPr>
                <w:b/>
                <w:sz w:val="20"/>
              </w:rPr>
              <w:t>Smoking status</w:t>
            </w:r>
          </w:p>
        </w:tc>
        <w:tc>
          <w:tcPr>
            <w:tcW w:w="1486" w:type="dxa"/>
            <w:tcBorders>
              <w:top w:val="single" w:sz="0" w:space="0" w:color="D3D3D3"/>
              <w:left w:val="single" w:sz="0" w:space="0" w:color="D3D3D3"/>
              <w:bottom w:val="single" w:sz="0" w:space="0" w:color="D3D3D3"/>
              <w:right w:val="single" w:sz="0" w:space="0" w:color="D3D3D3"/>
            </w:tcBorders>
          </w:tcPr>
          <w:p w14:paraId="15E7B516"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751ACF73"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20957367" w14:textId="77777777" w:rsidR="003741CE" w:rsidRPr="005B494D" w:rsidRDefault="003741CE" w:rsidP="003741CE">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2078FD61" w14:textId="77777777" w:rsidR="003741CE" w:rsidRPr="005B494D" w:rsidRDefault="003741CE" w:rsidP="003741CE">
            <w:pPr>
              <w:keepNext/>
              <w:spacing w:after="60"/>
              <w:jc w:val="cente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5C9D263D" w14:textId="77777777" w:rsidR="003741CE" w:rsidRPr="005B494D" w:rsidRDefault="003741CE" w:rsidP="003741CE">
            <w:pPr>
              <w:keepNext/>
              <w:spacing w:after="60"/>
              <w:jc w:val="center"/>
              <w:rPr>
                <w:sz w:val="20"/>
              </w:rPr>
            </w:pPr>
            <w:r w:rsidRPr="005B494D">
              <w:rPr>
                <w:sz w:val="20"/>
              </w:rPr>
              <w:t>0.16</w:t>
            </w:r>
          </w:p>
        </w:tc>
      </w:tr>
      <w:tr w:rsidR="005B494D" w:rsidRPr="005B494D" w14:paraId="34DB2D1A"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4C8529CB" w14:textId="77777777" w:rsidR="003741CE" w:rsidRPr="005B494D" w:rsidRDefault="003741CE" w:rsidP="003741CE">
            <w:pPr>
              <w:keepNext/>
              <w:spacing w:after="60"/>
            </w:pPr>
            <w:r w:rsidRPr="005B494D">
              <w:rPr>
                <w:sz w:val="20"/>
              </w:rPr>
              <w:t>    Never</w:t>
            </w:r>
          </w:p>
        </w:tc>
        <w:tc>
          <w:tcPr>
            <w:tcW w:w="1486" w:type="dxa"/>
            <w:tcBorders>
              <w:top w:val="single" w:sz="0" w:space="0" w:color="D3D3D3"/>
              <w:left w:val="single" w:sz="0" w:space="0" w:color="D3D3D3"/>
              <w:bottom w:val="single" w:sz="0" w:space="0" w:color="D3D3D3"/>
              <w:right w:val="single" w:sz="0" w:space="0" w:color="D3D3D3"/>
            </w:tcBorders>
          </w:tcPr>
          <w:p w14:paraId="2BA12198" w14:textId="6F4333BA" w:rsidR="003741CE" w:rsidRPr="005B494D" w:rsidRDefault="003741CE" w:rsidP="003741CE">
            <w:pPr>
              <w:keepNext/>
              <w:spacing w:after="60"/>
              <w:jc w:val="center"/>
            </w:pPr>
            <w:r w:rsidRPr="005B494D">
              <w:rPr>
                <w:sz w:val="20"/>
              </w:rPr>
              <w:t>269,41</w:t>
            </w:r>
            <w:r w:rsidR="00A50BD8" w:rsidRPr="005B494D">
              <w:rPr>
                <w:sz w:val="20"/>
              </w:rPr>
              <w:t>3</w:t>
            </w:r>
            <w:r w:rsidRPr="005B494D">
              <w:rPr>
                <w:sz w:val="20"/>
              </w:rPr>
              <w:t xml:space="preserve"> (54.6%)</w:t>
            </w:r>
          </w:p>
        </w:tc>
        <w:tc>
          <w:tcPr>
            <w:tcW w:w="1844" w:type="dxa"/>
            <w:tcBorders>
              <w:top w:val="single" w:sz="0" w:space="0" w:color="D3D3D3"/>
              <w:left w:val="single" w:sz="0" w:space="0" w:color="D3D3D3"/>
              <w:bottom w:val="single" w:sz="0" w:space="0" w:color="D3D3D3"/>
              <w:right w:val="single" w:sz="0" w:space="0" w:color="D3D3D3"/>
            </w:tcBorders>
          </w:tcPr>
          <w:p w14:paraId="5F929DAE" w14:textId="77777777" w:rsidR="003741CE" w:rsidRPr="005B494D" w:rsidRDefault="003741CE" w:rsidP="003741CE">
            <w:pPr>
              <w:keepNext/>
              <w:spacing w:after="60"/>
              <w:jc w:val="center"/>
            </w:pPr>
            <w:r w:rsidRPr="005B494D">
              <w:rPr>
                <w:sz w:val="20"/>
              </w:rPr>
              <w:t>15,420 (50.9%)</w:t>
            </w:r>
          </w:p>
        </w:tc>
        <w:tc>
          <w:tcPr>
            <w:tcW w:w="1844" w:type="dxa"/>
            <w:tcBorders>
              <w:top w:val="single" w:sz="0" w:space="0" w:color="D3D3D3"/>
              <w:left w:val="single" w:sz="0" w:space="0" w:color="D3D3D3"/>
              <w:bottom w:val="single" w:sz="0" w:space="0" w:color="D3D3D3"/>
              <w:right w:val="single" w:sz="0" w:space="0" w:color="D3D3D3"/>
            </w:tcBorders>
          </w:tcPr>
          <w:p w14:paraId="16B817C5" w14:textId="2039D2C9" w:rsidR="003741CE" w:rsidRPr="005B494D" w:rsidRDefault="003741CE" w:rsidP="003741CE">
            <w:pPr>
              <w:keepNext/>
              <w:spacing w:after="60"/>
              <w:jc w:val="center"/>
            </w:pPr>
            <w:r w:rsidRPr="005B494D">
              <w:rPr>
                <w:sz w:val="20"/>
              </w:rPr>
              <w:t>253,99</w:t>
            </w:r>
            <w:r w:rsidR="00A50BD8" w:rsidRPr="005B494D">
              <w:rPr>
                <w:sz w:val="20"/>
              </w:rPr>
              <w:t>3</w:t>
            </w:r>
            <w:r w:rsidRPr="005B494D">
              <w:rPr>
                <w:sz w:val="20"/>
              </w:rPr>
              <w:t xml:space="preserve"> (54.8%)</w:t>
            </w:r>
          </w:p>
        </w:tc>
        <w:tc>
          <w:tcPr>
            <w:tcW w:w="861" w:type="dxa"/>
            <w:tcBorders>
              <w:top w:val="single" w:sz="0" w:space="0" w:color="D3D3D3"/>
              <w:left w:val="single" w:sz="0" w:space="0" w:color="D3D3D3"/>
              <w:bottom w:val="single" w:sz="0" w:space="0" w:color="D3D3D3"/>
              <w:right w:val="single" w:sz="0" w:space="0" w:color="D3D3D3"/>
            </w:tcBorders>
          </w:tcPr>
          <w:p w14:paraId="2F74A833"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296578E2" w14:textId="77777777" w:rsidR="003741CE" w:rsidRPr="005B494D" w:rsidRDefault="003741CE" w:rsidP="003741CE">
            <w:pPr>
              <w:keepNext/>
              <w:spacing w:after="60"/>
              <w:jc w:val="center"/>
              <w:rPr>
                <w:sz w:val="20"/>
              </w:rPr>
            </w:pPr>
          </w:p>
        </w:tc>
      </w:tr>
      <w:tr w:rsidR="005B494D" w:rsidRPr="005B494D" w14:paraId="17A001EF"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575DFE5C" w14:textId="77777777" w:rsidR="003741CE" w:rsidRPr="005B494D" w:rsidRDefault="003741CE" w:rsidP="003741CE">
            <w:pPr>
              <w:keepNext/>
              <w:spacing w:after="60"/>
            </w:pPr>
            <w:r w:rsidRPr="005B494D">
              <w:rPr>
                <w:sz w:val="20"/>
              </w:rPr>
              <w:t>    Previous</w:t>
            </w:r>
          </w:p>
        </w:tc>
        <w:tc>
          <w:tcPr>
            <w:tcW w:w="1486" w:type="dxa"/>
            <w:tcBorders>
              <w:top w:val="single" w:sz="0" w:space="0" w:color="D3D3D3"/>
              <w:left w:val="single" w:sz="0" w:space="0" w:color="D3D3D3"/>
              <w:bottom w:val="single" w:sz="0" w:space="0" w:color="D3D3D3"/>
              <w:right w:val="single" w:sz="0" w:space="0" w:color="D3D3D3"/>
            </w:tcBorders>
          </w:tcPr>
          <w:p w14:paraId="4BF3E6F0" w14:textId="57B399FD" w:rsidR="003741CE" w:rsidRPr="005B494D" w:rsidRDefault="003741CE" w:rsidP="003741CE">
            <w:pPr>
              <w:keepNext/>
              <w:spacing w:after="60"/>
              <w:jc w:val="center"/>
            </w:pPr>
            <w:r w:rsidRPr="005B494D">
              <w:rPr>
                <w:sz w:val="20"/>
              </w:rPr>
              <w:t>170,7</w:t>
            </w:r>
            <w:r w:rsidR="00A50BD8" w:rsidRPr="005B494D">
              <w:rPr>
                <w:sz w:val="20"/>
              </w:rPr>
              <w:t>69</w:t>
            </w:r>
            <w:r w:rsidRPr="005B494D">
              <w:rPr>
                <w:sz w:val="20"/>
              </w:rPr>
              <w:t xml:space="preserve"> (34.6%)</w:t>
            </w:r>
          </w:p>
        </w:tc>
        <w:tc>
          <w:tcPr>
            <w:tcW w:w="1844" w:type="dxa"/>
            <w:tcBorders>
              <w:top w:val="single" w:sz="0" w:space="0" w:color="D3D3D3"/>
              <w:left w:val="single" w:sz="0" w:space="0" w:color="D3D3D3"/>
              <w:bottom w:val="single" w:sz="0" w:space="0" w:color="D3D3D3"/>
              <w:right w:val="single" w:sz="0" w:space="0" w:color="D3D3D3"/>
            </w:tcBorders>
          </w:tcPr>
          <w:p w14:paraId="66EF6505" w14:textId="77777777" w:rsidR="003741CE" w:rsidRPr="005B494D" w:rsidRDefault="003741CE" w:rsidP="003741CE">
            <w:pPr>
              <w:keepNext/>
              <w:spacing w:after="60"/>
              <w:jc w:val="center"/>
            </w:pPr>
            <w:r w:rsidRPr="005B494D">
              <w:rPr>
                <w:sz w:val="20"/>
              </w:rPr>
              <w:t>10,058 (33.2%)</w:t>
            </w:r>
          </w:p>
        </w:tc>
        <w:tc>
          <w:tcPr>
            <w:tcW w:w="1844" w:type="dxa"/>
            <w:tcBorders>
              <w:top w:val="single" w:sz="0" w:space="0" w:color="D3D3D3"/>
              <w:left w:val="single" w:sz="0" w:space="0" w:color="D3D3D3"/>
              <w:bottom w:val="single" w:sz="0" w:space="0" w:color="D3D3D3"/>
              <w:right w:val="single" w:sz="0" w:space="0" w:color="D3D3D3"/>
            </w:tcBorders>
          </w:tcPr>
          <w:p w14:paraId="090356DF" w14:textId="04C7D215" w:rsidR="003741CE" w:rsidRPr="005B494D" w:rsidRDefault="003741CE" w:rsidP="003741CE">
            <w:pPr>
              <w:keepNext/>
              <w:spacing w:after="60"/>
              <w:jc w:val="center"/>
            </w:pPr>
            <w:r w:rsidRPr="005B494D">
              <w:rPr>
                <w:sz w:val="20"/>
              </w:rPr>
              <w:t>160,71</w:t>
            </w:r>
            <w:r w:rsidR="00A50BD8" w:rsidRPr="005B494D">
              <w:rPr>
                <w:sz w:val="20"/>
              </w:rPr>
              <w:t>1</w:t>
            </w:r>
            <w:r w:rsidRPr="005B494D">
              <w:rPr>
                <w:sz w:val="20"/>
              </w:rPr>
              <w:t xml:space="preserve"> (34.7%)</w:t>
            </w:r>
          </w:p>
        </w:tc>
        <w:tc>
          <w:tcPr>
            <w:tcW w:w="861" w:type="dxa"/>
            <w:tcBorders>
              <w:top w:val="single" w:sz="0" w:space="0" w:color="D3D3D3"/>
              <w:left w:val="single" w:sz="0" w:space="0" w:color="D3D3D3"/>
              <w:bottom w:val="single" w:sz="0" w:space="0" w:color="D3D3D3"/>
              <w:right w:val="single" w:sz="0" w:space="0" w:color="D3D3D3"/>
            </w:tcBorders>
          </w:tcPr>
          <w:p w14:paraId="60286B9F"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09B59EF6" w14:textId="77777777" w:rsidR="003741CE" w:rsidRPr="005B494D" w:rsidRDefault="003741CE" w:rsidP="003741CE">
            <w:pPr>
              <w:keepNext/>
              <w:spacing w:after="60"/>
              <w:jc w:val="center"/>
              <w:rPr>
                <w:sz w:val="20"/>
              </w:rPr>
            </w:pPr>
          </w:p>
        </w:tc>
      </w:tr>
      <w:tr w:rsidR="005B494D" w:rsidRPr="005B494D" w14:paraId="16ECE51E"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7076FAFF" w14:textId="77777777" w:rsidR="003741CE" w:rsidRPr="005B494D" w:rsidRDefault="003741CE" w:rsidP="003741CE">
            <w:pPr>
              <w:keepNext/>
              <w:spacing w:after="60"/>
            </w:pPr>
            <w:r w:rsidRPr="005B494D">
              <w:rPr>
                <w:sz w:val="20"/>
              </w:rPr>
              <w:t>    Current</w:t>
            </w:r>
          </w:p>
        </w:tc>
        <w:tc>
          <w:tcPr>
            <w:tcW w:w="1486" w:type="dxa"/>
            <w:tcBorders>
              <w:top w:val="single" w:sz="0" w:space="0" w:color="D3D3D3"/>
              <w:left w:val="single" w:sz="0" w:space="0" w:color="D3D3D3"/>
              <w:bottom w:val="single" w:sz="0" w:space="0" w:color="D3D3D3"/>
              <w:right w:val="single" w:sz="0" w:space="0" w:color="D3D3D3"/>
            </w:tcBorders>
          </w:tcPr>
          <w:p w14:paraId="1F880C4A" w14:textId="77777777" w:rsidR="003741CE" w:rsidRPr="005B494D" w:rsidRDefault="003741CE" w:rsidP="003741CE">
            <w:pPr>
              <w:keepNext/>
              <w:spacing w:after="60"/>
              <w:jc w:val="center"/>
            </w:pPr>
            <w:r w:rsidRPr="005B494D">
              <w:rPr>
                <w:sz w:val="20"/>
              </w:rPr>
              <w:t>51,744 (10.5%)</w:t>
            </w:r>
          </w:p>
        </w:tc>
        <w:tc>
          <w:tcPr>
            <w:tcW w:w="1844" w:type="dxa"/>
            <w:tcBorders>
              <w:top w:val="single" w:sz="0" w:space="0" w:color="D3D3D3"/>
              <w:left w:val="single" w:sz="0" w:space="0" w:color="D3D3D3"/>
              <w:bottom w:val="single" w:sz="0" w:space="0" w:color="D3D3D3"/>
              <w:right w:val="single" w:sz="0" w:space="0" w:color="D3D3D3"/>
            </w:tcBorders>
          </w:tcPr>
          <w:p w14:paraId="414C2BE7" w14:textId="77777777" w:rsidR="003741CE" w:rsidRPr="005B494D" w:rsidRDefault="003741CE" w:rsidP="003741CE">
            <w:pPr>
              <w:keepNext/>
              <w:spacing w:after="60"/>
              <w:jc w:val="center"/>
            </w:pPr>
            <w:r w:rsidRPr="005B494D">
              <w:rPr>
                <w:sz w:val="20"/>
              </w:rPr>
              <w:t>4,693 (15.5%)</w:t>
            </w:r>
          </w:p>
        </w:tc>
        <w:tc>
          <w:tcPr>
            <w:tcW w:w="1844" w:type="dxa"/>
            <w:tcBorders>
              <w:top w:val="single" w:sz="0" w:space="0" w:color="D3D3D3"/>
              <w:left w:val="single" w:sz="0" w:space="0" w:color="D3D3D3"/>
              <w:bottom w:val="single" w:sz="0" w:space="0" w:color="D3D3D3"/>
              <w:right w:val="single" w:sz="0" w:space="0" w:color="D3D3D3"/>
            </w:tcBorders>
          </w:tcPr>
          <w:p w14:paraId="223D1F87" w14:textId="77777777" w:rsidR="003741CE" w:rsidRPr="005B494D" w:rsidRDefault="003741CE" w:rsidP="003741CE">
            <w:pPr>
              <w:keepNext/>
              <w:spacing w:after="60"/>
              <w:jc w:val="center"/>
            </w:pPr>
            <w:r w:rsidRPr="005B494D">
              <w:rPr>
                <w:sz w:val="20"/>
              </w:rPr>
              <w:t>47,051 (10.2%)</w:t>
            </w:r>
          </w:p>
        </w:tc>
        <w:tc>
          <w:tcPr>
            <w:tcW w:w="861" w:type="dxa"/>
            <w:tcBorders>
              <w:top w:val="single" w:sz="0" w:space="0" w:color="D3D3D3"/>
              <w:left w:val="single" w:sz="0" w:space="0" w:color="D3D3D3"/>
              <w:bottom w:val="single" w:sz="0" w:space="0" w:color="D3D3D3"/>
              <w:right w:val="single" w:sz="0" w:space="0" w:color="D3D3D3"/>
            </w:tcBorders>
          </w:tcPr>
          <w:p w14:paraId="1DEF3305"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7C850A66" w14:textId="77777777" w:rsidR="003741CE" w:rsidRPr="005B494D" w:rsidRDefault="003741CE" w:rsidP="003741CE">
            <w:pPr>
              <w:keepNext/>
              <w:spacing w:after="60"/>
              <w:jc w:val="center"/>
              <w:rPr>
                <w:sz w:val="20"/>
              </w:rPr>
            </w:pPr>
          </w:p>
        </w:tc>
      </w:tr>
      <w:tr w:rsidR="005B494D" w:rsidRPr="005B494D" w14:paraId="7B083447"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191E5F55" w14:textId="77777777" w:rsidR="003741CE" w:rsidRPr="005B494D" w:rsidRDefault="003741CE" w:rsidP="003741CE">
            <w:pPr>
              <w:keepNext/>
              <w:spacing w:after="60"/>
            </w:pPr>
            <w:r w:rsidRPr="005B494D">
              <w:rPr>
                <w:sz w:val="20"/>
              </w:rPr>
              <w:t>    Missing</w:t>
            </w:r>
          </w:p>
        </w:tc>
        <w:tc>
          <w:tcPr>
            <w:tcW w:w="1486" w:type="dxa"/>
            <w:tcBorders>
              <w:top w:val="single" w:sz="0" w:space="0" w:color="D3D3D3"/>
              <w:left w:val="single" w:sz="0" w:space="0" w:color="D3D3D3"/>
              <w:bottom w:val="single" w:sz="0" w:space="0" w:color="D3D3D3"/>
              <w:right w:val="single" w:sz="0" w:space="0" w:color="D3D3D3"/>
            </w:tcBorders>
          </w:tcPr>
          <w:p w14:paraId="3D3BF288" w14:textId="77777777" w:rsidR="003741CE" w:rsidRPr="005B494D" w:rsidRDefault="003741CE" w:rsidP="003741CE">
            <w:pPr>
              <w:keepNext/>
              <w:spacing w:after="60"/>
              <w:jc w:val="center"/>
            </w:pPr>
            <w:r w:rsidRPr="005B494D">
              <w:rPr>
                <w:sz w:val="20"/>
              </w:rPr>
              <w:t>1,718 (0.3%)</w:t>
            </w:r>
          </w:p>
        </w:tc>
        <w:tc>
          <w:tcPr>
            <w:tcW w:w="1844" w:type="dxa"/>
            <w:tcBorders>
              <w:top w:val="single" w:sz="0" w:space="0" w:color="D3D3D3"/>
              <w:left w:val="single" w:sz="0" w:space="0" w:color="D3D3D3"/>
              <w:bottom w:val="single" w:sz="0" w:space="0" w:color="D3D3D3"/>
              <w:right w:val="single" w:sz="0" w:space="0" w:color="D3D3D3"/>
            </w:tcBorders>
          </w:tcPr>
          <w:p w14:paraId="3FD41D27" w14:textId="77777777" w:rsidR="003741CE" w:rsidRPr="005B494D" w:rsidRDefault="003741CE" w:rsidP="003741CE">
            <w:pPr>
              <w:keepNext/>
              <w:spacing w:after="60"/>
              <w:jc w:val="center"/>
            </w:pPr>
            <w:r w:rsidRPr="005B494D">
              <w:rPr>
                <w:sz w:val="20"/>
              </w:rPr>
              <w:t>99 (0.3%)</w:t>
            </w:r>
          </w:p>
        </w:tc>
        <w:tc>
          <w:tcPr>
            <w:tcW w:w="1844" w:type="dxa"/>
            <w:tcBorders>
              <w:top w:val="single" w:sz="0" w:space="0" w:color="D3D3D3"/>
              <w:left w:val="single" w:sz="0" w:space="0" w:color="D3D3D3"/>
              <w:bottom w:val="single" w:sz="0" w:space="0" w:color="D3D3D3"/>
              <w:right w:val="single" w:sz="0" w:space="0" w:color="D3D3D3"/>
            </w:tcBorders>
          </w:tcPr>
          <w:p w14:paraId="476F4187" w14:textId="77777777" w:rsidR="003741CE" w:rsidRPr="005B494D" w:rsidRDefault="003741CE" w:rsidP="003741CE">
            <w:pPr>
              <w:keepNext/>
              <w:spacing w:after="60"/>
              <w:jc w:val="center"/>
            </w:pPr>
            <w:r w:rsidRPr="005B494D">
              <w:rPr>
                <w:sz w:val="20"/>
              </w:rPr>
              <w:t>1,619 (0.3%)</w:t>
            </w:r>
          </w:p>
        </w:tc>
        <w:tc>
          <w:tcPr>
            <w:tcW w:w="861" w:type="dxa"/>
            <w:tcBorders>
              <w:top w:val="single" w:sz="0" w:space="0" w:color="D3D3D3"/>
              <w:left w:val="single" w:sz="0" w:space="0" w:color="D3D3D3"/>
              <w:bottom w:val="single" w:sz="0" w:space="0" w:color="D3D3D3"/>
              <w:right w:val="single" w:sz="0" w:space="0" w:color="D3D3D3"/>
            </w:tcBorders>
          </w:tcPr>
          <w:p w14:paraId="1231A226"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152657EF" w14:textId="77777777" w:rsidR="003741CE" w:rsidRPr="005B494D" w:rsidRDefault="003741CE" w:rsidP="003741CE">
            <w:pPr>
              <w:keepNext/>
              <w:spacing w:after="60"/>
              <w:jc w:val="center"/>
              <w:rPr>
                <w:sz w:val="20"/>
              </w:rPr>
            </w:pPr>
          </w:p>
        </w:tc>
      </w:tr>
      <w:tr w:rsidR="005B494D" w:rsidRPr="005B494D" w14:paraId="18B52A02"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04CA7A70" w14:textId="77777777" w:rsidR="003741CE" w:rsidRPr="005B494D" w:rsidRDefault="003741CE" w:rsidP="003741CE">
            <w:pPr>
              <w:keepNext/>
              <w:spacing w:after="60"/>
            </w:pPr>
            <w:r w:rsidRPr="005B494D">
              <w:rPr>
                <w:b/>
                <w:sz w:val="20"/>
              </w:rPr>
              <w:t>Alcohol drinker status</w:t>
            </w:r>
          </w:p>
        </w:tc>
        <w:tc>
          <w:tcPr>
            <w:tcW w:w="1486" w:type="dxa"/>
            <w:tcBorders>
              <w:top w:val="single" w:sz="0" w:space="0" w:color="D3D3D3"/>
              <w:left w:val="single" w:sz="0" w:space="0" w:color="D3D3D3"/>
              <w:bottom w:val="single" w:sz="0" w:space="0" w:color="D3D3D3"/>
              <w:right w:val="single" w:sz="0" w:space="0" w:color="D3D3D3"/>
            </w:tcBorders>
          </w:tcPr>
          <w:p w14:paraId="66C7CADD"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19BE789F" w14:textId="77777777" w:rsidR="003741CE" w:rsidRPr="005B494D" w:rsidRDefault="003741CE" w:rsidP="003741CE">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3B263AA9" w14:textId="77777777" w:rsidR="003741CE" w:rsidRPr="005B494D" w:rsidRDefault="003741CE" w:rsidP="003741CE">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44A54980" w14:textId="77777777" w:rsidR="003741CE" w:rsidRPr="005B494D" w:rsidRDefault="003741CE" w:rsidP="003741CE">
            <w:pPr>
              <w:keepNext/>
              <w:spacing w:after="60"/>
              <w:jc w:val="cente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140180C1" w14:textId="77777777" w:rsidR="003741CE" w:rsidRPr="005B494D" w:rsidRDefault="003741CE" w:rsidP="003741CE">
            <w:pPr>
              <w:keepNext/>
              <w:spacing w:after="60"/>
              <w:jc w:val="center"/>
              <w:rPr>
                <w:sz w:val="20"/>
              </w:rPr>
            </w:pPr>
            <w:r w:rsidRPr="005B494D">
              <w:rPr>
                <w:sz w:val="20"/>
              </w:rPr>
              <w:t>0.08</w:t>
            </w:r>
          </w:p>
        </w:tc>
      </w:tr>
      <w:tr w:rsidR="005B494D" w:rsidRPr="005B494D" w14:paraId="018E421C"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7919438C" w14:textId="77777777" w:rsidR="003741CE" w:rsidRPr="005B494D" w:rsidRDefault="003741CE" w:rsidP="003741CE">
            <w:pPr>
              <w:keepNext/>
              <w:spacing w:after="60"/>
            </w:pPr>
            <w:r w:rsidRPr="005B494D">
              <w:rPr>
                <w:sz w:val="20"/>
              </w:rPr>
              <w:t>    Never</w:t>
            </w:r>
          </w:p>
        </w:tc>
        <w:tc>
          <w:tcPr>
            <w:tcW w:w="1486" w:type="dxa"/>
            <w:tcBorders>
              <w:top w:val="single" w:sz="0" w:space="0" w:color="D3D3D3"/>
              <w:left w:val="single" w:sz="0" w:space="0" w:color="D3D3D3"/>
              <w:bottom w:val="single" w:sz="0" w:space="0" w:color="D3D3D3"/>
              <w:right w:val="single" w:sz="0" w:space="0" w:color="D3D3D3"/>
            </w:tcBorders>
          </w:tcPr>
          <w:p w14:paraId="5941543C" w14:textId="77777777" w:rsidR="003741CE" w:rsidRPr="005B494D" w:rsidRDefault="003741CE" w:rsidP="003741CE">
            <w:pPr>
              <w:keepNext/>
              <w:spacing w:after="60"/>
              <w:jc w:val="center"/>
            </w:pPr>
            <w:r w:rsidRPr="005B494D">
              <w:rPr>
                <w:sz w:val="20"/>
              </w:rPr>
              <w:t>21,391 (4.3%)</w:t>
            </w:r>
          </w:p>
        </w:tc>
        <w:tc>
          <w:tcPr>
            <w:tcW w:w="1844" w:type="dxa"/>
            <w:tcBorders>
              <w:top w:val="single" w:sz="0" w:space="0" w:color="D3D3D3"/>
              <w:left w:val="single" w:sz="0" w:space="0" w:color="D3D3D3"/>
              <w:bottom w:val="single" w:sz="0" w:space="0" w:color="D3D3D3"/>
              <w:right w:val="single" w:sz="0" w:space="0" w:color="D3D3D3"/>
            </w:tcBorders>
          </w:tcPr>
          <w:p w14:paraId="3A495DBC" w14:textId="77777777" w:rsidR="003741CE" w:rsidRPr="005B494D" w:rsidRDefault="003741CE" w:rsidP="003741CE">
            <w:pPr>
              <w:keepNext/>
              <w:spacing w:after="60"/>
              <w:jc w:val="center"/>
            </w:pPr>
            <w:r w:rsidRPr="005B494D">
              <w:rPr>
                <w:sz w:val="20"/>
              </w:rPr>
              <w:t>1,681 (5.6%)</w:t>
            </w:r>
          </w:p>
        </w:tc>
        <w:tc>
          <w:tcPr>
            <w:tcW w:w="1844" w:type="dxa"/>
            <w:tcBorders>
              <w:top w:val="single" w:sz="0" w:space="0" w:color="D3D3D3"/>
              <w:left w:val="single" w:sz="0" w:space="0" w:color="D3D3D3"/>
              <w:bottom w:val="single" w:sz="0" w:space="0" w:color="D3D3D3"/>
              <w:right w:val="single" w:sz="0" w:space="0" w:color="D3D3D3"/>
            </w:tcBorders>
          </w:tcPr>
          <w:p w14:paraId="2B9DCA44" w14:textId="77777777" w:rsidR="003741CE" w:rsidRPr="005B494D" w:rsidRDefault="003741CE" w:rsidP="003741CE">
            <w:pPr>
              <w:keepNext/>
              <w:spacing w:after="60"/>
              <w:jc w:val="center"/>
            </w:pPr>
            <w:r w:rsidRPr="005B494D">
              <w:rPr>
                <w:sz w:val="20"/>
              </w:rPr>
              <w:t>19,710 (4.3%)</w:t>
            </w:r>
          </w:p>
        </w:tc>
        <w:tc>
          <w:tcPr>
            <w:tcW w:w="861" w:type="dxa"/>
            <w:tcBorders>
              <w:top w:val="single" w:sz="0" w:space="0" w:color="D3D3D3"/>
              <w:left w:val="single" w:sz="0" w:space="0" w:color="D3D3D3"/>
              <w:bottom w:val="single" w:sz="0" w:space="0" w:color="D3D3D3"/>
              <w:right w:val="single" w:sz="0" w:space="0" w:color="D3D3D3"/>
            </w:tcBorders>
          </w:tcPr>
          <w:p w14:paraId="5F656BCB"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50E52376" w14:textId="77777777" w:rsidR="003741CE" w:rsidRPr="005B494D" w:rsidRDefault="003741CE" w:rsidP="003741CE">
            <w:pPr>
              <w:keepNext/>
              <w:spacing w:after="60"/>
              <w:jc w:val="center"/>
              <w:rPr>
                <w:sz w:val="20"/>
              </w:rPr>
            </w:pPr>
          </w:p>
        </w:tc>
      </w:tr>
      <w:tr w:rsidR="005B494D" w:rsidRPr="005B494D" w14:paraId="1326E788"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498AD049" w14:textId="77777777" w:rsidR="003741CE" w:rsidRPr="005B494D" w:rsidRDefault="003741CE" w:rsidP="003741CE">
            <w:pPr>
              <w:keepNext/>
              <w:spacing w:after="60"/>
            </w:pPr>
            <w:r w:rsidRPr="005B494D">
              <w:rPr>
                <w:sz w:val="20"/>
              </w:rPr>
              <w:t>    Previous</w:t>
            </w:r>
          </w:p>
        </w:tc>
        <w:tc>
          <w:tcPr>
            <w:tcW w:w="1486" w:type="dxa"/>
            <w:tcBorders>
              <w:top w:val="single" w:sz="0" w:space="0" w:color="D3D3D3"/>
              <w:left w:val="single" w:sz="0" w:space="0" w:color="D3D3D3"/>
              <w:bottom w:val="single" w:sz="0" w:space="0" w:color="D3D3D3"/>
              <w:right w:val="single" w:sz="0" w:space="0" w:color="D3D3D3"/>
            </w:tcBorders>
          </w:tcPr>
          <w:p w14:paraId="6D656F7D" w14:textId="77777777" w:rsidR="003741CE" w:rsidRPr="005B494D" w:rsidRDefault="003741CE" w:rsidP="003741CE">
            <w:pPr>
              <w:keepNext/>
              <w:spacing w:after="60"/>
              <w:jc w:val="center"/>
            </w:pPr>
            <w:r w:rsidRPr="005B494D">
              <w:rPr>
                <w:sz w:val="20"/>
              </w:rPr>
              <w:t>17,605 (3.6%)</w:t>
            </w:r>
          </w:p>
        </w:tc>
        <w:tc>
          <w:tcPr>
            <w:tcW w:w="1844" w:type="dxa"/>
            <w:tcBorders>
              <w:top w:val="single" w:sz="0" w:space="0" w:color="D3D3D3"/>
              <w:left w:val="single" w:sz="0" w:space="0" w:color="D3D3D3"/>
              <w:bottom w:val="single" w:sz="0" w:space="0" w:color="D3D3D3"/>
              <w:right w:val="single" w:sz="0" w:space="0" w:color="D3D3D3"/>
            </w:tcBorders>
          </w:tcPr>
          <w:p w14:paraId="6772F416" w14:textId="77777777" w:rsidR="003741CE" w:rsidRPr="005B494D" w:rsidRDefault="003741CE" w:rsidP="003741CE">
            <w:pPr>
              <w:keepNext/>
              <w:spacing w:after="60"/>
              <w:jc w:val="center"/>
            </w:pPr>
            <w:r w:rsidRPr="005B494D">
              <w:rPr>
                <w:sz w:val="20"/>
              </w:rPr>
              <w:t>1,390 (4.6%)</w:t>
            </w:r>
          </w:p>
        </w:tc>
        <w:tc>
          <w:tcPr>
            <w:tcW w:w="1844" w:type="dxa"/>
            <w:tcBorders>
              <w:top w:val="single" w:sz="0" w:space="0" w:color="D3D3D3"/>
              <w:left w:val="single" w:sz="0" w:space="0" w:color="D3D3D3"/>
              <w:bottom w:val="single" w:sz="0" w:space="0" w:color="D3D3D3"/>
              <w:right w:val="single" w:sz="0" w:space="0" w:color="D3D3D3"/>
            </w:tcBorders>
          </w:tcPr>
          <w:p w14:paraId="400ADC90" w14:textId="77777777" w:rsidR="003741CE" w:rsidRPr="005B494D" w:rsidRDefault="003741CE" w:rsidP="003741CE">
            <w:pPr>
              <w:keepNext/>
              <w:spacing w:after="60"/>
              <w:jc w:val="center"/>
            </w:pPr>
            <w:r w:rsidRPr="005B494D">
              <w:rPr>
                <w:sz w:val="20"/>
              </w:rPr>
              <w:t>16,215 (3.5%)</w:t>
            </w:r>
          </w:p>
        </w:tc>
        <w:tc>
          <w:tcPr>
            <w:tcW w:w="861" w:type="dxa"/>
            <w:tcBorders>
              <w:top w:val="single" w:sz="0" w:space="0" w:color="D3D3D3"/>
              <w:left w:val="single" w:sz="0" w:space="0" w:color="D3D3D3"/>
              <w:bottom w:val="single" w:sz="0" w:space="0" w:color="D3D3D3"/>
              <w:right w:val="single" w:sz="0" w:space="0" w:color="D3D3D3"/>
            </w:tcBorders>
          </w:tcPr>
          <w:p w14:paraId="7BBC61B7"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04FDAEC8" w14:textId="77777777" w:rsidR="003741CE" w:rsidRPr="005B494D" w:rsidRDefault="003741CE" w:rsidP="003741CE">
            <w:pPr>
              <w:keepNext/>
              <w:spacing w:after="60"/>
              <w:jc w:val="center"/>
              <w:rPr>
                <w:sz w:val="20"/>
              </w:rPr>
            </w:pPr>
          </w:p>
        </w:tc>
      </w:tr>
      <w:tr w:rsidR="005B494D" w:rsidRPr="005B494D" w14:paraId="7998448C"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568CFAB6" w14:textId="77777777" w:rsidR="003741CE" w:rsidRPr="005B494D" w:rsidRDefault="003741CE" w:rsidP="003741CE">
            <w:pPr>
              <w:keepNext/>
              <w:spacing w:after="60"/>
            </w:pPr>
            <w:r w:rsidRPr="005B494D">
              <w:rPr>
                <w:sz w:val="20"/>
              </w:rPr>
              <w:t>    Current</w:t>
            </w:r>
          </w:p>
        </w:tc>
        <w:tc>
          <w:tcPr>
            <w:tcW w:w="1486" w:type="dxa"/>
            <w:tcBorders>
              <w:top w:val="single" w:sz="0" w:space="0" w:color="D3D3D3"/>
              <w:left w:val="single" w:sz="0" w:space="0" w:color="D3D3D3"/>
              <w:bottom w:val="single" w:sz="0" w:space="0" w:color="D3D3D3"/>
              <w:right w:val="single" w:sz="0" w:space="0" w:color="D3D3D3"/>
            </w:tcBorders>
          </w:tcPr>
          <w:p w14:paraId="797AFBB2" w14:textId="77777777" w:rsidR="003741CE" w:rsidRPr="005B494D" w:rsidRDefault="003741CE" w:rsidP="003741CE">
            <w:pPr>
              <w:keepNext/>
              <w:spacing w:after="60"/>
              <w:jc w:val="center"/>
            </w:pPr>
            <w:r w:rsidRPr="005B494D">
              <w:rPr>
                <w:sz w:val="20"/>
              </w:rPr>
              <w:t>454,179 (92.0%)</w:t>
            </w:r>
          </w:p>
        </w:tc>
        <w:tc>
          <w:tcPr>
            <w:tcW w:w="1844" w:type="dxa"/>
            <w:tcBorders>
              <w:top w:val="single" w:sz="0" w:space="0" w:color="D3D3D3"/>
              <w:left w:val="single" w:sz="0" w:space="0" w:color="D3D3D3"/>
              <w:bottom w:val="single" w:sz="0" w:space="0" w:color="D3D3D3"/>
              <w:right w:val="single" w:sz="0" w:space="0" w:color="D3D3D3"/>
            </w:tcBorders>
          </w:tcPr>
          <w:p w14:paraId="7E16C4DC" w14:textId="77777777" w:rsidR="003741CE" w:rsidRPr="005B494D" w:rsidRDefault="003741CE" w:rsidP="003741CE">
            <w:pPr>
              <w:keepNext/>
              <w:spacing w:after="60"/>
              <w:jc w:val="center"/>
            </w:pPr>
            <w:r w:rsidRPr="005B494D">
              <w:rPr>
                <w:sz w:val="20"/>
              </w:rPr>
              <w:t>27,149 (89.7%)</w:t>
            </w:r>
          </w:p>
        </w:tc>
        <w:tc>
          <w:tcPr>
            <w:tcW w:w="1844" w:type="dxa"/>
            <w:tcBorders>
              <w:top w:val="single" w:sz="0" w:space="0" w:color="D3D3D3"/>
              <w:left w:val="single" w:sz="0" w:space="0" w:color="D3D3D3"/>
              <w:bottom w:val="single" w:sz="0" w:space="0" w:color="D3D3D3"/>
              <w:right w:val="single" w:sz="0" w:space="0" w:color="D3D3D3"/>
            </w:tcBorders>
          </w:tcPr>
          <w:p w14:paraId="4A8B2D06" w14:textId="21F6309F" w:rsidR="003741CE" w:rsidRPr="005B494D" w:rsidRDefault="003741CE" w:rsidP="003741CE">
            <w:pPr>
              <w:keepNext/>
              <w:spacing w:after="60"/>
              <w:jc w:val="center"/>
            </w:pPr>
            <w:r w:rsidRPr="005B494D">
              <w:rPr>
                <w:sz w:val="20"/>
              </w:rPr>
              <w:t>427,0</w:t>
            </w:r>
            <w:r w:rsidR="00A50BD8" w:rsidRPr="005B494D">
              <w:rPr>
                <w:sz w:val="20"/>
              </w:rPr>
              <w:t>26</w:t>
            </w:r>
            <w:r w:rsidRPr="005B494D">
              <w:rPr>
                <w:sz w:val="20"/>
              </w:rPr>
              <w:t xml:space="preserve"> (92.2%)</w:t>
            </w:r>
          </w:p>
        </w:tc>
        <w:tc>
          <w:tcPr>
            <w:tcW w:w="861" w:type="dxa"/>
            <w:tcBorders>
              <w:top w:val="single" w:sz="0" w:space="0" w:color="D3D3D3"/>
              <w:left w:val="single" w:sz="0" w:space="0" w:color="D3D3D3"/>
              <w:bottom w:val="single" w:sz="0" w:space="0" w:color="D3D3D3"/>
              <w:right w:val="single" w:sz="0" w:space="0" w:color="D3D3D3"/>
            </w:tcBorders>
          </w:tcPr>
          <w:p w14:paraId="584B17D2"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53DDA88E" w14:textId="77777777" w:rsidR="003741CE" w:rsidRPr="005B494D" w:rsidRDefault="003741CE" w:rsidP="003741CE">
            <w:pPr>
              <w:keepNext/>
              <w:spacing w:after="60"/>
              <w:jc w:val="center"/>
              <w:rPr>
                <w:sz w:val="20"/>
              </w:rPr>
            </w:pPr>
          </w:p>
        </w:tc>
      </w:tr>
      <w:tr w:rsidR="005B494D" w:rsidRPr="005B494D" w14:paraId="1997F8B3"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618A9D74" w14:textId="77777777" w:rsidR="003741CE" w:rsidRPr="005B494D" w:rsidRDefault="003741CE" w:rsidP="003741CE">
            <w:pPr>
              <w:keepNext/>
              <w:spacing w:after="60"/>
            </w:pPr>
            <w:r w:rsidRPr="005B494D">
              <w:rPr>
                <w:sz w:val="20"/>
              </w:rPr>
              <w:t>    Missing</w:t>
            </w:r>
          </w:p>
        </w:tc>
        <w:tc>
          <w:tcPr>
            <w:tcW w:w="1486" w:type="dxa"/>
            <w:tcBorders>
              <w:top w:val="single" w:sz="0" w:space="0" w:color="D3D3D3"/>
              <w:left w:val="single" w:sz="0" w:space="0" w:color="D3D3D3"/>
              <w:bottom w:val="single" w:sz="0" w:space="0" w:color="D3D3D3"/>
              <w:right w:val="single" w:sz="0" w:space="0" w:color="D3D3D3"/>
            </w:tcBorders>
          </w:tcPr>
          <w:p w14:paraId="1DC748E1" w14:textId="77777777" w:rsidR="003741CE" w:rsidRPr="005B494D" w:rsidRDefault="003741CE" w:rsidP="003741CE">
            <w:pPr>
              <w:keepNext/>
              <w:spacing w:after="60"/>
              <w:jc w:val="center"/>
            </w:pPr>
            <w:r w:rsidRPr="005B494D">
              <w:rPr>
                <w:sz w:val="20"/>
              </w:rPr>
              <w:t>473 (0.1%)</w:t>
            </w:r>
          </w:p>
        </w:tc>
        <w:tc>
          <w:tcPr>
            <w:tcW w:w="1844" w:type="dxa"/>
            <w:tcBorders>
              <w:top w:val="single" w:sz="0" w:space="0" w:color="D3D3D3"/>
              <w:left w:val="single" w:sz="0" w:space="0" w:color="D3D3D3"/>
              <w:bottom w:val="single" w:sz="0" w:space="0" w:color="D3D3D3"/>
              <w:right w:val="single" w:sz="0" w:space="0" w:color="D3D3D3"/>
            </w:tcBorders>
          </w:tcPr>
          <w:p w14:paraId="01439C22" w14:textId="77777777" w:rsidR="003741CE" w:rsidRPr="005B494D" w:rsidRDefault="003741CE" w:rsidP="003741CE">
            <w:pPr>
              <w:keepNext/>
              <w:spacing w:after="60"/>
              <w:jc w:val="center"/>
            </w:pPr>
            <w:r w:rsidRPr="005B494D">
              <w:rPr>
                <w:sz w:val="20"/>
              </w:rPr>
              <w:t>50 (0.2%)</w:t>
            </w:r>
          </w:p>
        </w:tc>
        <w:tc>
          <w:tcPr>
            <w:tcW w:w="1844" w:type="dxa"/>
            <w:tcBorders>
              <w:top w:val="single" w:sz="0" w:space="0" w:color="D3D3D3"/>
              <w:left w:val="single" w:sz="0" w:space="0" w:color="D3D3D3"/>
              <w:bottom w:val="single" w:sz="0" w:space="0" w:color="D3D3D3"/>
              <w:right w:val="single" w:sz="0" w:space="0" w:color="D3D3D3"/>
            </w:tcBorders>
          </w:tcPr>
          <w:p w14:paraId="19C98744" w14:textId="77777777" w:rsidR="003741CE" w:rsidRPr="005B494D" w:rsidRDefault="003741CE" w:rsidP="003741CE">
            <w:pPr>
              <w:keepNext/>
              <w:spacing w:after="60"/>
              <w:jc w:val="center"/>
            </w:pPr>
            <w:r w:rsidRPr="005B494D">
              <w:rPr>
                <w:sz w:val="20"/>
              </w:rPr>
              <w:t>423 (0.1%)</w:t>
            </w:r>
          </w:p>
        </w:tc>
        <w:tc>
          <w:tcPr>
            <w:tcW w:w="861" w:type="dxa"/>
            <w:tcBorders>
              <w:top w:val="single" w:sz="0" w:space="0" w:color="D3D3D3"/>
              <w:left w:val="single" w:sz="0" w:space="0" w:color="D3D3D3"/>
              <w:bottom w:val="single" w:sz="0" w:space="0" w:color="D3D3D3"/>
              <w:right w:val="single" w:sz="0" w:space="0" w:color="D3D3D3"/>
            </w:tcBorders>
          </w:tcPr>
          <w:p w14:paraId="6356F70C" w14:textId="77777777" w:rsidR="003741CE" w:rsidRPr="005B494D" w:rsidRDefault="003741CE" w:rsidP="003741CE">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1A50674F" w14:textId="77777777" w:rsidR="003741CE" w:rsidRPr="005B494D" w:rsidRDefault="003741CE" w:rsidP="003741CE">
            <w:pPr>
              <w:keepNext/>
              <w:spacing w:after="60"/>
              <w:jc w:val="center"/>
              <w:rPr>
                <w:sz w:val="20"/>
              </w:rPr>
            </w:pPr>
          </w:p>
        </w:tc>
      </w:tr>
      <w:tr w:rsidR="005B494D" w:rsidRPr="005B494D" w14:paraId="599E9CF1" w14:textId="77777777" w:rsidTr="00570304">
        <w:trPr>
          <w:cantSplit/>
        </w:trPr>
        <w:tc>
          <w:tcPr>
            <w:tcW w:w="3423" w:type="dxa"/>
            <w:tcBorders>
              <w:top w:val="single" w:sz="0" w:space="0" w:color="D3D3D3"/>
              <w:left w:val="single" w:sz="0" w:space="0" w:color="D3D3D3"/>
              <w:bottom w:val="single" w:sz="0" w:space="0" w:color="D3D3D3"/>
              <w:right w:val="single" w:sz="0" w:space="0" w:color="D3D3D3"/>
            </w:tcBorders>
          </w:tcPr>
          <w:p w14:paraId="4709DD87" w14:textId="49A53245" w:rsidR="004F4D05" w:rsidRPr="005B494D" w:rsidRDefault="004F4D05" w:rsidP="004F4D05">
            <w:pPr>
              <w:keepNext/>
              <w:spacing w:after="60"/>
            </w:pPr>
            <w:r w:rsidRPr="005B494D">
              <w:rPr>
                <w:b/>
                <w:sz w:val="20"/>
              </w:rPr>
              <w:t>Family history of dementia</w:t>
            </w:r>
          </w:p>
        </w:tc>
        <w:tc>
          <w:tcPr>
            <w:tcW w:w="1486" w:type="dxa"/>
            <w:tcBorders>
              <w:top w:val="single" w:sz="0" w:space="0" w:color="D3D3D3"/>
              <w:left w:val="single" w:sz="0" w:space="0" w:color="D3D3D3"/>
              <w:bottom w:val="single" w:sz="0" w:space="0" w:color="D3D3D3"/>
              <w:right w:val="single" w:sz="0" w:space="0" w:color="D3D3D3"/>
            </w:tcBorders>
            <w:vAlign w:val="center"/>
          </w:tcPr>
          <w:p w14:paraId="608462FA" w14:textId="7307FBB5" w:rsidR="004F4D05" w:rsidRPr="005B494D" w:rsidRDefault="004F4D05" w:rsidP="004F4D05">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vAlign w:val="center"/>
          </w:tcPr>
          <w:p w14:paraId="51D5EFFA" w14:textId="61D993CD" w:rsidR="004F4D05" w:rsidRPr="005B494D" w:rsidRDefault="004F4D05" w:rsidP="004F4D05">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vAlign w:val="center"/>
          </w:tcPr>
          <w:p w14:paraId="17643DE3" w14:textId="6C9D191E" w:rsidR="004F4D05" w:rsidRPr="005B494D" w:rsidRDefault="004F4D05" w:rsidP="004F4D05">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7BA6EECD" w14:textId="242D5170" w:rsidR="004F4D05" w:rsidRPr="005B494D" w:rsidRDefault="00F036AF" w:rsidP="004F4D05">
            <w:pPr>
              <w:keepNext/>
              <w:spacing w:after="60"/>
              <w:jc w:val="center"/>
              <w:rPr>
                <w:sz w:val="20"/>
              </w:rPr>
            </w:pPr>
            <w:r w:rsidRPr="005B494D">
              <w:rPr>
                <w:rFonts w:hint="eastAsia"/>
                <w:sz w:val="20"/>
              </w:rPr>
              <w:t>0</w:t>
            </w:r>
            <w:r w:rsidRPr="005B494D">
              <w:rPr>
                <w:sz w:val="20"/>
              </w:rPr>
              <w:t>.251</w:t>
            </w:r>
          </w:p>
        </w:tc>
        <w:tc>
          <w:tcPr>
            <w:tcW w:w="634" w:type="dxa"/>
            <w:tcBorders>
              <w:top w:val="single" w:sz="0" w:space="0" w:color="D3D3D3"/>
              <w:left w:val="single" w:sz="0" w:space="0" w:color="D3D3D3"/>
              <w:bottom w:val="single" w:sz="0" w:space="0" w:color="D3D3D3"/>
              <w:right w:val="single" w:sz="0" w:space="0" w:color="D3D3D3"/>
            </w:tcBorders>
          </w:tcPr>
          <w:p w14:paraId="4E24174C" w14:textId="3821F371" w:rsidR="004F4D05" w:rsidRPr="005B494D" w:rsidRDefault="00F036AF" w:rsidP="004F4D05">
            <w:pPr>
              <w:keepNext/>
              <w:spacing w:after="60"/>
              <w:jc w:val="center"/>
              <w:rPr>
                <w:sz w:val="20"/>
              </w:rPr>
            </w:pPr>
            <w:r w:rsidRPr="005B494D">
              <w:rPr>
                <w:sz w:val="20"/>
              </w:rPr>
              <w:t>0.0</w:t>
            </w:r>
            <w:r w:rsidR="009839A1" w:rsidRPr="005B494D">
              <w:rPr>
                <w:sz w:val="20"/>
              </w:rPr>
              <w:t>1</w:t>
            </w:r>
          </w:p>
        </w:tc>
      </w:tr>
      <w:tr w:rsidR="005B494D" w:rsidRPr="005B494D" w14:paraId="4FF49BDC" w14:textId="77777777" w:rsidTr="00570304">
        <w:trPr>
          <w:cantSplit/>
        </w:trPr>
        <w:tc>
          <w:tcPr>
            <w:tcW w:w="3423" w:type="dxa"/>
            <w:tcBorders>
              <w:top w:val="single" w:sz="0" w:space="0" w:color="D3D3D3"/>
              <w:left w:val="single" w:sz="0" w:space="0" w:color="D3D3D3"/>
              <w:bottom w:val="single" w:sz="0" w:space="0" w:color="D3D3D3"/>
              <w:right w:val="single" w:sz="0" w:space="0" w:color="D3D3D3"/>
            </w:tcBorders>
          </w:tcPr>
          <w:p w14:paraId="57BB2927" w14:textId="030E9F24" w:rsidR="004F4D05" w:rsidRPr="005B494D" w:rsidRDefault="004F4D05" w:rsidP="004F4D05">
            <w:pPr>
              <w:keepNext/>
              <w:spacing w:after="60"/>
              <w:rPr>
                <w:b/>
                <w:sz w:val="20"/>
              </w:rPr>
            </w:pPr>
            <w:r w:rsidRPr="005B494D">
              <w:rPr>
                <w:sz w:val="20"/>
              </w:rPr>
              <w:t>    Yes</w:t>
            </w:r>
          </w:p>
        </w:tc>
        <w:tc>
          <w:tcPr>
            <w:tcW w:w="1486" w:type="dxa"/>
            <w:tcBorders>
              <w:top w:val="single" w:sz="0" w:space="0" w:color="D3D3D3"/>
              <w:left w:val="single" w:sz="0" w:space="0" w:color="D3D3D3"/>
              <w:bottom w:val="single" w:sz="0" w:space="0" w:color="D3D3D3"/>
              <w:right w:val="single" w:sz="0" w:space="0" w:color="D3D3D3"/>
            </w:tcBorders>
            <w:vAlign w:val="center"/>
          </w:tcPr>
          <w:p w14:paraId="4226B0A2" w14:textId="624C99C7" w:rsidR="004F4D05" w:rsidRPr="005B494D" w:rsidRDefault="004F4D05" w:rsidP="004F4D05">
            <w:pPr>
              <w:keepNext/>
              <w:spacing w:after="60"/>
              <w:jc w:val="center"/>
              <w:rPr>
                <w:sz w:val="20"/>
              </w:rPr>
            </w:pPr>
            <w:r w:rsidRPr="005B494D">
              <w:rPr>
                <w:sz w:val="20"/>
              </w:rPr>
              <w:t>57,718 (11.7%)</w:t>
            </w:r>
          </w:p>
        </w:tc>
        <w:tc>
          <w:tcPr>
            <w:tcW w:w="1844" w:type="dxa"/>
            <w:tcBorders>
              <w:top w:val="single" w:sz="0" w:space="0" w:color="D3D3D3"/>
              <w:left w:val="single" w:sz="0" w:space="0" w:color="D3D3D3"/>
              <w:bottom w:val="single" w:sz="0" w:space="0" w:color="D3D3D3"/>
              <w:right w:val="single" w:sz="0" w:space="0" w:color="D3D3D3"/>
            </w:tcBorders>
            <w:vAlign w:val="center"/>
          </w:tcPr>
          <w:p w14:paraId="61530D2B" w14:textId="2FB4512B" w:rsidR="004F4D05" w:rsidRPr="005B494D" w:rsidRDefault="004F4D05" w:rsidP="004F4D05">
            <w:pPr>
              <w:keepNext/>
              <w:spacing w:after="60"/>
              <w:jc w:val="center"/>
              <w:rPr>
                <w:sz w:val="20"/>
              </w:rPr>
            </w:pPr>
            <w:r w:rsidRPr="005B494D">
              <w:rPr>
                <w:sz w:val="20"/>
              </w:rPr>
              <w:t>3,365 (11.1%)</w:t>
            </w:r>
          </w:p>
        </w:tc>
        <w:tc>
          <w:tcPr>
            <w:tcW w:w="1844" w:type="dxa"/>
            <w:tcBorders>
              <w:top w:val="single" w:sz="0" w:space="0" w:color="D3D3D3"/>
              <w:left w:val="single" w:sz="0" w:space="0" w:color="D3D3D3"/>
              <w:bottom w:val="single" w:sz="0" w:space="0" w:color="D3D3D3"/>
              <w:right w:val="single" w:sz="0" w:space="0" w:color="D3D3D3"/>
            </w:tcBorders>
            <w:vAlign w:val="center"/>
          </w:tcPr>
          <w:p w14:paraId="4A2D0E0D" w14:textId="339AAB59" w:rsidR="004F4D05" w:rsidRPr="005B494D" w:rsidRDefault="004F4D05" w:rsidP="004F4D05">
            <w:pPr>
              <w:keepNext/>
              <w:spacing w:after="60"/>
              <w:jc w:val="center"/>
              <w:rPr>
                <w:sz w:val="20"/>
              </w:rPr>
            </w:pPr>
            <w:r w:rsidRPr="005B494D">
              <w:rPr>
                <w:sz w:val="20"/>
              </w:rPr>
              <w:t>54,353 (11.7%)</w:t>
            </w:r>
          </w:p>
        </w:tc>
        <w:tc>
          <w:tcPr>
            <w:tcW w:w="861" w:type="dxa"/>
            <w:tcBorders>
              <w:top w:val="single" w:sz="0" w:space="0" w:color="D3D3D3"/>
              <w:left w:val="single" w:sz="0" w:space="0" w:color="D3D3D3"/>
              <w:bottom w:val="single" w:sz="0" w:space="0" w:color="D3D3D3"/>
              <w:right w:val="single" w:sz="0" w:space="0" w:color="D3D3D3"/>
            </w:tcBorders>
          </w:tcPr>
          <w:p w14:paraId="3D80E3FC" w14:textId="77777777" w:rsidR="004F4D05" w:rsidRPr="005B494D" w:rsidRDefault="004F4D05" w:rsidP="004F4D05">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14B71D88" w14:textId="77777777" w:rsidR="004F4D05" w:rsidRPr="005B494D" w:rsidRDefault="004F4D05" w:rsidP="004F4D05">
            <w:pPr>
              <w:keepNext/>
              <w:spacing w:after="60"/>
              <w:jc w:val="center"/>
              <w:rPr>
                <w:sz w:val="20"/>
              </w:rPr>
            </w:pPr>
          </w:p>
        </w:tc>
      </w:tr>
      <w:tr w:rsidR="005B494D" w:rsidRPr="005B494D" w14:paraId="0CC93F5B" w14:textId="77777777" w:rsidTr="00570304">
        <w:trPr>
          <w:cantSplit/>
        </w:trPr>
        <w:tc>
          <w:tcPr>
            <w:tcW w:w="3423" w:type="dxa"/>
            <w:tcBorders>
              <w:top w:val="single" w:sz="0" w:space="0" w:color="D3D3D3"/>
              <w:left w:val="single" w:sz="0" w:space="0" w:color="D3D3D3"/>
              <w:bottom w:val="single" w:sz="0" w:space="0" w:color="D3D3D3"/>
              <w:right w:val="single" w:sz="0" w:space="0" w:color="D3D3D3"/>
            </w:tcBorders>
          </w:tcPr>
          <w:p w14:paraId="1A114599" w14:textId="64A72556" w:rsidR="004F4D05" w:rsidRPr="005B494D" w:rsidRDefault="004F4D05" w:rsidP="004F4D05">
            <w:pPr>
              <w:keepNext/>
              <w:spacing w:after="60"/>
              <w:rPr>
                <w:b/>
                <w:sz w:val="20"/>
              </w:rPr>
            </w:pPr>
            <w:r w:rsidRPr="005B494D">
              <w:rPr>
                <w:sz w:val="20"/>
              </w:rPr>
              <w:t>    No</w:t>
            </w:r>
          </w:p>
        </w:tc>
        <w:tc>
          <w:tcPr>
            <w:tcW w:w="1486" w:type="dxa"/>
            <w:tcBorders>
              <w:top w:val="single" w:sz="0" w:space="0" w:color="D3D3D3"/>
              <w:left w:val="single" w:sz="0" w:space="0" w:color="D3D3D3"/>
              <w:bottom w:val="single" w:sz="0" w:space="0" w:color="D3D3D3"/>
              <w:right w:val="single" w:sz="0" w:space="0" w:color="D3D3D3"/>
            </w:tcBorders>
            <w:vAlign w:val="center"/>
          </w:tcPr>
          <w:p w14:paraId="23A7B0C9" w14:textId="4FAC4F2C" w:rsidR="004F4D05" w:rsidRPr="005B494D" w:rsidRDefault="004F4D05" w:rsidP="004F4D05">
            <w:pPr>
              <w:keepNext/>
              <w:spacing w:after="60"/>
              <w:jc w:val="center"/>
              <w:rPr>
                <w:sz w:val="20"/>
              </w:rPr>
            </w:pPr>
            <w:r w:rsidRPr="005B494D">
              <w:rPr>
                <w:sz w:val="20"/>
              </w:rPr>
              <w:t>318,990 (64.6%)</w:t>
            </w:r>
          </w:p>
        </w:tc>
        <w:tc>
          <w:tcPr>
            <w:tcW w:w="1844" w:type="dxa"/>
            <w:tcBorders>
              <w:top w:val="single" w:sz="0" w:space="0" w:color="D3D3D3"/>
              <w:left w:val="single" w:sz="0" w:space="0" w:color="D3D3D3"/>
              <w:bottom w:val="single" w:sz="0" w:space="0" w:color="D3D3D3"/>
              <w:right w:val="single" w:sz="0" w:space="0" w:color="D3D3D3"/>
            </w:tcBorders>
            <w:vAlign w:val="center"/>
          </w:tcPr>
          <w:p w14:paraId="7335DD51" w14:textId="20661CA9" w:rsidR="004F4D05" w:rsidRPr="005B494D" w:rsidRDefault="004F4D05" w:rsidP="004F4D05">
            <w:pPr>
              <w:keepNext/>
              <w:spacing w:after="60"/>
              <w:jc w:val="center"/>
              <w:rPr>
                <w:sz w:val="20"/>
              </w:rPr>
            </w:pPr>
            <w:r w:rsidRPr="005B494D">
              <w:rPr>
                <w:sz w:val="20"/>
              </w:rPr>
              <w:t>18,992 (62.7%)</w:t>
            </w:r>
          </w:p>
        </w:tc>
        <w:tc>
          <w:tcPr>
            <w:tcW w:w="1844" w:type="dxa"/>
            <w:tcBorders>
              <w:top w:val="single" w:sz="0" w:space="0" w:color="D3D3D3"/>
              <w:left w:val="single" w:sz="0" w:space="0" w:color="D3D3D3"/>
              <w:bottom w:val="single" w:sz="0" w:space="0" w:color="D3D3D3"/>
              <w:right w:val="single" w:sz="0" w:space="0" w:color="D3D3D3"/>
            </w:tcBorders>
            <w:vAlign w:val="center"/>
          </w:tcPr>
          <w:p w14:paraId="74786582" w14:textId="0866326D" w:rsidR="004F4D05" w:rsidRPr="005B494D" w:rsidRDefault="004F4D05" w:rsidP="004F4D05">
            <w:pPr>
              <w:keepNext/>
              <w:spacing w:after="60"/>
              <w:jc w:val="center"/>
              <w:rPr>
                <w:sz w:val="20"/>
              </w:rPr>
            </w:pPr>
            <w:r w:rsidRPr="005B494D">
              <w:rPr>
                <w:sz w:val="20"/>
              </w:rPr>
              <w:t>299,998 (64.7%)</w:t>
            </w:r>
          </w:p>
        </w:tc>
        <w:tc>
          <w:tcPr>
            <w:tcW w:w="861" w:type="dxa"/>
            <w:tcBorders>
              <w:top w:val="single" w:sz="0" w:space="0" w:color="D3D3D3"/>
              <w:left w:val="single" w:sz="0" w:space="0" w:color="D3D3D3"/>
              <w:bottom w:val="single" w:sz="0" w:space="0" w:color="D3D3D3"/>
              <w:right w:val="single" w:sz="0" w:space="0" w:color="D3D3D3"/>
            </w:tcBorders>
          </w:tcPr>
          <w:p w14:paraId="49DB1A72" w14:textId="77777777" w:rsidR="004F4D05" w:rsidRPr="005B494D" w:rsidRDefault="004F4D05" w:rsidP="004F4D05">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759268BE" w14:textId="77777777" w:rsidR="004F4D05" w:rsidRPr="005B494D" w:rsidRDefault="004F4D05" w:rsidP="004F4D05">
            <w:pPr>
              <w:keepNext/>
              <w:spacing w:after="60"/>
              <w:jc w:val="center"/>
              <w:rPr>
                <w:sz w:val="20"/>
              </w:rPr>
            </w:pPr>
          </w:p>
        </w:tc>
      </w:tr>
      <w:tr w:rsidR="005B494D" w:rsidRPr="005B494D" w14:paraId="25522C6B" w14:textId="77777777" w:rsidTr="00570304">
        <w:trPr>
          <w:cantSplit/>
        </w:trPr>
        <w:tc>
          <w:tcPr>
            <w:tcW w:w="3423" w:type="dxa"/>
            <w:tcBorders>
              <w:top w:val="single" w:sz="0" w:space="0" w:color="D3D3D3"/>
              <w:left w:val="single" w:sz="0" w:space="0" w:color="D3D3D3"/>
              <w:bottom w:val="single" w:sz="0" w:space="0" w:color="D3D3D3"/>
              <w:right w:val="single" w:sz="0" w:space="0" w:color="D3D3D3"/>
            </w:tcBorders>
          </w:tcPr>
          <w:p w14:paraId="36CD271A" w14:textId="45356EB3" w:rsidR="004F4D05" w:rsidRPr="005B494D" w:rsidRDefault="004F4D05" w:rsidP="004F4D05">
            <w:pPr>
              <w:keepNext/>
              <w:spacing w:after="60"/>
              <w:rPr>
                <w:b/>
                <w:sz w:val="20"/>
              </w:rPr>
            </w:pPr>
            <w:r w:rsidRPr="005B494D">
              <w:rPr>
                <w:sz w:val="20"/>
              </w:rPr>
              <w:t>    Missing</w:t>
            </w:r>
          </w:p>
        </w:tc>
        <w:tc>
          <w:tcPr>
            <w:tcW w:w="1486" w:type="dxa"/>
            <w:tcBorders>
              <w:top w:val="single" w:sz="0" w:space="0" w:color="D3D3D3"/>
              <w:left w:val="single" w:sz="0" w:space="0" w:color="D3D3D3"/>
              <w:bottom w:val="single" w:sz="0" w:space="0" w:color="D3D3D3"/>
              <w:right w:val="single" w:sz="0" w:space="0" w:color="D3D3D3"/>
            </w:tcBorders>
            <w:vAlign w:val="center"/>
          </w:tcPr>
          <w:p w14:paraId="7761F1D9" w14:textId="26B3664F" w:rsidR="004F4D05" w:rsidRPr="005B494D" w:rsidRDefault="004F4D05" w:rsidP="004F4D05">
            <w:pPr>
              <w:keepNext/>
              <w:spacing w:after="60"/>
              <w:jc w:val="center"/>
              <w:rPr>
                <w:sz w:val="20"/>
              </w:rPr>
            </w:pPr>
            <w:r w:rsidRPr="005B494D">
              <w:rPr>
                <w:sz w:val="20"/>
              </w:rPr>
              <w:t>116,936 (23.7%)</w:t>
            </w:r>
          </w:p>
        </w:tc>
        <w:tc>
          <w:tcPr>
            <w:tcW w:w="1844" w:type="dxa"/>
            <w:tcBorders>
              <w:top w:val="single" w:sz="0" w:space="0" w:color="D3D3D3"/>
              <w:left w:val="single" w:sz="0" w:space="0" w:color="D3D3D3"/>
              <w:bottom w:val="single" w:sz="0" w:space="0" w:color="D3D3D3"/>
              <w:right w:val="single" w:sz="0" w:space="0" w:color="D3D3D3"/>
            </w:tcBorders>
            <w:vAlign w:val="center"/>
          </w:tcPr>
          <w:p w14:paraId="03881722" w14:textId="0A182031" w:rsidR="004F4D05" w:rsidRPr="005B494D" w:rsidRDefault="004F4D05" w:rsidP="004F4D05">
            <w:pPr>
              <w:keepNext/>
              <w:spacing w:after="60"/>
              <w:jc w:val="center"/>
              <w:rPr>
                <w:sz w:val="20"/>
              </w:rPr>
            </w:pPr>
            <w:r w:rsidRPr="005B494D">
              <w:rPr>
                <w:sz w:val="20"/>
              </w:rPr>
              <w:t>7,913 (26.1%)</w:t>
            </w:r>
          </w:p>
        </w:tc>
        <w:tc>
          <w:tcPr>
            <w:tcW w:w="1844" w:type="dxa"/>
            <w:tcBorders>
              <w:top w:val="single" w:sz="0" w:space="0" w:color="D3D3D3"/>
              <w:left w:val="single" w:sz="0" w:space="0" w:color="D3D3D3"/>
              <w:bottom w:val="single" w:sz="0" w:space="0" w:color="D3D3D3"/>
              <w:right w:val="single" w:sz="0" w:space="0" w:color="D3D3D3"/>
            </w:tcBorders>
            <w:vAlign w:val="center"/>
          </w:tcPr>
          <w:p w14:paraId="16EC2C3A" w14:textId="0702DAEF" w:rsidR="004F4D05" w:rsidRPr="005B494D" w:rsidRDefault="004F4D05" w:rsidP="004F4D05">
            <w:pPr>
              <w:keepNext/>
              <w:spacing w:after="60"/>
              <w:jc w:val="center"/>
              <w:rPr>
                <w:sz w:val="20"/>
              </w:rPr>
            </w:pPr>
            <w:r w:rsidRPr="005B494D">
              <w:rPr>
                <w:sz w:val="20"/>
              </w:rPr>
              <w:t>109,023 (23.5%)</w:t>
            </w:r>
          </w:p>
        </w:tc>
        <w:tc>
          <w:tcPr>
            <w:tcW w:w="861" w:type="dxa"/>
            <w:tcBorders>
              <w:top w:val="single" w:sz="0" w:space="0" w:color="D3D3D3"/>
              <w:left w:val="single" w:sz="0" w:space="0" w:color="D3D3D3"/>
              <w:bottom w:val="single" w:sz="0" w:space="0" w:color="D3D3D3"/>
              <w:right w:val="single" w:sz="0" w:space="0" w:color="D3D3D3"/>
            </w:tcBorders>
          </w:tcPr>
          <w:p w14:paraId="7D695B5F" w14:textId="77777777" w:rsidR="004F4D05" w:rsidRPr="005B494D" w:rsidRDefault="004F4D05" w:rsidP="004F4D05">
            <w:pPr>
              <w:keepNext/>
              <w:spacing w:after="60"/>
              <w:jc w:val="center"/>
            </w:pPr>
          </w:p>
        </w:tc>
        <w:tc>
          <w:tcPr>
            <w:tcW w:w="634" w:type="dxa"/>
            <w:tcBorders>
              <w:top w:val="single" w:sz="0" w:space="0" w:color="D3D3D3"/>
              <w:left w:val="single" w:sz="0" w:space="0" w:color="D3D3D3"/>
              <w:bottom w:val="single" w:sz="0" w:space="0" w:color="D3D3D3"/>
              <w:right w:val="single" w:sz="0" w:space="0" w:color="D3D3D3"/>
            </w:tcBorders>
          </w:tcPr>
          <w:p w14:paraId="4DE35574" w14:textId="77777777" w:rsidR="004F4D05" w:rsidRPr="005B494D" w:rsidRDefault="004F4D05" w:rsidP="004F4D05">
            <w:pPr>
              <w:keepNext/>
              <w:spacing w:after="60"/>
              <w:jc w:val="center"/>
              <w:rPr>
                <w:sz w:val="20"/>
              </w:rPr>
            </w:pPr>
          </w:p>
        </w:tc>
      </w:tr>
      <w:tr w:rsidR="005B494D" w:rsidRPr="005B494D" w14:paraId="612AB339" w14:textId="77777777" w:rsidTr="00570304">
        <w:trPr>
          <w:cantSplit/>
        </w:trPr>
        <w:tc>
          <w:tcPr>
            <w:tcW w:w="3423" w:type="dxa"/>
            <w:tcBorders>
              <w:top w:val="single" w:sz="0" w:space="0" w:color="D3D3D3"/>
              <w:left w:val="single" w:sz="0" w:space="0" w:color="D3D3D3"/>
              <w:bottom w:val="single" w:sz="0" w:space="0" w:color="D3D3D3"/>
              <w:right w:val="single" w:sz="0" w:space="0" w:color="D3D3D3"/>
            </w:tcBorders>
          </w:tcPr>
          <w:p w14:paraId="34F7BDB1" w14:textId="709DFB78" w:rsidR="00A156A9" w:rsidRPr="005B494D" w:rsidRDefault="00A156A9" w:rsidP="00A156A9">
            <w:pPr>
              <w:keepNext/>
              <w:spacing w:after="60"/>
            </w:pPr>
            <w:r w:rsidRPr="005B494D">
              <w:rPr>
                <w:b/>
                <w:bCs/>
                <w:sz w:val="20"/>
              </w:rPr>
              <w:t>History of cardiometabolic diseases</w:t>
            </w:r>
          </w:p>
        </w:tc>
        <w:tc>
          <w:tcPr>
            <w:tcW w:w="1486" w:type="dxa"/>
            <w:tcBorders>
              <w:top w:val="single" w:sz="0" w:space="0" w:color="D3D3D3"/>
              <w:left w:val="single" w:sz="0" w:space="0" w:color="D3D3D3"/>
              <w:bottom w:val="single" w:sz="0" w:space="0" w:color="D3D3D3"/>
              <w:right w:val="single" w:sz="0" w:space="0" w:color="D3D3D3"/>
            </w:tcBorders>
            <w:vAlign w:val="center"/>
          </w:tcPr>
          <w:p w14:paraId="1F34F79C" w14:textId="02B90BF3" w:rsidR="00A156A9" w:rsidRPr="005B494D" w:rsidRDefault="00A156A9" w:rsidP="00A156A9">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vAlign w:val="center"/>
          </w:tcPr>
          <w:p w14:paraId="4E0BDA03" w14:textId="286D433C" w:rsidR="00A156A9" w:rsidRPr="005B494D" w:rsidRDefault="00A156A9" w:rsidP="00A156A9">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vAlign w:val="center"/>
          </w:tcPr>
          <w:p w14:paraId="37B783BA" w14:textId="4906E433" w:rsidR="00A156A9" w:rsidRPr="005B494D" w:rsidRDefault="00A156A9" w:rsidP="00A156A9">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164539DC" w14:textId="34547CB8" w:rsidR="00A156A9" w:rsidRPr="005B494D" w:rsidRDefault="00A156A9" w:rsidP="00A156A9">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78C964BE" w14:textId="045E506D" w:rsidR="00A156A9" w:rsidRPr="005B494D" w:rsidRDefault="00A156A9" w:rsidP="00A156A9">
            <w:pPr>
              <w:keepNext/>
              <w:spacing w:after="60"/>
              <w:jc w:val="center"/>
              <w:rPr>
                <w:sz w:val="20"/>
              </w:rPr>
            </w:pPr>
            <w:r w:rsidRPr="005B494D">
              <w:rPr>
                <w:rFonts w:hint="eastAsia"/>
                <w:sz w:val="20"/>
              </w:rPr>
              <w:t>0</w:t>
            </w:r>
            <w:r w:rsidRPr="005B494D">
              <w:rPr>
                <w:sz w:val="20"/>
              </w:rPr>
              <w:t>.07</w:t>
            </w:r>
          </w:p>
        </w:tc>
      </w:tr>
      <w:tr w:rsidR="005B494D" w:rsidRPr="005B494D" w14:paraId="7E3F0E1B" w14:textId="77777777" w:rsidTr="00570304">
        <w:trPr>
          <w:cantSplit/>
        </w:trPr>
        <w:tc>
          <w:tcPr>
            <w:tcW w:w="3423" w:type="dxa"/>
            <w:tcBorders>
              <w:top w:val="single" w:sz="0" w:space="0" w:color="D3D3D3"/>
              <w:left w:val="single" w:sz="0" w:space="0" w:color="D3D3D3"/>
              <w:bottom w:val="single" w:sz="0" w:space="0" w:color="D3D3D3"/>
              <w:right w:val="single" w:sz="0" w:space="0" w:color="D3D3D3"/>
            </w:tcBorders>
          </w:tcPr>
          <w:p w14:paraId="0D4F93E0" w14:textId="163FFFCA" w:rsidR="00A156A9" w:rsidRPr="005B494D" w:rsidRDefault="00A156A9" w:rsidP="00A156A9">
            <w:pPr>
              <w:keepNext/>
              <w:spacing w:after="60"/>
              <w:rPr>
                <w:sz w:val="20"/>
              </w:rPr>
            </w:pPr>
            <w:r w:rsidRPr="005B494D">
              <w:rPr>
                <w:sz w:val="20"/>
              </w:rPr>
              <w:t>    Yes</w:t>
            </w:r>
          </w:p>
        </w:tc>
        <w:tc>
          <w:tcPr>
            <w:tcW w:w="1486" w:type="dxa"/>
            <w:tcBorders>
              <w:top w:val="single" w:sz="0" w:space="0" w:color="D3D3D3"/>
              <w:left w:val="single" w:sz="0" w:space="0" w:color="D3D3D3"/>
              <w:bottom w:val="single" w:sz="0" w:space="0" w:color="D3D3D3"/>
              <w:right w:val="single" w:sz="0" w:space="0" w:color="D3D3D3"/>
            </w:tcBorders>
            <w:vAlign w:val="center"/>
          </w:tcPr>
          <w:p w14:paraId="40E8B870" w14:textId="1A2440D2" w:rsidR="00A156A9" w:rsidRPr="005B494D" w:rsidRDefault="00A156A9" w:rsidP="00A156A9">
            <w:pPr>
              <w:keepNext/>
              <w:spacing w:after="60"/>
              <w:jc w:val="center"/>
              <w:rPr>
                <w:sz w:val="20"/>
              </w:rPr>
            </w:pPr>
            <w:r w:rsidRPr="005B494D">
              <w:rPr>
                <w:sz w:val="20"/>
              </w:rPr>
              <w:t>154,521 (31.3%)</w:t>
            </w:r>
          </w:p>
        </w:tc>
        <w:tc>
          <w:tcPr>
            <w:tcW w:w="1844" w:type="dxa"/>
            <w:tcBorders>
              <w:top w:val="single" w:sz="0" w:space="0" w:color="D3D3D3"/>
              <w:left w:val="single" w:sz="0" w:space="0" w:color="D3D3D3"/>
              <w:bottom w:val="single" w:sz="0" w:space="0" w:color="D3D3D3"/>
              <w:right w:val="single" w:sz="0" w:space="0" w:color="D3D3D3"/>
            </w:tcBorders>
            <w:vAlign w:val="center"/>
          </w:tcPr>
          <w:p w14:paraId="3AF88624" w14:textId="7BD78191" w:rsidR="00A156A9" w:rsidRPr="005B494D" w:rsidRDefault="00A156A9" w:rsidP="00A156A9">
            <w:pPr>
              <w:keepNext/>
              <w:spacing w:after="60"/>
              <w:jc w:val="center"/>
              <w:rPr>
                <w:sz w:val="20"/>
              </w:rPr>
            </w:pPr>
            <w:r w:rsidRPr="005B494D">
              <w:rPr>
                <w:sz w:val="20"/>
              </w:rPr>
              <w:t>10,406 (34.4%)</w:t>
            </w:r>
          </w:p>
        </w:tc>
        <w:tc>
          <w:tcPr>
            <w:tcW w:w="1844" w:type="dxa"/>
            <w:tcBorders>
              <w:top w:val="single" w:sz="0" w:space="0" w:color="D3D3D3"/>
              <w:left w:val="single" w:sz="0" w:space="0" w:color="D3D3D3"/>
              <w:bottom w:val="single" w:sz="0" w:space="0" w:color="D3D3D3"/>
              <w:right w:val="single" w:sz="0" w:space="0" w:color="D3D3D3"/>
            </w:tcBorders>
            <w:vAlign w:val="center"/>
          </w:tcPr>
          <w:p w14:paraId="6B3EEAAB" w14:textId="15928A3E" w:rsidR="00A156A9" w:rsidRPr="005B494D" w:rsidRDefault="00A156A9" w:rsidP="00A156A9">
            <w:pPr>
              <w:keepNext/>
              <w:spacing w:after="60"/>
              <w:jc w:val="center"/>
              <w:rPr>
                <w:sz w:val="20"/>
              </w:rPr>
            </w:pPr>
            <w:r w:rsidRPr="005B494D">
              <w:rPr>
                <w:sz w:val="20"/>
              </w:rPr>
              <w:t>144,115 (31.1%)</w:t>
            </w:r>
          </w:p>
        </w:tc>
        <w:tc>
          <w:tcPr>
            <w:tcW w:w="861" w:type="dxa"/>
            <w:tcBorders>
              <w:top w:val="single" w:sz="0" w:space="0" w:color="D3D3D3"/>
              <w:left w:val="single" w:sz="0" w:space="0" w:color="D3D3D3"/>
              <w:bottom w:val="single" w:sz="0" w:space="0" w:color="D3D3D3"/>
              <w:right w:val="single" w:sz="0" w:space="0" w:color="D3D3D3"/>
            </w:tcBorders>
          </w:tcPr>
          <w:p w14:paraId="67BD88EC" w14:textId="77777777" w:rsidR="00A156A9" w:rsidRPr="005B494D" w:rsidRDefault="00A156A9" w:rsidP="00A156A9">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6D3AA7AA" w14:textId="77777777" w:rsidR="00A156A9" w:rsidRPr="005B494D" w:rsidRDefault="00A156A9" w:rsidP="00A156A9">
            <w:pPr>
              <w:keepNext/>
              <w:spacing w:after="60"/>
              <w:jc w:val="center"/>
              <w:rPr>
                <w:sz w:val="20"/>
              </w:rPr>
            </w:pPr>
          </w:p>
        </w:tc>
      </w:tr>
      <w:tr w:rsidR="005B494D" w:rsidRPr="005B494D" w14:paraId="0D792AB0" w14:textId="77777777" w:rsidTr="00570304">
        <w:trPr>
          <w:cantSplit/>
        </w:trPr>
        <w:tc>
          <w:tcPr>
            <w:tcW w:w="3423" w:type="dxa"/>
            <w:tcBorders>
              <w:top w:val="single" w:sz="0" w:space="0" w:color="D3D3D3"/>
              <w:left w:val="single" w:sz="0" w:space="0" w:color="D3D3D3"/>
              <w:bottom w:val="single" w:sz="0" w:space="0" w:color="D3D3D3"/>
              <w:right w:val="single" w:sz="0" w:space="0" w:color="D3D3D3"/>
            </w:tcBorders>
          </w:tcPr>
          <w:p w14:paraId="51ED409F" w14:textId="51C8E7DA" w:rsidR="00A156A9" w:rsidRPr="005B494D" w:rsidRDefault="00A156A9" w:rsidP="00A156A9">
            <w:pPr>
              <w:keepNext/>
              <w:spacing w:after="60"/>
              <w:rPr>
                <w:sz w:val="20"/>
              </w:rPr>
            </w:pPr>
            <w:r w:rsidRPr="005B494D">
              <w:rPr>
                <w:sz w:val="20"/>
              </w:rPr>
              <w:t>    No</w:t>
            </w:r>
          </w:p>
        </w:tc>
        <w:tc>
          <w:tcPr>
            <w:tcW w:w="1486" w:type="dxa"/>
            <w:tcBorders>
              <w:top w:val="single" w:sz="0" w:space="0" w:color="D3D3D3"/>
              <w:left w:val="single" w:sz="0" w:space="0" w:color="D3D3D3"/>
              <w:bottom w:val="single" w:sz="0" w:space="0" w:color="D3D3D3"/>
              <w:right w:val="single" w:sz="0" w:space="0" w:color="D3D3D3"/>
            </w:tcBorders>
            <w:vAlign w:val="center"/>
          </w:tcPr>
          <w:p w14:paraId="15D4E9A2" w14:textId="31CE3C06" w:rsidR="00A156A9" w:rsidRPr="005B494D" w:rsidRDefault="00A156A9" w:rsidP="00A156A9">
            <w:pPr>
              <w:keepNext/>
              <w:spacing w:after="60"/>
              <w:jc w:val="center"/>
              <w:rPr>
                <w:sz w:val="20"/>
              </w:rPr>
            </w:pPr>
            <w:r w:rsidRPr="005B494D">
              <w:rPr>
                <w:sz w:val="20"/>
              </w:rPr>
              <w:t>337,576 (68.4%)</w:t>
            </w:r>
          </w:p>
        </w:tc>
        <w:tc>
          <w:tcPr>
            <w:tcW w:w="1844" w:type="dxa"/>
            <w:tcBorders>
              <w:top w:val="single" w:sz="0" w:space="0" w:color="D3D3D3"/>
              <w:left w:val="single" w:sz="0" w:space="0" w:color="D3D3D3"/>
              <w:bottom w:val="single" w:sz="0" w:space="0" w:color="D3D3D3"/>
              <w:right w:val="single" w:sz="0" w:space="0" w:color="D3D3D3"/>
            </w:tcBorders>
            <w:vAlign w:val="center"/>
          </w:tcPr>
          <w:p w14:paraId="2413A579" w14:textId="4FE1814E" w:rsidR="00A156A9" w:rsidRPr="005B494D" w:rsidRDefault="00A156A9" w:rsidP="00A156A9">
            <w:pPr>
              <w:keepNext/>
              <w:spacing w:after="60"/>
              <w:jc w:val="center"/>
              <w:rPr>
                <w:sz w:val="20"/>
              </w:rPr>
            </w:pPr>
            <w:r w:rsidRPr="005B494D">
              <w:rPr>
                <w:sz w:val="20"/>
              </w:rPr>
              <w:t>19,697 (65.1%)</w:t>
            </w:r>
          </w:p>
        </w:tc>
        <w:tc>
          <w:tcPr>
            <w:tcW w:w="1844" w:type="dxa"/>
            <w:tcBorders>
              <w:top w:val="single" w:sz="0" w:space="0" w:color="D3D3D3"/>
              <w:left w:val="single" w:sz="0" w:space="0" w:color="D3D3D3"/>
              <w:bottom w:val="single" w:sz="0" w:space="0" w:color="D3D3D3"/>
              <w:right w:val="single" w:sz="0" w:space="0" w:color="D3D3D3"/>
            </w:tcBorders>
            <w:vAlign w:val="center"/>
          </w:tcPr>
          <w:p w14:paraId="20BFE096" w14:textId="192A5FFC" w:rsidR="00A156A9" w:rsidRPr="005B494D" w:rsidRDefault="00A156A9" w:rsidP="00A156A9">
            <w:pPr>
              <w:keepNext/>
              <w:spacing w:after="60"/>
              <w:jc w:val="center"/>
              <w:rPr>
                <w:sz w:val="20"/>
              </w:rPr>
            </w:pPr>
            <w:r w:rsidRPr="005B494D">
              <w:rPr>
                <w:sz w:val="20"/>
              </w:rPr>
              <w:t>317,879 (68.6%)</w:t>
            </w:r>
          </w:p>
        </w:tc>
        <w:tc>
          <w:tcPr>
            <w:tcW w:w="861" w:type="dxa"/>
            <w:tcBorders>
              <w:top w:val="single" w:sz="0" w:space="0" w:color="D3D3D3"/>
              <w:left w:val="single" w:sz="0" w:space="0" w:color="D3D3D3"/>
              <w:bottom w:val="single" w:sz="0" w:space="0" w:color="D3D3D3"/>
              <w:right w:val="single" w:sz="0" w:space="0" w:color="D3D3D3"/>
            </w:tcBorders>
          </w:tcPr>
          <w:p w14:paraId="7C1794DC" w14:textId="77777777" w:rsidR="00A156A9" w:rsidRPr="005B494D" w:rsidRDefault="00A156A9" w:rsidP="00A156A9">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2FB6A8DE" w14:textId="77777777" w:rsidR="00A156A9" w:rsidRPr="005B494D" w:rsidRDefault="00A156A9" w:rsidP="00A156A9">
            <w:pPr>
              <w:keepNext/>
              <w:spacing w:after="60"/>
              <w:jc w:val="center"/>
              <w:rPr>
                <w:sz w:val="20"/>
              </w:rPr>
            </w:pPr>
          </w:p>
        </w:tc>
      </w:tr>
      <w:tr w:rsidR="005B494D" w:rsidRPr="005B494D" w14:paraId="624DAFE7" w14:textId="77777777" w:rsidTr="00570304">
        <w:trPr>
          <w:cantSplit/>
        </w:trPr>
        <w:tc>
          <w:tcPr>
            <w:tcW w:w="3423" w:type="dxa"/>
            <w:tcBorders>
              <w:top w:val="single" w:sz="0" w:space="0" w:color="D3D3D3"/>
              <w:left w:val="single" w:sz="0" w:space="0" w:color="D3D3D3"/>
              <w:bottom w:val="single" w:sz="0" w:space="0" w:color="D3D3D3"/>
              <w:right w:val="single" w:sz="0" w:space="0" w:color="D3D3D3"/>
            </w:tcBorders>
          </w:tcPr>
          <w:p w14:paraId="4BB8B399" w14:textId="226F2EF9" w:rsidR="00A156A9" w:rsidRPr="005B494D" w:rsidRDefault="00A156A9" w:rsidP="00A156A9">
            <w:pPr>
              <w:keepNext/>
              <w:spacing w:after="60"/>
              <w:rPr>
                <w:sz w:val="20"/>
              </w:rPr>
            </w:pPr>
            <w:r w:rsidRPr="005B494D">
              <w:rPr>
                <w:sz w:val="20"/>
              </w:rPr>
              <w:t>    Missing</w:t>
            </w:r>
          </w:p>
        </w:tc>
        <w:tc>
          <w:tcPr>
            <w:tcW w:w="1486" w:type="dxa"/>
            <w:tcBorders>
              <w:top w:val="single" w:sz="0" w:space="0" w:color="D3D3D3"/>
              <w:left w:val="single" w:sz="0" w:space="0" w:color="D3D3D3"/>
              <w:bottom w:val="single" w:sz="0" w:space="0" w:color="D3D3D3"/>
              <w:right w:val="single" w:sz="0" w:space="0" w:color="D3D3D3"/>
            </w:tcBorders>
            <w:vAlign w:val="center"/>
          </w:tcPr>
          <w:p w14:paraId="07CEDDB6" w14:textId="4C011F86" w:rsidR="00A156A9" w:rsidRPr="005B494D" w:rsidRDefault="00A156A9" w:rsidP="00A156A9">
            <w:pPr>
              <w:keepNext/>
              <w:spacing w:after="60"/>
              <w:jc w:val="center"/>
              <w:rPr>
                <w:sz w:val="20"/>
              </w:rPr>
            </w:pPr>
            <w:r w:rsidRPr="005B494D">
              <w:rPr>
                <w:sz w:val="20"/>
              </w:rPr>
              <w:t>1,547 (0.3%)</w:t>
            </w:r>
          </w:p>
        </w:tc>
        <w:tc>
          <w:tcPr>
            <w:tcW w:w="1844" w:type="dxa"/>
            <w:tcBorders>
              <w:top w:val="single" w:sz="0" w:space="0" w:color="D3D3D3"/>
              <w:left w:val="single" w:sz="0" w:space="0" w:color="D3D3D3"/>
              <w:bottom w:val="single" w:sz="0" w:space="0" w:color="D3D3D3"/>
              <w:right w:val="single" w:sz="0" w:space="0" w:color="D3D3D3"/>
            </w:tcBorders>
            <w:vAlign w:val="center"/>
          </w:tcPr>
          <w:p w14:paraId="261C3C87" w14:textId="57E6E073" w:rsidR="00A156A9" w:rsidRPr="005B494D" w:rsidRDefault="00A156A9" w:rsidP="00A156A9">
            <w:pPr>
              <w:keepNext/>
              <w:spacing w:after="60"/>
              <w:jc w:val="center"/>
              <w:rPr>
                <w:sz w:val="20"/>
              </w:rPr>
            </w:pPr>
            <w:r w:rsidRPr="005B494D">
              <w:rPr>
                <w:sz w:val="20"/>
              </w:rPr>
              <w:t>167 (0.6%)</w:t>
            </w:r>
          </w:p>
        </w:tc>
        <w:tc>
          <w:tcPr>
            <w:tcW w:w="1844" w:type="dxa"/>
            <w:tcBorders>
              <w:top w:val="single" w:sz="0" w:space="0" w:color="D3D3D3"/>
              <w:left w:val="single" w:sz="0" w:space="0" w:color="D3D3D3"/>
              <w:bottom w:val="single" w:sz="0" w:space="0" w:color="D3D3D3"/>
              <w:right w:val="single" w:sz="0" w:space="0" w:color="D3D3D3"/>
            </w:tcBorders>
            <w:vAlign w:val="center"/>
          </w:tcPr>
          <w:p w14:paraId="244ABD5E" w14:textId="6C69EAB5" w:rsidR="00A156A9" w:rsidRPr="005B494D" w:rsidRDefault="00A156A9" w:rsidP="00A156A9">
            <w:pPr>
              <w:keepNext/>
              <w:spacing w:after="60"/>
              <w:jc w:val="center"/>
              <w:rPr>
                <w:sz w:val="20"/>
              </w:rPr>
            </w:pPr>
            <w:r w:rsidRPr="005B494D">
              <w:rPr>
                <w:sz w:val="20"/>
              </w:rPr>
              <w:t>1,380 (0.3%)</w:t>
            </w:r>
          </w:p>
        </w:tc>
        <w:tc>
          <w:tcPr>
            <w:tcW w:w="861" w:type="dxa"/>
            <w:tcBorders>
              <w:top w:val="single" w:sz="0" w:space="0" w:color="D3D3D3"/>
              <w:left w:val="single" w:sz="0" w:space="0" w:color="D3D3D3"/>
              <w:bottom w:val="single" w:sz="0" w:space="0" w:color="D3D3D3"/>
              <w:right w:val="single" w:sz="0" w:space="0" w:color="D3D3D3"/>
            </w:tcBorders>
          </w:tcPr>
          <w:p w14:paraId="624F8D12" w14:textId="77777777" w:rsidR="00A156A9" w:rsidRPr="005B494D" w:rsidRDefault="00A156A9" w:rsidP="00A156A9">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20E3E826" w14:textId="77777777" w:rsidR="00A156A9" w:rsidRPr="005B494D" w:rsidRDefault="00A156A9" w:rsidP="00A156A9">
            <w:pPr>
              <w:keepNext/>
              <w:spacing w:after="60"/>
              <w:jc w:val="center"/>
              <w:rPr>
                <w:sz w:val="20"/>
              </w:rPr>
            </w:pPr>
          </w:p>
        </w:tc>
      </w:tr>
      <w:tr w:rsidR="005B494D" w:rsidRPr="005B494D" w14:paraId="4FC27300"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tcPr>
          <w:p w14:paraId="3E2A889E" w14:textId="63649CF6" w:rsidR="00A156A9" w:rsidRPr="005B494D" w:rsidRDefault="00A156A9" w:rsidP="00A156A9">
            <w:pPr>
              <w:keepNext/>
              <w:spacing w:after="60"/>
            </w:pPr>
            <w:r w:rsidRPr="005B494D">
              <w:rPr>
                <w:b/>
                <w:sz w:val="20"/>
              </w:rPr>
              <w:t>Waist-Height Ratio</w:t>
            </w:r>
          </w:p>
        </w:tc>
        <w:tc>
          <w:tcPr>
            <w:tcW w:w="1486" w:type="dxa"/>
            <w:tcBorders>
              <w:top w:val="single" w:sz="0" w:space="0" w:color="D3D3D3"/>
              <w:left w:val="single" w:sz="0" w:space="0" w:color="D3D3D3"/>
              <w:bottom w:val="single" w:sz="0" w:space="0" w:color="D3D3D3"/>
              <w:right w:val="single" w:sz="0" w:space="0" w:color="D3D3D3"/>
            </w:tcBorders>
          </w:tcPr>
          <w:p w14:paraId="00C7F95B" w14:textId="156FCFFE" w:rsidR="00A156A9" w:rsidRPr="005B494D" w:rsidRDefault="00A156A9" w:rsidP="00A156A9">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12B5D760" w14:textId="13E6B9BA" w:rsidR="00A156A9" w:rsidRPr="005B494D" w:rsidRDefault="00A156A9" w:rsidP="00A156A9">
            <w:pPr>
              <w:keepNext/>
              <w:spacing w:after="60"/>
              <w:jc w:val="center"/>
            </w:pPr>
          </w:p>
        </w:tc>
        <w:tc>
          <w:tcPr>
            <w:tcW w:w="1844" w:type="dxa"/>
            <w:tcBorders>
              <w:top w:val="single" w:sz="0" w:space="0" w:color="D3D3D3"/>
              <w:left w:val="single" w:sz="0" w:space="0" w:color="D3D3D3"/>
              <w:bottom w:val="single" w:sz="0" w:space="0" w:color="D3D3D3"/>
              <w:right w:val="single" w:sz="0" w:space="0" w:color="D3D3D3"/>
            </w:tcBorders>
          </w:tcPr>
          <w:p w14:paraId="65144402" w14:textId="52A4B5FE" w:rsidR="00A156A9" w:rsidRPr="005B494D" w:rsidRDefault="00A156A9" w:rsidP="00A156A9">
            <w:pPr>
              <w:keepNext/>
              <w:spacing w:after="60"/>
              <w:jc w:val="center"/>
            </w:pPr>
          </w:p>
        </w:tc>
        <w:tc>
          <w:tcPr>
            <w:tcW w:w="861" w:type="dxa"/>
            <w:tcBorders>
              <w:top w:val="single" w:sz="0" w:space="0" w:color="D3D3D3"/>
              <w:left w:val="single" w:sz="0" w:space="0" w:color="D3D3D3"/>
              <w:bottom w:val="single" w:sz="0" w:space="0" w:color="D3D3D3"/>
              <w:right w:val="single" w:sz="0" w:space="0" w:color="D3D3D3"/>
            </w:tcBorders>
          </w:tcPr>
          <w:p w14:paraId="5581E6AA" w14:textId="5F1CFB27" w:rsidR="00A156A9" w:rsidRPr="005B494D" w:rsidRDefault="00A156A9" w:rsidP="00A156A9">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737AF97F" w14:textId="75DBFF80" w:rsidR="00A156A9" w:rsidRPr="005B494D" w:rsidRDefault="00A156A9" w:rsidP="00A156A9">
            <w:pPr>
              <w:keepNext/>
              <w:spacing w:after="60"/>
              <w:jc w:val="center"/>
              <w:rPr>
                <w:sz w:val="20"/>
              </w:rPr>
            </w:pPr>
            <w:r w:rsidRPr="005B494D">
              <w:rPr>
                <w:sz w:val="20"/>
              </w:rPr>
              <w:t>0.21</w:t>
            </w:r>
          </w:p>
        </w:tc>
      </w:tr>
      <w:tr w:rsidR="005B494D" w:rsidRPr="005B494D" w14:paraId="08B6B72F"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tcPr>
          <w:p w14:paraId="71C29632" w14:textId="13E5C6C4" w:rsidR="00A156A9" w:rsidRPr="005B494D" w:rsidRDefault="00A156A9" w:rsidP="00A156A9">
            <w:pPr>
              <w:keepNext/>
              <w:spacing w:after="60"/>
            </w:pPr>
            <w:r w:rsidRPr="005B494D">
              <w:rPr>
                <w:sz w:val="20"/>
              </w:rPr>
              <w:t>    0.4 to 0.49 (healthy)</w:t>
            </w:r>
          </w:p>
        </w:tc>
        <w:tc>
          <w:tcPr>
            <w:tcW w:w="1486" w:type="dxa"/>
            <w:tcBorders>
              <w:top w:val="single" w:sz="0" w:space="0" w:color="D3D3D3"/>
              <w:left w:val="single" w:sz="0" w:space="0" w:color="D3D3D3"/>
              <w:bottom w:val="single" w:sz="0" w:space="0" w:color="D3D3D3"/>
              <w:right w:val="single" w:sz="0" w:space="0" w:color="D3D3D3"/>
            </w:tcBorders>
          </w:tcPr>
          <w:p w14:paraId="5108FC24" w14:textId="71070B04" w:rsidR="00A156A9" w:rsidRPr="005B494D" w:rsidRDefault="00A156A9" w:rsidP="00A156A9">
            <w:pPr>
              <w:keepNext/>
              <w:spacing w:after="60"/>
              <w:jc w:val="center"/>
            </w:pPr>
            <w:r w:rsidRPr="005B494D">
              <w:rPr>
                <w:sz w:val="20"/>
              </w:rPr>
              <w:t>153,694 (31.1%)</w:t>
            </w:r>
          </w:p>
        </w:tc>
        <w:tc>
          <w:tcPr>
            <w:tcW w:w="1844" w:type="dxa"/>
            <w:tcBorders>
              <w:top w:val="single" w:sz="0" w:space="0" w:color="D3D3D3"/>
              <w:left w:val="single" w:sz="0" w:space="0" w:color="D3D3D3"/>
              <w:bottom w:val="single" w:sz="0" w:space="0" w:color="D3D3D3"/>
              <w:right w:val="single" w:sz="0" w:space="0" w:color="D3D3D3"/>
            </w:tcBorders>
          </w:tcPr>
          <w:p w14:paraId="60BDD435" w14:textId="363E9309" w:rsidR="00A156A9" w:rsidRPr="005B494D" w:rsidRDefault="00A156A9" w:rsidP="00A156A9">
            <w:pPr>
              <w:keepNext/>
              <w:spacing w:after="60"/>
              <w:jc w:val="center"/>
            </w:pPr>
            <w:r w:rsidRPr="005B494D">
              <w:rPr>
                <w:sz w:val="20"/>
              </w:rPr>
              <w:t>7,156 (23.6%)</w:t>
            </w:r>
          </w:p>
        </w:tc>
        <w:tc>
          <w:tcPr>
            <w:tcW w:w="1844" w:type="dxa"/>
            <w:tcBorders>
              <w:top w:val="single" w:sz="0" w:space="0" w:color="D3D3D3"/>
              <w:left w:val="single" w:sz="0" w:space="0" w:color="D3D3D3"/>
              <w:bottom w:val="single" w:sz="0" w:space="0" w:color="D3D3D3"/>
              <w:right w:val="single" w:sz="0" w:space="0" w:color="D3D3D3"/>
            </w:tcBorders>
          </w:tcPr>
          <w:p w14:paraId="6D82DB01" w14:textId="199BA068" w:rsidR="00A156A9" w:rsidRPr="005B494D" w:rsidRDefault="00A156A9" w:rsidP="00A156A9">
            <w:pPr>
              <w:keepNext/>
              <w:spacing w:after="60"/>
              <w:jc w:val="center"/>
            </w:pPr>
            <w:r w:rsidRPr="005B494D">
              <w:rPr>
                <w:sz w:val="20"/>
              </w:rPr>
              <w:t>146,538 (31.6%)</w:t>
            </w:r>
          </w:p>
        </w:tc>
        <w:tc>
          <w:tcPr>
            <w:tcW w:w="861" w:type="dxa"/>
            <w:tcBorders>
              <w:top w:val="single" w:sz="0" w:space="0" w:color="D3D3D3"/>
              <w:left w:val="single" w:sz="0" w:space="0" w:color="D3D3D3"/>
              <w:bottom w:val="single" w:sz="0" w:space="0" w:color="D3D3D3"/>
              <w:right w:val="single" w:sz="0" w:space="0" w:color="D3D3D3"/>
            </w:tcBorders>
          </w:tcPr>
          <w:p w14:paraId="5018A8D4" w14:textId="77777777" w:rsidR="00A156A9" w:rsidRPr="005B494D" w:rsidRDefault="00A156A9" w:rsidP="00A156A9">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5D11A368" w14:textId="77777777" w:rsidR="00A156A9" w:rsidRPr="005B494D" w:rsidRDefault="00A156A9" w:rsidP="00A156A9">
            <w:pPr>
              <w:keepNext/>
              <w:spacing w:after="60"/>
              <w:jc w:val="center"/>
              <w:rPr>
                <w:sz w:val="20"/>
              </w:rPr>
            </w:pPr>
          </w:p>
        </w:tc>
      </w:tr>
      <w:tr w:rsidR="005B494D" w:rsidRPr="005B494D" w14:paraId="01621154" w14:textId="77777777" w:rsidTr="00695857">
        <w:trPr>
          <w:cantSplit/>
        </w:trPr>
        <w:tc>
          <w:tcPr>
            <w:tcW w:w="3423" w:type="dxa"/>
            <w:tcBorders>
              <w:top w:val="single" w:sz="0" w:space="0" w:color="D3D3D3"/>
              <w:left w:val="single" w:sz="0" w:space="0" w:color="D3D3D3"/>
              <w:bottom w:val="single" w:sz="0" w:space="0" w:color="D3D3D3"/>
              <w:right w:val="single" w:sz="0" w:space="0" w:color="D3D3D3"/>
            </w:tcBorders>
          </w:tcPr>
          <w:p w14:paraId="649E36DA" w14:textId="197C3FF8" w:rsidR="00A156A9" w:rsidRPr="005B494D" w:rsidRDefault="00A156A9" w:rsidP="00A156A9">
            <w:pPr>
              <w:keepNext/>
              <w:spacing w:after="60"/>
            </w:pPr>
            <w:r w:rsidRPr="005B494D">
              <w:rPr>
                <w:sz w:val="20"/>
              </w:rPr>
              <w:t>    0.5 to 0.59 (increased risk)</w:t>
            </w:r>
          </w:p>
        </w:tc>
        <w:tc>
          <w:tcPr>
            <w:tcW w:w="1486" w:type="dxa"/>
            <w:tcBorders>
              <w:top w:val="single" w:sz="0" w:space="0" w:color="D3D3D3"/>
              <w:left w:val="single" w:sz="0" w:space="0" w:color="D3D3D3"/>
              <w:bottom w:val="single" w:sz="0" w:space="0" w:color="D3D3D3"/>
              <w:right w:val="single" w:sz="0" w:space="0" w:color="D3D3D3"/>
            </w:tcBorders>
          </w:tcPr>
          <w:p w14:paraId="24AB2C8D" w14:textId="07C5F7AD" w:rsidR="00A156A9" w:rsidRPr="005B494D" w:rsidRDefault="00A156A9" w:rsidP="00A156A9">
            <w:pPr>
              <w:keepNext/>
              <w:spacing w:after="60"/>
              <w:jc w:val="center"/>
            </w:pPr>
            <w:r w:rsidRPr="005B494D">
              <w:rPr>
                <w:sz w:val="20"/>
              </w:rPr>
              <w:t>240,422 (48.7%)</w:t>
            </w:r>
          </w:p>
        </w:tc>
        <w:tc>
          <w:tcPr>
            <w:tcW w:w="1844" w:type="dxa"/>
            <w:tcBorders>
              <w:top w:val="single" w:sz="0" w:space="0" w:color="D3D3D3"/>
              <w:left w:val="single" w:sz="0" w:space="0" w:color="D3D3D3"/>
              <w:bottom w:val="single" w:sz="0" w:space="0" w:color="D3D3D3"/>
              <w:right w:val="single" w:sz="0" w:space="0" w:color="D3D3D3"/>
            </w:tcBorders>
          </w:tcPr>
          <w:p w14:paraId="55D8F184" w14:textId="50BB6F2E" w:rsidR="00A156A9" w:rsidRPr="005B494D" w:rsidRDefault="00A156A9" w:rsidP="00A156A9">
            <w:pPr>
              <w:keepNext/>
              <w:spacing w:after="60"/>
              <w:jc w:val="center"/>
            </w:pPr>
            <w:r w:rsidRPr="005B494D">
              <w:rPr>
                <w:sz w:val="20"/>
              </w:rPr>
              <w:t>15,346 (50.7%)</w:t>
            </w:r>
          </w:p>
        </w:tc>
        <w:tc>
          <w:tcPr>
            <w:tcW w:w="1844" w:type="dxa"/>
            <w:tcBorders>
              <w:top w:val="single" w:sz="0" w:space="0" w:color="D3D3D3"/>
              <w:left w:val="single" w:sz="0" w:space="0" w:color="D3D3D3"/>
              <w:bottom w:val="single" w:sz="0" w:space="0" w:color="D3D3D3"/>
              <w:right w:val="single" w:sz="0" w:space="0" w:color="D3D3D3"/>
            </w:tcBorders>
          </w:tcPr>
          <w:p w14:paraId="7EB63C0D" w14:textId="41A5258C" w:rsidR="00A156A9" w:rsidRPr="005B494D" w:rsidRDefault="00A156A9" w:rsidP="00A156A9">
            <w:pPr>
              <w:keepNext/>
              <w:spacing w:after="60"/>
              <w:jc w:val="center"/>
            </w:pPr>
            <w:r w:rsidRPr="005B494D">
              <w:rPr>
                <w:sz w:val="20"/>
              </w:rPr>
              <w:t>225,076 (48.6%)</w:t>
            </w:r>
          </w:p>
        </w:tc>
        <w:tc>
          <w:tcPr>
            <w:tcW w:w="861" w:type="dxa"/>
            <w:tcBorders>
              <w:top w:val="single" w:sz="0" w:space="0" w:color="D3D3D3"/>
              <w:left w:val="single" w:sz="0" w:space="0" w:color="D3D3D3"/>
              <w:bottom w:val="single" w:sz="0" w:space="0" w:color="D3D3D3"/>
              <w:right w:val="single" w:sz="0" w:space="0" w:color="D3D3D3"/>
            </w:tcBorders>
          </w:tcPr>
          <w:p w14:paraId="302ABC87" w14:textId="77777777" w:rsidR="00A156A9" w:rsidRPr="005B494D" w:rsidRDefault="00A156A9" w:rsidP="00A156A9">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728F5FFB" w14:textId="77777777" w:rsidR="00A156A9" w:rsidRPr="005B494D" w:rsidRDefault="00A156A9" w:rsidP="00A156A9">
            <w:pPr>
              <w:keepNext/>
              <w:spacing w:after="60"/>
              <w:jc w:val="center"/>
              <w:rPr>
                <w:sz w:val="20"/>
              </w:rPr>
            </w:pPr>
          </w:p>
        </w:tc>
      </w:tr>
      <w:tr w:rsidR="005B494D" w:rsidRPr="005B494D" w14:paraId="7FD91BBB"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19CDEB1E" w14:textId="4EAED087" w:rsidR="00A156A9" w:rsidRPr="005B494D" w:rsidRDefault="00A156A9" w:rsidP="00A156A9">
            <w:pPr>
              <w:keepNext/>
              <w:spacing w:after="60"/>
              <w:rPr>
                <w:b/>
                <w:bCs/>
                <w:sz w:val="20"/>
              </w:rPr>
            </w:pPr>
            <w:r w:rsidRPr="005B494D">
              <w:rPr>
                <w:sz w:val="20"/>
              </w:rPr>
              <w:t>    ≥ 0.6 (high risk)</w:t>
            </w:r>
          </w:p>
        </w:tc>
        <w:tc>
          <w:tcPr>
            <w:tcW w:w="1486" w:type="dxa"/>
            <w:tcBorders>
              <w:top w:val="single" w:sz="0" w:space="0" w:color="D3D3D3"/>
              <w:left w:val="single" w:sz="0" w:space="0" w:color="D3D3D3"/>
              <w:bottom w:val="single" w:sz="0" w:space="0" w:color="D3D3D3"/>
              <w:right w:val="single" w:sz="0" w:space="0" w:color="D3D3D3"/>
            </w:tcBorders>
          </w:tcPr>
          <w:p w14:paraId="0BC1A250" w14:textId="0D3DFD34" w:rsidR="00A156A9" w:rsidRPr="005B494D" w:rsidRDefault="00A156A9" w:rsidP="00A156A9">
            <w:pPr>
              <w:keepNext/>
              <w:spacing w:after="60"/>
              <w:jc w:val="center"/>
              <w:rPr>
                <w:sz w:val="20"/>
              </w:rPr>
            </w:pPr>
            <w:r w:rsidRPr="005B494D">
              <w:rPr>
                <w:sz w:val="20"/>
              </w:rPr>
              <w:t>89,993 (18.2%)</w:t>
            </w:r>
          </w:p>
        </w:tc>
        <w:tc>
          <w:tcPr>
            <w:tcW w:w="1844" w:type="dxa"/>
            <w:tcBorders>
              <w:top w:val="single" w:sz="0" w:space="0" w:color="D3D3D3"/>
              <w:left w:val="single" w:sz="0" w:space="0" w:color="D3D3D3"/>
              <w:bottom w:val="single" w:sz="0" w:space="0" w:color="D3D3D3"/>
              <w:right w:val="single" w:sz="0" w:space="0" w:color="D3D3D3"/>
            </w:tcBorders>
          </w:tcPr>
          <w:p w14:paraId="1E7C8452" w14:textId="1E276FC3" w:rsidR="00A156A9" w:rsidRPr="005B494D" w:rsidRDefault="00A156A9" w:rsidP="00A156A9">
            <w:pPr>
              <w:keepNext/>
              <w:spacing w:after="60"/>
              <w:jc w:val="center"/>
              <w:rPr>
                <w:sz w:val="20"/>
              </w:rPr>
            </w:pPr>
            <w:r w:rsidRPr="005B494D">
              <w:rPr>
                <w:sz w:val="20"/>
              </w:rPr>
              <w:t>7,309 (24.1%)</w:t>
            </w:r>
          </w:p>
        </w:tc>
        <w:tc>
          <w:tcPr>
            <w:tcW w:w="1844" w:type="dxa"/>
            <w:tcBorders>
              <w:top w:val="single" w:sz="0" w:space="0" w:color="D3D3D3"/>
              <w:left w:val="single" w:sz="0" w:space="0" w:color="D3D3D3"/>
              <w:bottom w:val="single" w:sz="0" w:space="0" w:color="D3D3D3"/>
              <w:right w:val="single" w:sz="0" w:space="0" w:color="D3D3D3"/>
            </w:tcBorders>
          </w:tcPr>
          <w:p w14:paraId="29ED0C8A" w14:textId="69F74455" w:rsidR="00A156A9" w:rsidRPr="005B494D" w:rsidRDefault="00A156A9" w:rsidP="00A156A9">
            <w:pPr>
              <w:keepNext/>
              <w:spacing w:after="60"/>
              <w:jc w:val="center"/>
              <w:rPr>
                <w:sz w:val="20"/>
              </w:rPr>
            </w:pPr>
            <w:r w:rsidRPr="005B494D">
              <w:rPr>
                <w:sz w:val="20"/>
              </w:rPr>
              <w:t>82,684 (17.8%)</w:t>
            </w:r>
          </w:p>
        </w:tc>
        <w:tc>
          <w:tcPr>
            <w:tcW w:w="861" w:type="dxa"/>
            <w:tcBorders>
              <w:top w:val="single" w:sz="0" w:space="0" w:color="D3D3D3"/>
              <w:left w:val="single" w:sz="0" w:space="0" w:color="D3D3D3"/>
              <w:bottom w:val="single" w:sz="0" w:space="0" w:color="D3D3D3"/>
              <w:right w:val="single" w:sz="0" w:space="0" w:color="D3D3D3"/>
            </w:tcBorders>
          </w:tcPr>
          <w:p w14:paraId="0606E04E" w14:textId="77777777" w:rsidR="00A156A9" w:rsidRPr="005B494D" w:rsidRDefault="00A156A9" w:rsidP="00A156A9">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50D7BF77" w14:textId="77777777" w:rsidR="00A156A9" w:rsidRPr="005B494D" w:rsidRDefault="00A156A9" w:rsidP="00A156A9">
            <w:pPr>
              <w:keepNext/>
              <w:spacing w:after="60"/>
              <w:jc w:val="center"/>
              <w:rPr>
                <w:sz w:val="20"/>
              </w:rPr>
            </w:pPr>
          </w:p>
        </w:tc>
      </w:tr>
      <w:tr w:rsidR="005B494D" w:rsidRPr="005B494D" w14:paraId="35ED872C" w14:textId="77777777" w:rsidTr="00570304">
        <w:trPr>
          <w:cantSplit/>
        </w:trPr>
        <w:tc>
          <w:tcPr>
            <w:tcW w:w="3423" w:type="dxa"/>
            <w:tcBorders>
              <w:top w:val="single" w:sz="0" w:space="0" w:color="D3D3D3"/>
              <w:left w:val="single" w:sz="0" w:space="0" w:color="D3D3D3"/>
              <w:bottom w:val="single" w:sz="0" w:space="0" w:color="D3D3D3"/>
              <w:right w:val="single" w:sz="0" w:space="0" w:color="D3D3D3"/>
            </w:tcBorders>
          </w:tcPr>
          <w:p w14:paraId="797EB653" w14:textId="4E056F6F" w:rsidR="00A156A9" w:rsidRPr="005B494D" w:rsidRDefault="00A156A9" w:rsidP="00A156A9">
            <w:pPr>
              <w:keepNext/>
              <w:spacing w:after="60"/>
              <w:rPr>
                <w:sz w:val="20"/>
              </w:rPr>
            </w:pPr>
            <w:r w:rsidRPr="005B494D">
              <w:rPr>
                <w:sz w:val="20"/>
              </w:rPr>
              <w:t>    Missing</w:t>
            </w:r>
          </w:p>
        </w:tc>
        <w:tc>
          <w:tcPr>
            <w:tcW w:w="1486" w:type="dxa"/>
            <w:tcBorders>
              <w:top w:val="single" w:sz="0" w:space="0" w:color="D3D3D3"/>
              <w:left w:val="single" w:sz="0" w:space="0" w:color="D3D3D3"/>
              <w:bottom w:val="single" w:sz="0" w:space="0" w:color="D3D3D3"/>
              <w:right w:val="single" w:sz="0" w:space="0" w:color="D3D3D3"/>
            </w:tcBorders>
          </w:tcPr>
          <w:p w14:paraId="0D2586A4" w14:textId="4190C725" w:rsidR="00A156A9" w:rsidRPr="005B494D" w:rsidRDefault="00A156A9" w:rsidP="00A156A9">
            <w:pPr>
              <w:keepNext/>
              <w:spacing w:after="60"/>
              <w:jc w:val="center"/>
              <w:rPr>
                <w:sz w:val="20"/>
              </w:rPr>
            </w:pPr>
            <w:r w:rsidRPr="005B494D">
              <w:rPr>
                <w:sz w:val="20"/>
              </w:rPr>
              <w:t>9,535 (1.9%)</w:t>
            </w:r>
          </w:p>
        </w:tc>
        <w:tc>
          <w:tcPr>
            <w:tcW w:w="1844" w:type="dxa"/>
            <w:tcBorders>
              <w:top w:val="single" w:sz="0" w:space="0" w:color="D3D3D3"/>
              <w:left w:val="single" w:sz="0" w:space="0" w:color="D3D3D3"/>
              <w:bottom w:val="single" w:sz="0" w:space="0" w:color="D3D3D3"/>
              <w:right w:val="single" w:sz="0" w:space="0" w:color="D3D3D3"/>
            </w:tcBorders>
          </w:tcPr>
          <w:p w14:paraId="73AAF80C" w14:textId="6A34BDC4" w:rsidR="00A156A9" w:rsidRPr="005B494D" w:rsidRDefault="00A156A9" w:rsidP="00A156A9">
            <w:pPr>
              <w:keepNext/>
              <w:spacing w:after="60"/>
              <w:jc w:val="center"/>
              <w:rPr>
                <w:sz w:val="20"/>
              </w:rPr>
            </w:pPr>
            <w:r w:rsidRPr="005B494D">
              <w:rPr>
                <w:sz w:val="20"/>
              </w:rPr>
              <w:t>459 (1.5%)</w:t>
            </w:r>
          </w:p>
        </w:tc>
        <w:tc>
          <w:tcPr>
            <w:tcW w:w="1844" w:type="dxa"/>
            <w:tcBorders>
              <w:top w:val="single" w:sz="0" w:space="0" w:color="D3D3D3"/>
              <w:left w:val="single" w:sz="0" w:space="0" w:color="D3D3D3"/>
              <w:bottom w:val="single" w:sz="0" w:space="0" w:color="D3D3D3"/>
              <w:right w:val="single" w:sz="0" w:space="0" w:color="D3D3D3"/>
            </w:tcBorders>
          </w:tcPr>
          <w:p w14:paraId="00FAE697" w14:textId="0460F48E" w:rsidR="00A156A9" w:rsidRPr="005B494D" w:rsidRDefault="00A156A9" w:rsidP="00A156A9">
            <w:pPr>
              <w:keepNext/>
              <w:spacing w:after="60"/>
              <w:jc w:val="center"/>
              <w:rPr>
                <w:sz w:val="20"/>
              </w:rPr>
            </w:pPr>
            <w:r w:rsidRPr="005B494D">
              <w:rPr>
                <w:sz w:val="20"/>
              </w:rPr>
              <w:t>9,076 (2.0%)</w:t>
            </w:r>
          </w:p>
        </w:tc>
        <w:tc>
          <w:tcPr>
            <w:tcW w:w="861" w:type="dxa"/>
            <w:tcBorders>
              <w:top w:val="single" w:sz="0" w:space="0" w:color="D3D3D3"/>
              <w:left w:val="single" w:sz="0" w:space="0" w:color="D3D3D3"/>
              <w:bottom w:val="single" w:sz="0" w:space="0" w:color="D3D3D3"/>
              <w:right w:val="single" w:sz="0" w:space="0" w:color="D3D3D3"/>
            </w:tcBorders>
          </w:tcPr>
          <w:p w14:paraId="346CD6A5" w14:textId="77777777" w:rsidR="00A156A9" w:rsidRPr="005B494D" w:rsidRDefault="00A156A9" w:rsidP="00A156A9">
            <w:pPr>
              <w:keepNext/>
              <w:spacing w:after="60"/>
              <w:jc w:val="center"/>
              <w:rPr>
                <w:sz w:val="20"/>
              </w:rPr>
            </w:pPr>
          </w:p>
        </w:tc>
        <w:tc>
          <w:tcPr>
            <w:tcW w:w="634" w:type="dxa"/>
            <w:tcBorders>
              <w:top w:val="single" w:sz="0" w:space="0" w:color="D3D3D3"/>
              <w:left w:val="single" w:sz="0" w:space="0" w:color="D3D3D3"/>
              <w:bottom w:val="single" w:sz="0" w:space="0" w:color="D3D3D3"/>
              <w:right w:val="single" w:sz="0" w:space="0" w:color="D3D3D3"/>
            </w:tcBorders>
          </w:tcPr>
          <w:p w14:paraId="4E733CBA" w14:textId="77777777" w:rsidR="00A156A9" w:rsidRPr="005B494D" w:rsidRDefault="00A156A9" w:rsidP="00A156A9">
            <w:pPr>
              <w:keepNext/>
              <w:spacing w:after="60"/>
              <w:jc w:val="center"/>
              <w:rPr>
                <w:sz w:val="20"/>
              </w:rPr>
            </w:pPr>
          </w:p>
        </w:tc>
      </w:tr>
      <w:tr w:rsidR="005B494D" w:rsidRPr="005B494D" w14:paraId="1A7EE8FE" w14:textId="77777777" w:rsidTr="00B34BD7">
        <w:trPr>
          <w:cantSplit/>
        </w:trPr>
        <w:tc>
          <w:tcPr>
            <w:tcW w:w="8597" w:type="dxa"/>
            <w:gridSpan w:val="4"/>
            <w:tcBorders>
              <w:top w:val="single" w:sz="0" w:space="0" w:color="D3D3D3"/>
              <w:left w:val="single" w:sz="0" w:space="0" w:color="D3D3D3"/>
              <w:bottom w:val="single" w:sz="0" w:space="0" w:color="D3D3D3"/>
              <w:right w:val="single" w:sz="0" w:space="0" w:color="D3D3D3"/>
            </w:tcBorders>
          </w:tcPr>
          <w:p w14:paraId="6DC4F5E7" w14:textId="77777777" w:rsidR="00A156A9" w:rsidRPr="005B494D" w:rsidRDefault="00A156A9" w:rsidP="00A156A9">
            <w:pPr>
              <w:keepNext/>
              <w:spacing w:after="60"/>
              <w:jc w:val="both"/>
              <w:rPr>
                <w:sz w:val="20"/>
              </w:rPr>
            </w:pPr>
            <w:r w:rsidRPr="005B494D">
              <w:rPr>
                <w:b/>
                <w:bCs/>
                <w:sz w:val="20"/>
              </w:rPr>
              <w:t xml:space="preserve">Cognitive Function </w:t>
            </w:r>
            <w:r w:rsidRPr="005B494D">
              <w:rPr>
                <w:sz w:val="20"/>
              </w:rPr>
              <w:t>(High-frequency meat consumption/Total)</w:t>
            </w:r>
          </w:p>
        </w:tc>
        <w:tc>
          <w:tcPr>
            <w:tcW w:w="861" w:type="dxa"/>
            <w:tcBorders>
              <w:top w:val="single" w:sz="0" w:space="0" w:color="D3D3D3"/>
              <w:left w:val="single" w:sz="0" w:space="0" w:color="D3D3D3"/>
              <w:bottom w:val="single" w:sz="0" w:space="0" w:color="D3D3D3"/>
              <w:right w:val="single" w:sz="0" w:space="0" w:color="D3D3D3"/>
            </w:tcBorders>
          </w:tcPr>
          <w:p w14:paraId="381A9B13" w14:textId="77777777" w:rsidR="00A156A9" w:rsidRPr="005B494D" w:rsidRDefault="00A156A9" w:rsidP="00A156A9">
            <w:pPr>
              <w:keepNext/>
              <w:spacing w:after="60"/>
              <w:jc w:val="center"/>
              <w:rPr>
                <w:b/>
                <w:bCs/>
                <w:sz w:val="20"/>
              </w:rPr>
            </w:pPr>
          </w:p>
        </w:tc>
        <w:tc>
          <w:tcPr>
            <w:tcW w:w="634" w:type="dxa"/>
            <w:tcBorders>
              <w:top w:val="single" w:sz="0" w:space="0" w:color="D3D3D3"/>
              <w:left w:val="single" w:sz="0" w:space="0" w:color="D3D3D3"/>
              <w:bottom w:val="single" w:sz="0" w:space="0" w:color="D3D3D3"/>
              <w:right w:val="single" w:sz="0" w:space="0" w:color="D3D3D3"/>
            </w:tcBorders>
          </w:tcPr>
          <w:p w14:paraId="6FBC00FD" w14:textId="77777777" w:rsidR="00A156A9" w:rsidRPr="005B494D" w:rsidRDefault="00A156A9" w:rsidP="00A156A9">
            <w:pPr>
              <w:keepNext/>
              <w:spacing w:after="60"/>
              <w:jc w:val="both"/>
              <w:rPr>
                <w:b/>
                <w:bCs/>
                <w:sz w:val="20"/>
              </w:rPr>
            </w:pPr>
          </w:p>
        </w:tc>
      </w:tr>
      <w:tr w:rsidR="005B494D" w:rsidRPr="005B494D" w14:paraId="7E3012CE"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11BD0E26" w14:textId="77777777" w:rsidR="00A156A9" w:rsidRPr="005B494D" w:rsidRDefault="00A156A9" w:rsidP="00A156A9">
            <w:pPr>
              <w:keepNext/>
              <w:spacing w:after="60"/>
              <w:rPr>
                <w:sz w:val="20"/>
              </w:rPr>
            </w:pPr>
            <w:r w:rsidRPr="005B494D">
              <w:rPr>
                <w:sz w:val="20"/>
              </w:rPr>
              <w:t>Reaction Time (29,783/489,179)</w:t>
            </w:r>
          </w:p>
        </w:tc>
        <w:tc>
          <w:tcPr>
            <w:tcW w:w="1486" w:type="dxa"/>
            <w:tcBorders>
              <w:top w:val="single" w:sz="0" w:space="0" w:color="D3D3D3"/>
              <w:left w:val="single" w:sz="0" w:space="0" w:color="D3D3D3"/>
              <w:bottom w:val="single" w:sz="0" w:space="0" w:color="D3D3D3"/>
              <w:right w:val="single" w:sz="0" w:space="0" w:color="D3D3D3"/>
            </w:tcBorders>
          </w:tcPr>
          <w:p w14:paraId="1CD49249" w14:textId="77777777" w:rsidR="00A156A9" w:rsidRPr="005B494D" w:rsidRDefault="00A156A9" w:rsidP="00A156A9">
            <w:pPr>
              <w:keepNext/>
              <w:spacing w:after="60"/>
              <w:jc w:val="center"/>
              <w:rPr>
                <w:sz w:val="20"/>
              </w:rPr>
            </w:pPr>
            <w:r w:rsidRPr="005B494D">
              <w:rPr>
                <w:sz w:val="20"/>
              </w:rPr>
              <w:t>558.9 ± 117.0</w:t>
            </w:r>
          </w:p>
        </w:tc>
        <w:tc>
          <w:tcPr>
            <w:tcW w:w="1844" w:type="dxa"/>
            <w:tcBorders>
              <w:top w:val="single" w:sz="0" w:space="0" w:color="D3D3D3"/>
              <w:left w:val="single" w:sz="0" w:space="0" w:color="D3D3D3"/>
              <w:bottom w:val="single" w:sz="0" w:space="0" w:color="D3D3D3"/>
              <w:right w:val="single" w:sz="0" w:space="0" w:color="D3D3D3"/>
            </w:tcBorders>
          </w:tcPr>
          <w:p w14:paraId="21FCC321" w14:textId="77777777" w:rsidR="00A156A9" w:rsidRPr="005B494D" w:rsidRDefault="00A156A9" w:rsidP="00A156A9">
            <w:pPr>
              <w:keepNext/>
              <w:spacing w:after="60"/>
              <w:jc w:val="center"/>
              <w:rPr>
                <w:sz w:val="20"/>
              </w:rPr>
            </w:pPr>
            <w:r w:rsidRPr="005B494D">
              <w:rPr>
                <w:sz w:val="20"/>
              </w:rPr>
              <w:t>558.7 ± 126.5</w:t>
            </w:r>
          </w:p>
        </w:tc>
        <w:tc>
          <w:tcPr>
            <w:tcW w:w="1844" w:type="dxa"/>
            <w:tcBorders>
              <w:top w:val="single" w:sz="0" w:space="0" w:color="D3D3D3"/>
              <w:left w:val="single" w:sz="0" w:space="0" w:color="D3D3D3"/>
              <w:bottom w:val="single" w:sz="0" w:space="0" w:color="D3D3D3"/>
              <w:right w:val="single" w:sz="0" w:space="0" w:color="D3D3D3"/>
            </w:tcBorders>
          </w:tcPr>
          <w:p w14:paraId="78D67CD6" w14:textId="77777777" w:rsidR="00A156A9" w:rsidRPr="005B494D" w:rsidRDefault="00A156A9" w:rsidP="00A156A9">
            <w:pPr>
              <w:keepNext/>
              <w:spacing w:after="60"/>
              <w:jc w:val="center"/>
              <w:rPr>
                <w:sz w:val="20"/>
              </w:rPr>
            </w:pPr>
            <w:r w:rsidRPr="005B494D">
              <w:rPr>
                <w:sz w:val="20"/>
              </w:rPr>
              <w:t>558.9 ± 116.3</w:t>
            </w:r>
          </w:p>
        </w:tc>
        <w:tc>
          <w:tcPr>
            <w:tcW w:w="861" w:type="dxa"/>
            <w:tcBorders>
              <w:top w:val="single" w:sz="0" w:space="0" w:color="D3D3D3"/>
              <w:left w:val="single" w:sz="0" w:space="0" w:color="D3D3D3"/>
              <w:bottom w:val="single" w:sz="0" w:space="0" w:color="D3D3D3"/>
              <w:right w:val="single" w:sz="0" w:space="0" w:color="D3D3D3"/>
            </w:tcBorders>
          </w:tcPr>
          <w:p w14:paraId="57801241" w14:textId="77777777" w:rsidR="00A156A9" w:rsidRPr="005B494D" w:rsidRDefault="00A156A9" w:rsidP="00A156A9">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674932D5" w14:textId="510A2C23" w:rsidR="00A156A9" w:rsidRPr="005B494D" w:rsidRDefault="00A156A9" w:rsidP="00A156A9">
            <w:pPr>
              <w:keepNext/>
              <w:spacing w:after="60"/>
              <w:jc w:val="center"/>
              <w:rPr>
                <w:sz w:val="20"/>
              </w:rPr>
            </w:pPr>
            <w:r w:rsidRPr="005B494D">
              <w:rPr>
                <w:sz w:val="20"/>
              </w:rPr>
              <w:t>0.0</w:t>
            </w:r>
            <w:r w:rsidR="009839A1" w:rsidRPr="005B494D">
              <w:rPr>
                <w:sz w:val="20"/>
              </w:rPr>
              <w:t>0</w:t>
            </w:r>
            <w:r w:rsidRPr="005B494D">
              <w:rPr>
                <w:sz w:val="20"/>
              </w:rPr>
              <w:t>1</w:t>
            </w:r>
          </w:p>
        </w:tc>
      </w:tr>
      <w:tr w:rsidR="005B494D" w:rsidRPr="005B494D" w14:paraId="2132F220"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154E6B97" w14:textId="77777777" w:rsidR="00A156A9" w:rsidRPr="005B494D" w:rsidRDefault="00A156A9" w:rsidP="00A156A9">
            <w:pPr>
              <w:keepNext/>
              <w:spacing w:after="60"/>
              <w:rPr>
                <w:sz w:val="20"/>
              </w:rPr>
            </w:pPr>
            <w:r w:rsidRPr="005B494D">
              <w:rPr>
                <w:sz w:val="20"/>
              </w:rPr>
              <w:t>Numeric Memory (3,162/50,933)</w:t>
            </w:r>
          </w:p>
        </w:tc>
        <w:tc>
          <w:tcPr>
            <w:tcW w:w="1486" w:type="dxa"/>
            <w:tcBorders>
              <w:top w:val="single" w:sz="0" w:space="0" w:color="D3D3D3"/>
              <w:left w:val="single" w:sz="0" w:space="0" w:color="D3D3D3"/>
              <w:bottom w:val="single" w:sz="0" w:space="0" w:color="D3D3D3"/>
              <w:right w:val="single" w:sz="0" w:space="0" w:color="D3D3D3"/>
            </w:tcBorders>
          </w:tcPr>
          <w:p w14:paraId="7C8231FB" w14:textId="77777777" w:rsidR="00A156A9" w:rsidRPr="005B494D" w:rsidRDefault="00A156A9" w:rsidP="00A156A9">
            <w:pPr>
              <w:keepNext/>
              <w:spacing w:after="60"/>
              <w:jc w:val="center"/>
              <w:rPr>
                <w:sz w:val="20"/>
              </w:rPr>
            </w:pPr>
            <w:r w:rsidRPr="005B494D">
              <w:rPr>
                <w:sz w:val="20"/>
              </w:rPr>
              <w:t>8.13 ± 1.68</w:t>
            </w:r>
          </w:p>
        </w:tc>
        <w:tc>
          <w:tcPr>
            <w:tcW w:w="1844" w:type="dxa"/>
            <w:tcBorders>
              <w:top w:val="single" w:sz="0" w:space="0" w:color="D3D3D3"/>
              <w:left w:val="single" w:sz="0" w:space="0" w:color="D3D3D3"/>
              <w:bottom w:val="single" w:sz="0" w:space="0" w:color="D3D3D3"/>
              <w:right w:val="single" w:sz="0" w:space="0" w:color="D3D3D3"/>
            </w:tcBorders>
          </w:tcPr>
          <w:p w14:paraId="29C457E1" w14:textId="77777777" w:rsidR="00A156A9" w:rsidRPr="005B494D" w:rsidRDefault="00A156A9" w:rsidP="00A156A9">
            <w:pPr>
              <w:keepNext/>
              <w:spacing w:after="60"/>
              <w:jc w:val="center"/>
              <w:rPr>
                <w:sz w:val="20"/>
              </w:rPr>
            </w:pPr>
            <w:r w:rsidRPr="005B494D">
              <w:rPr>
                <w:sz w:val="20"/>
              </w:rPr>
              <w:t>8.08 ± 1.78</w:t>
            </w:r>
          </w:p>
        </w:tc>
        <w:tc>
          <w:tcPr>
            <w:tcW w:w="1844" w:type="dxa"/>
            <w:tcBorders>
              <w:top w:val="single" w:sz="0" w:space="0" w:color="D3D3D3"/>
              <w:left w:val="single" w:sz="0" w:space="0" w:color="D3D3D3"/>
              <w:bottom w:val="single" w:sz="0" w:space="0" w:color="D3D3D3"/>
              <w:right w:val="single" w:sz="0" w:space="0" w:color="D3D3D3"/>
            </w:tcBorders>
          </w:tcPr>
          <w:p w14:paraId="6C6C2994" w14:textId="77777777" w:rsidR="00A156A9" w:rsidRPr="005B494D" w:rsidRDefault="00A156A9" w:rsidP="00A156A9">
            <w:pPr>
              <w:keepNext/>
              <w:spacing w:after="60"/>
              <w:jc w:val="center"/>
              <w:rPr>
                <w:sz w:val="20"/>
              </w:rPr>
            </w:pPr>
            <w:r w:rsidRPr="005B494D">
              <w:rPr>
                <w:sz w:val="20"/>
              </w:rPr>
              <w:t>8.13 ± 1.68</w:t>
            </w:r>
          </w:p>
        </w:tc>
        <w:tc>
          <w:tcPr>
            <w:tcW w:w="861" w:type="dxa"/>
            <w:tcBorders>
              <w:top w:val="single" w:sz="0" w:space="0" w:color="D3D3D3"/>
              <w:left w:val="single" w:sz="0" w:space="0" w:color="D3D3D3"/>
              <w:bottom w:val="single" w:sz="0" w:space="0" w:color="D3D3D3"/>
              <w:right w:val="single" w:sz="0" w:space="0" w:color="D3D3D3"/>
            </w:tcBorders>
          </w:tcPr>
          <w:p w14:paraId="0C84009D" w14:textId="77777777" w:rsidR="00A156A9" w:rsidRPr="005B494D" w:rsidRDefault="00A156A9" w:rsidP="00A156A9">
            <w:pPr>
              <w:keepNext/>
              <w:spacing w:after="60"/>
              <w:jc w:val="center"/>
              <w:rPr>
                <w:sz w:val="20"/>
              </w:rPr>
            </w:pPr>
            <w:r w:rsidRPr="005B494D">
              <w:rPr>
                <w:sz w:val="20"/>
              </w:rPr>
              <w:t>0.08</w:t>
            </w:r>
          </w:p>
        </w:tc>
        <w:tc>
          <w:tcPr>
            <w:tcW w:w="634" w:type="dxa"/>
            <w:tcBorders>
              <w:top w:val="single" w:sz="0" w:space="0" w:color="D3D3D3"/>
              <w:left w:val="single" w:sz="0" w:space="0" w:color="D3D3D3"/>
              <w:bottom w:val="single" w:sz="0" w:space="0" w:color="D3D3D3"/>
              <w:right w:val="single" w:sz="0" w:space="0" w:color="D3D3D3"/>
            </w:tcBorders>
          </w:tcPr>
          <w:p w14:paraId="3F18459A" w14:textId="77777777" w:rsidR="00A156A9" w:rsidRPr="005B494D" w:rsidRDefault="00A156A9" w:rsidP="00A156A9">
            <w:pPr>
              <w:keepNext/>
              <w:spacing w:after="60"/>
              <w:jc w:val="center"/>
              <w:rPr>
                <w:sz w:val="20"/>
              </w:rPr>
            </w:pPr>
            <w:r w:rsidRPr="005B494D">
              <w:rPr>
                <w:sz w:val="20"/>
              </w:rPr>
              <w:t>0.03</w:t>
            </w:r>
          </w:p>
        </w:tc>
      </w:tr>
      <w:tr w:rsidR="005B494D" w:rsidRPr="005B494D" w14:paraId="57E8D2D6" w14:textId="77777777" w:rsidTr="00B34BD7">
        <w:trPr>
          <w:cantSplit/>
        </w:trPr>
        <w:tc>
          <w:tcPr>
            <w:tcW w:w="3423" w:type="dxa"/>
            <w:tcBorders>
              <w:top w:val="single" w:sz="0" w:space="0" w:color="D3D3D3"/>
              <w:left w:val="single" w:sz="0" w:space="0" w:color="D3D3D3"/>
              <w:bottom w:val="single" w:sz="0" w:space="0" w:color="D3D3D3"/>
              <w:right w:val="single" w:sz="0" w:space="0" w:color="D3D3D3"/>
            </w:tcBorders>
          </w:tcPr>
          <w:p w14:paraId="3A7F6C8C" w14:textId="77777777" w:rsidR="00A156A9" w:rsidRPr="005B494D" w:rsidRDefault="00A156A9" w:rsidP="00A156A9">
            <w:pPr>
              <w:keepNext/>
              <w:spacing w:after="60"/>
              <w:rPr>
                <w:sz w:val="20"/>
              </w:rPr>
            </w:pPr>
            <w:r w:rsidRPr="005B494D">
              <w:rPr>
                <w:sz w:val="20"/>
              </w:rPr>
              <w:t>Fluid Intelligence (10,329/163,391)</w:t>
            </w:r>
          </w:p>
        </w:tc>
        <w:tc>
          <w:tcPr>
            <w:tcW w:w="1486" w:type="dxa"/>
            <w:tcBorders>
              <w:top w:val="single" w:sz="0" w:space="0" w:color="D3D3D3"/>
              <w:left w:val="single" w:sz="0" w:space="0" w:color="D3D3D3"/>
              <w:bottom w:val="single" w:sz="0" w:space="0" w:color="D3D3D3"/>
              <w:right w:val="single" w:sz="0" w:space="0" w:color="D3D3D3"/>
            </w:tcBorders>
          </w:tcPr>
          <w:p w14:paraId="4574162B" w14:textId="77777777" w:rsidR="00A156A9" w:rsidRPr="005B494D" w:rsidRDefault="00A156A9" w:rsidP="00A156A9">
            <w:pPr>
              <w:keepNext/>
              <w:spacing w:after="60"/>
              <w:jc w:val="center"/>
              <w:rPr>
                <w:sz w:val="20"/>
              </w:rPr>
            </w:pPr>
            <w:r w:rsidRPr="005B494D">
              <w:rPr>
                <w:sz w:val="20"/>
              </w:rPr>
              <w:t>5.42 ± 2.02</w:t>
            </w:r>
          </w:p>
        </w:tc>
        <w:tc>
          <w:tcPr>
            <w:tcW w:w="1844" w:type="dxa"/>
            <w:tcBorders>
              <w:top w:val="single" w:sz="0" w:space="0" w:color="D3D3D3"/>
              <w:left w:val="single" w:sz="0" w:space="0" w:color="D3D3D3"/>
              <w:bottom w:val="single" w:sz="0" w:space="0" w:color="D3D3D3"/>
              <w:right w:val="single" w:sz="0" w:space="0" w:color="D3D3D3"/>
            </w:tcBorders>
          </w:tcPr>
          <w:p w14:paraId="11834B43" w14:textId="77777777" w:rsidR="00A156A9" w:rsidRPr="005B494D" w:rsidRDefault="00A156A9" w:rsidP="00A156A9">
            <w:pPr>
              <w:keepNext/>
              <w:spacing w:after="60"/>
              <w:jc w:val="center"/>
              <w:rPr>
                <w:sz w:val="20"/>
              </w:rPr>
            </w:pPr>
            <w:r w:rsidRPr="005B494D">
              <w:rPr>
                <w:sz w:val="20"/>
              </w:rPr>
              <w:t>5.31 ± 2.12</w:t>
            </w:r>
          </w:p>
        </w:tc>
        <w:tc>
          <w:tcPr>
            <w:tcW w:w="1844" w:type="dxa"/>
            <w:tcBorders>
              <w:top w:val="single" w:sz="0" w:space="0" w:color="D3D3D3"/>
              <w:left w:val="single" w:sz="0" w:space="0" w:color="D3D3D3"/>
              <w:bottom w:val="single" w:sz="0" w:space="0" w:color="D3D3D3"/>
              <w:right w:val="single" w:sz="0" w:space="0" w:color="D3D3D3"/>
            </w:tcBorders>
          </w:tcPr>
          <w:p w14:paraId="74EB026F" w14:textId="77777777" w:rsidR="00A156A9" w:rsidRPr="005B494D" w:rsidRDefault="00A156A9" w:rsidP="00A156A9">
            <w:pPr>
              <w:keepNext/>
              <w:spacing w:after="60"/>
              <w:jc w:val="center"/>
              <w:rPr>
                <w:sz w:val="20"/>
              </w:rPr>
            </w:pPr>
            <w:r w:rsidRPr="005B494D">
              <w:rPr>
                <w:sz w:val="20"/>
              </w:rPr>
              <w:t>5.42 ± 2.02</w:t>
            </w:r>
          </w:p>
        </w:tc>
        <w:tc>
          <w:tcPr>
            <w:tcW w:w="861" w:type="dxa"/>
            <w:tcBorders>
              <w:top w:val="single" w:sz="0" w:space="0" w:color="D3D3D3"/>
              <w:left w:val="single" w:sz="0" w:space="0" w:color="D3D3D3"/>
              <w:bottom w:val="single" w:sz="0" w:space="0" w:color="D3D3D3"/>
              <w:right w:val="single" w:sz="0" w:space="0" w:color="D3D3D3"/>
            </w:tcBorders>
          </w:tcPr>
          <w:p w14:paraId="76C945E5" w14:textId="77777777" w:rsidR="00A156A9" w:rsidRPr="005B494D" w:rsidRDefault="00A156A9" w:rsidP="00A156A9">
            <w:pPr>
              <w:keepNext/>
              <w:spacing w:after="60"/>
              <w:jc w:val="center"/>
              <w:rPr>
                <w:sz w:val="20"/>
              </w:rPr>
            </w:pPr>
            <w:r w:rsidRPr="005B494D">
              <w:rPr>
                <w:sz w:val="20"/>
              </w:rPr>
              <w:t>&lt; 0.001</w:t>
            </w:r>
          </w:p>
        </w:tc>
        <w:tc>
          <w:tcPr>
            <w:tcW w:w="634" w:type="dxa"/>
            <w:tcBorders>
              <w:top w:val="single" w:sz="0" w:space="0" w:color="D3D3D3"/>
              <w:left w:val="single" w:sz="0" w:space="0" w:color="D3D3D3"/>
              <w:bottom w:val="single" w:sz="0" w:space="0" w:color="D3D3D3"/>
              <w:right w:val="single" w:sz="0" w:space="0" w:color="D3D3D3"/>
            </w:tcBorders>
          </w:tcPr>
          <w:p w14:paraId="228B5FD9" w14:textId="77777777" w:rsidR="00A156A9" w:rsidRPr="005B494D" w:rsidRDefault="00A156A9" w:rsidP="00A156A9">
            <w:pPr>
              <w:keepNext/>
              <w:spacing w:after="60"/>
              <w:jc w:val="center"/>
              <w:rPr>
                <w:sz w:val="20"/>
              </w:rPr>
            </w:pPr>
            <w:r w:rsidRPr="005B494D">
              <w:rPr>
                <w:sz w:val="20"/>
              </w:rPr>
              <w:t>0.06</w:t>
            </w:r>
          </w:p>
        </w:tc>
      </w:tr>
      <w:tr w:rsidR="005B494D" w:rsidRPr="005B494D" w14:paraId="153C4A77" w14:textId="77777777" w:rsidTr="00B003E3">
        <w:trPr>
          <w:cantSplit/>
        </w:trPr>
        <w:tc>
          <w:tcPr>
            <w:tcW w:w="10092" w:type="dxa"/>
            <w:gridSpan w:val="6"/>
          </w:tcPr>
          <w:p w14:paraId="608FE162" w14:textId="77777777" w:rsidR="00EC0CB8" w:rsidRPr="005B494D" w:rsidRDefault="00EC0CB8" w:rsidP="00A156A9">
            <w:pPr>
              <w:pStyle w:val="BodyText"/>
              <w:snapToGrid w:val="0"/>
              <w:spacing w:before="0" w:after="0"/>
              <w:rPr>
                <w:rFonts w:ascii="Times New Roman" w:hAnsi="Times New Roman" w:cs="Times New Roman"/>
                <w:sz w:val="20"/>
              </w:rPr>
            </w:pPr>
            <w:r w:rsidRPr="005B494D">
              <w:rPr>
                <w:rFonts w:ascii="Times New Roman" w:hAnsi="Times New Roman" w:cs="Times New Roman"/>
                <w:position w:val="6"/>
                <w:sz w:val="20"/>
                <w:szCs w:val="20"/>
              </w:rPr>
              <w:t xml:space="preserve">1 </w:t>
            </w:r>
            <w:r w:rsidRPr="005B494D">
              <w:rPr>
                <w:rFonts w:ascii="Times New Roman" w:hAnsi="Times New Roman" w:cs="Times New Roman"/>
                <w:sz w:val="20"/>
              </w:rPr>
              <w:t>Mean ± SD; n (%)</w:t>
            </w:r>
          </w:p>
          <w:p w14:paraId="0AC64791" w14:textId="6F9AE38A" w:rsidR="00EC0CB8" w:rsidRPr="005B494D" w:rsidRDefault="00EC0CB8" w:rsidP="00A156A9">
            <w:pPr>
              <w:pStyle w:val="NormalWeb"/>
              <w:snapToGrid w:val="0"/>
              <w:spacing w:before="0" w:beforeAutospacing="0" w:after="0" w:afterAutospacing="0"/>
              <w:rPr>
                <w:sz w:val="20"/>
                <w:szCs w:val="20"/>
              </w:rPr>
            </w:pPr>
            <w:r w:rsidRPr="005B494D">
              <w:rPr>
                <w:position w:val="6"/>
                <w:sz w:val="20"/>
                <w:szCs w:val="20"/>
              </w:rPr>
              <w:t xml:space="preserve">2 </w:t>
            </w:r>
            <w:r w:rsidRPr="005B494D">
              <w:rPr>
                <w:i/>
                <w:iCs/>
                <w:sz w:val="20"/>
                <w:szCs w:val="20"/>
              </w:rPr>
              <w:t xml:space="preserve">P </w:t>
            </w:r>
            <w:r w:rsidRPr="005B494D">
              <w:rPr>
                <w:sz w:val="20"/>
                <w:szCs w:val="20"/>
              </w:rPr>
              <w:t>values from t-test</w:t>
            </w:r>
            <w:r w:rsidR="00C00E99">
              <w:rPr>
                <w:sz w:val="20"/>
                <w:szCs w:val="20"/>
              </w:rPr>
              <w:t>s</w:t>
            </w:r>
            <w:r w:rsidRPr="005B494D">
              <w:rPr>
                <w:sz w:val="20"/>
                <w:szCs w:val="20"/>
              </w:rPr>
              <w:t xml:space="preserve"> for continuous variables with </w:t>
            </w:r>
            <w:r w:rsidR="00F941DB">
              <w:rPr>
                <w:sz w:val="20"/>
                <w:szCs w:val="20"/>
              </w:rPr>
              <w:t xml:space="preserve">a </w:t>
            </w:r>
            <w:r w:rsidRPr="005B494D">
              <w:rPr>
                <w:sz w:val="20"/>
                <w:szCs w:val="20"/>
              </w:rPr>
              <w:t xml:space="preserve">normal distribution, Wilcoxon </w:t>
            </w:r>
            <w:r w:rsidR="00C00E99">
              <w:rPr>
                <w:sz w:val="20"/>
                <w:szCs w:val="20"/>
              </w:rPr>
              <w:t xml:space="preserve">tests </w:t>
            </w:r>
            <w:r w:rsidRPr="005B494D">
              <w:rPr>
                <w:sz w:val="20"/>
                <w:szCs w:val="20"/>
              </w:rPr>
              <w:t xml:space="preserve">for continuous variables with </w:t>
            </w:r>
            <w:r w:rsidR="00F941DB">
              <w:rPr>
                <w:sz w:val="20"/>
                <w:szCs w:val="20"/>
              </w:rPr>
              <w:t xml:space="preserve">a </w:t>
            </w:r>
            <w:proofErr w:type="spellStart"/>
            <w:r w:rsidRPr="005B494D">
              <w:rPr>
                <w:sz w:val="20"/>
                <w:szCs w:val="20"/>
              </w:rPr>
              <w:t>nonnormal</w:t>
            </w:r>
            <w:proofErr w:type="spellEnd"/>
            <w:r w:rsidRPr="005B494D">
              <w:rPr>
                <w:sz w:val="20"/>
                <w:szCs w:val="20"/>
              </w:rPr>
              <w:t xml:space="preserve"> distribution, or chi-square test</w:t>
            </w:r>
            <w:r w:rsidR="00C00E99">
              <w:rPr>
                <w:sz w:val="20"/>
                <w:szCs w:val="20"/>
              </w:rPr>
              <w:t>s</w:t>
            </w:r>
            <w:r w:rsidRPr="005B494D">
              <w:rPr>
                <w:sz w:val="20"/>
                <w:szCs w:val="20"/>
              </w:rPr>
              <w:t xml:space="preserve"> for categorical variables. </w:t>
            </w:r>
          </w:p>
          <w:p w14:paraId="557F71C4" w14:textId="73B44CC8" w:rsidR="00EC0CB8" w:rsidRPr="005B494D" w:rsidRDefault="00EC0CB8" w:rsidP="00A156A9">
            <w:pPr>
              <w:keepNext/>
              <w:spacing w:after="60"/>
              <w:rPr>
                <w:i/>
                <w:sz w:val="20"/>
                <w:vertAlign w:val="superscript"/>
              </w:rPr>
            </w:pPr>
            <w:r w:rsidRPr="005B494D">
              <w:rPr>
                <w:position w:val="6"/>
                <w:sz w:val="20"/>
                <w:szCs w:val="20"/>
              </w:rPr>
              <w:t>3</w:t>
            </w:r>
            <w:r w:rsidRPr="005B494D">
              <w:rPr>
                <w:sz w:val="20"/>
                <w:szCs w:val="20"/>
              </w:rPr>
              <w:t xml:space="preserve"> </w:t>
            </w:r>
            <w:r w:rsidRPr="005B494D">
              <w:rPr>
                <w:rStyle w:val="Strong"/>
                <w:b w:val="0"/>
                <w:bCs w:val="0"/>
                <w:sz w:val="20"/>
                <w:szCs w:val="20"/>
              </w:rPr>
              <w:t>Standardized mean differences (SMDs)</w:t>
            </w:r>
            <w:r w:rsidRPr="005B494D">
              <w:rPr>
                <w:sz w:val="20"/>
                <w:szCs w:val="20"/>
              </w:rPr>
              <w:t xml:space="preserve"> of approximately </w:t>
            </w:r>
            <w:r w:rsidRPr="005B494D">
              <w:rPr>
                <w:rStyle w:val="Strong"/>
                <w:b w:val="0"/>
                <w:bCs w:val="0"/>
                <w:sz w:val="20"/>
                <w:szCs w:val="20"/>
              </w:rPr>
              <w:t>0.1</w:t>
            </w:r>
            <w:r w:rsidRPr="005B494D">
              <w:rPr>
                <w:sz w:val="20"/>
                <w:szCs w:val="20"/>
              </w:rPr>
              <w:t xml:space="preserve"> indicate a </w:t>
            </w:r>
            <w:r w:rsidRPr="005B494D">
              <w:rPr>
                <w:rStyle w:val="Strong"/>
                <w:b w:val="0"/>
                <w:bCs w:val="0"/>
                <w:sz w:val="20"/>
                <w:szCs w:val="20"/>
              </w:rPr>
              <w:t>small</w:t>
            </w:r>
            <w:r w:rsidRPr="005B494D">
              <w:rPr>
                <w:sz w:val="20"/>
                <w:szCs w:val="20"/>
              </w:rPr>
              <w:t xml:space="preserve"> difference, </w:t>
            </w:r>
            <w:r w:rsidRPr="005B494D">
              <w:rPr>
                <w:rStyle w:val="Strong"/>
                <w:b w:val="0"/>
                <w:bCs w:val="0"/>
                <w:sz w:val="20"/>
                <w:szCs w:val="20"/>
              </w:rPr>
              <w:t>0.2</w:t>
            </w:r>
            <w:r w:rsidRPr="005B494D">
              <w:rPr>
                <w:sz w:val="20"/>
                <w:szCs w:val="20"/>
              </w:rPr>
              <w:t xml:space="preserve"> a </w:t>
            </w:r>
            <w:r w:rsidRPr="005B494D">
              <w:rPr>
                <w:rStyle w:val="Strong"/>
                <w:b w:val="0"/>
                <w:bCs w:val="0"/>
                <w:sz w:val="20"/>
                <w:szCs w:val="20"/>
              </w:rPr>
              <w:t>moderate</w:t>
            </w:r>
            <w:r w:rsidRPr="005B494D">
              <w:rPr>
                <w:sz w:val="20"/>
                <w:szCs w:val="20"/>
              </w:rPr>
              <w:t xml:space="preserve"> difference, and values </w:t>
            </w:r>
            <w:r w:rsidRPr="005B494D">
              <w:rPr>
                <w:rStyle w:val="Strong"/>
                <w:b w:val="0"/>
                <w:bCs w:val="0"/>
                <w:sz w:val="20"/>
                <w:szCs w:val="20"/>
              </w:rPr>
              <w:t>≥ 0.5</w:t>
            </w:r>
            <w:r w:rsidRPr="005B494D">
              <w:rPr>
                <w:sz w:val="20"/>
                <w:szCs w:val="20"/>
              </w:rPr>
              <w:t xml:space="preserve"> a </w:t>
            </w:r>
            <w:r w:rsidRPr="005B494D">
              <w:rPr>
                <w:rStyle w:val="Strong"/>
                <w:b w:val="0"/>
                <w:bCs w:val="0"/>
                <w:sz w:val="20"/>
                <w:szCs w:val="20"/>
              </w:rPr>
              <w:t>large</w:t>
            </w:r>
            <w:r w:rsidRPr="005B494D">
              <w:rPr>
                <w:sz w:val="20"/>
                <w:szCs w:val="20"/>
              </w:rPr>
              <w:t xml:space="preserve"> difference.</w:t>
            </w:r>
          </w:p>
        </w:tc>
      </w:tr>
    </w:tbl>
    <w:p w14:paraId="379AC431" w14:textId="77777777" w:rsidR="00421A23" w:rsidRPr="005B494D" w:rsidRDefault="00421A23" w:rsidP="00421A23">
      <w:pPr>
        <w:pStyle w:val="BodyText"/>
        <w:rPr>
          <w:rFonts w:ascii="Times New Roman" w:hAnsi="Times New Roman" w:cs="Times New Roman"/>
        </w:rPr>
      </w:pPr>
    </w:p>
    <w:p w14:paraId="31ED8542" w14:textId="54B81738" w:rsidR="00BC6C8E" w:rsidRPr="005B494D" w:rsidRDefault="00BC6C8E">
      <w:r w:rsidRPr="005B494D">
        <w:br w:type="page"/>
      </w:r>
    </w:p>
    <w:p w14:paraId="71C63719" w14:textId="7C741FD7" w:rsidR="00BC6C8E" w:rsidRPr="005B494D" w:rsidRDefault="00BC6C8E" w:rsidP="00551BB8">
      <w:pPr>
        <w:spacing w:after="200"/>
      </w:pPr>
      <w:r w:rsidRPr="005B494D">
        <w:lastRenderedPageBreak/>
        <w:t>Supplementary Table 2</w:t>
      </w:r>
      <w:r w:rsidR="000D140D" w:rsidRPr="005B494D">
        <w:t xml:space="preserve"> Hazard ratios (95% confidence interval) for the association between meat </w:t>
      </w:r>
      <w:r w:rsidR="00E11166" w:rsidRPr="005B494D">
        <w:t>intake</w:t>
      </w:r>
      <w:r w:rsidR="000D140D" w:rsidRPr="005B494D">
        <w:t xml:space="preserve"> frequency and incident dementia in sensitivity analys</w:t>
      </w:r>
      <w:r w:rsidR="00CD38AB" w:rsidRPr="005B494D">
        <w:t>e</w:t>
      </w:r>
      <w:r w:rsidR="000D140D" w:rsidRPr="005B494D">
        <w:t>s</w:t>
      </w:r>
    </w:p>
    <w:tbl>
      <w:tblPr>
        <w:tblW w:w="0" w:type="auto"/>
        <w:tblCellMar>
          <w:top w:w="15" w:type="dxa"/>
          <w:left w:w="15" w:type="dxa"/>
          <w:bottom w:w="15" w:type="dxa"/>
          <w:right w:w="15" w:type="dxa"/>
        </w:tblCellMar>
        <w:tblLook w:val="04A0" w:firstRow="1" w:lastRow="0" w:firstColumn="1" w:lastColumn="0" w:noHBand="0" w:noVBand="1"/>
      </w:tblPr>
      <w:tblGrid>
        <w:gridCol w:w="4211"/>
        <w:gridCol w:w="3827"/>
        <w:gridCol w:w="1985"/>
      </w:tblGrid>
      <w:tr w:rsidR="005B494D" w:rsidRPr="005B494D" w14:paraId="235F2E74" w14:textId="77777777" w:rsidTr="00551BB8">
        <w:tc>
          <w:tcPr>
            <w:tcW w:w="4211"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764016D0" w14:textId="381DEACA" w:rsidR="00D04A78" w:rsidRPr="005B494D" w:rsidRDefault="00D04A78" w:rsidP="00BC6C8E">
            <w:r w:rsidRPr="005B494D">
              <w:t>Criteria</w:t>
            </w:r>
          </w:p>
          <w:p w14:paraId="0661ECEC" w14:textId="3CFC5ED2" w:rsidR="00BC6C8E" w:rsidRPr="005B494D" w:rsidRDefault="00D04A78" w:rsidP="00BC6C8E">
            <w:r w:rsidRPr="005B494D">
              <w:t>(</w:t>
            </w:r>
            <w:r w:rsidR="00B74CD9" w:rsidRPr="005B494D">
              <w:t>events</w:t>
            </w:r>
            <w:r w:rsidRPr="005B494D">
              <w:t>/</w:t>
            </w:r>
            <w:r w:rsidR="00B74CD9" w:rsidRPr="005B494D">
              <w:t>N</w:t>
            </w:r>
            <w:r w:rsidRPr="005B494D">
              <w:t>)</w:t>
            </w:r>
          </w:p>
        </w:tc>
        <w:tc>
          <w:tcPr>
            <w:tcW w:w="3827"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75CAC38B" w14:textId="1E300770" w:rsidR="00BC6C8E" w:rsidRPr="005B494D" w:rsidRDefault="00BC6C8E" w:rsidP="00BC6C8E">
            <w:r w:rsidRPr="005B494D">
              <w:t xml:space="preserve">HR (95% CI) for high-frequency meat </w:t>
            </w:r>
            <w:proofErr w:type="spellStart"/>
            <w:r w:rsidRPr="005B494D">
              <w:t>consumption</w:t>
            </w:r>
            <w:r w:rsidR="00B74CD9" w:rsidRPr="005B494D">
              <w:rPr>
                <w:vertAlign w:val="superscript"/>
              </w:rPr>
              <w:t>a</w:t>
            </w:r>
            <w:proofErr w:type="spellEnd"/>
          </w:p>
        </w:tc>
        <w:tc>
          <w:tcPr>
            <w:tcW w:w="198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7EBC92F8" w14:textId="1287F854" w:rsidR="00BC6C8E" w:rsidRPr="005B494D" w:rsidRDefault="00BC6C8E" w:rsidP="00BC6C8E">
            <w:r w:rsidRPr="005B494D">
              <w:rPr>
                <w:i/>
                <w:iCs/>
              </w:rPr>
              <w:t>P</w:t>
            </w:r>
            <w:r w:rsidR="00C00E99">
              <w:rPr>
                <w:i/>
                <w:iCs/>
              </w:rPr>
              <w:t xml:space="preserve"> </w:t>
            </w:r>
            <w:r w:rsidRPr="005B494D">
              <w:t>value</w:t>
            </w:r>
          </w:p>
        </w:tc>
      </w:tr>
      <w:tr w:rsidR="005B494D" w:rsidRPr="005B494D" w14:paraId="48D11165" w14:textId="77777777" w:rsidTr="00012E0A">
        <w:trPr>
          <w:trHeight w:val="340"/>
        </w:trPr>
        <w:tc>
          <w:tcPr>
            <w:tcW w:w="42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607A42E" w14:textId="43D9E875" w:rsidR="00012E0A" w:rsidRPr="005B494D" w:rsidRDefault="00012E0A" w:rsidP="00012E0A">
            <w:r w:rsidRPr="005B494D">
              <w:rPr>
                <w:rFonts w:hint="eastAsia"/>
              </w:rPr>
              <w:t>A</w:t>
            </w:r>
            <w:r w:rsidRPr="005B494D">
              <w:t>dditional adjustment for histories of cardiometabolic conditions and waist-to-height ratio (10,952</w:t>
            </w:r>
            <w:r w:rsidR="00E306B6" w:rsidRPr="005B494D">
              <w:t>/</w:t>
            </w:r>
            <w:r w:rsidRPr="005B494D">
              <w:t>493,644)</w:t>
            </w:r>
          </w:p>
        </w:tc>
        <w:tc>
          <w:tcPr>
            <w:tcW w:w="382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E325A44" w14:textId="743DF1CC" w:rsidR="00012E0A" w:rsidRPr="005B494D" w:rsidRDefault="00012E0A" w:rsidP="00012E0A">
            <w:r w:rsidRPr="005B494D">
              <w:t>1.20 (1.12, 1.30)</w:t>
            </w:r>
          </w:p>
        </w:tc>
        <w:tc>
          <w:tcPr>
            <w:tcW w:w="19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CBDCF92" w14:textId="32252135" w:rsidR="00012E0A" w:rsidRPr="005B494D" w:rsidRDefault="00012E0A" w:rsidP="00012E0A">
            <w:r w:rsidRPr="005B494D">
              <w:t>&lt; 0.001</w:t>
            </w:r>
          </w:p>
        </w:tc>
      </w:tr>
      <w:tr w:rsidR="005B494D" w:rsidRPr="005B494D" w14:paraId="0824D2AD" w14:textId="77777777" w:rsidTr="00551BB8">
        <w:trPr>
          <w:trHeight w:val="340"/>
        </w:trPr>
        <w:tc>
          <w:tcPr>
            <w:tcW w:w="42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81B2C5A" w14:textId="171129D5" w:rsidR="00012E0A" w:rsidRPr="005B494D" w:rsidRDefault="00012E0A" w:rsidP="00012E0A">
            <w:r w:rsidRPr="005B494D">
              <w:t>Excluding dementia cases within the first 5 years of follow-up (10,127/492,8</w:t>
            </w:r>
            <w:r w:rsidR="00A808FE" w:rsidRPr="005B494D">
              <w:t>19</w:t>
            </w:r>
            <w:r w:rsidRPr="005B494D">
              <w:t>)</w:t>
            </w:r>
          </w:p>
        </w:tc>
        <w:tc>
          <w:tcPr>
            <w:tcW w:w="382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5815E39" w14:textId="555EAB56" w:rsidR="00012E0A" w:rsidRPr="005B494D" w:rsidRDefault="00012E0A" w:rsidP="00012E0A">
            <w:r w:rsidRPr="005B494D">
              <w:t>1.2</w:t>
            </w:r>
            <w:r w:rsidR="008A5005" w:rsidRPr="005B494D">
              <w:t>0</w:t>
            </w:r>
            <w:r w:rsidRPr="005B494D">
              <w:t xml:space="preserve"> (1.1</w:t>
            </w:r>
            <w:r w:rsidR="008A5005" w:rsidRPr="005B494D">
              <w:t>1</w:t>
            </w:r>
            <w:r w:rsidRPr="005B494D">
              <w:t>, 1.3</w:t>
            </w:r>
            <w:r w:rsidR="008A5005" w:rsidRPr="005B494D">
              <w:t>0</w:t>
            </w:r>
            <w:r w:rsidRPr="005B494D">
              <w:t>)</w:t>
            </w:r>
          </w:p>
        </w:tc>
        <w:tc>
          <w:tcPr>
            <w:tcW w:w="19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F089ABA" w14:textId="145D10F9" w:rsidR="00012E0A" w:rsidRPr="005B494D" w:rsidRDefault="00012E0A" w:rsidP="00012E0A">
            <w:r w:rsidRPr="005B494D">
              <w:t>&lt; 0.001</w:t>
            </w:r>
          </w:p>
        </w:tc>
      </w:tr>
      <w:tr w:rsidR="005B494D" w:rsidRPr="005B494D" w14:paraId="30571F7F" w14:textId="77777777" w:rsidTr="00551BB8">
        <w:trPr>
          <w:trHeight w:val="340"/>
        </w:trPr>
        <w:tc>
          <w:tcPr>
            <w:tcW w:w="42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952530" w14:textId="7A10A928" w:rsidR="00012E0A" w:rsidRPr="005B494D" w:rsidRDefault="00012E0A" w:rsidP="00012E0A">
            <w:r w:rsidRPr="005B494D">
              <w:t>Restricted to participants aged ≥ 60 years at baseline (9,554/213,67</w:t>
            </w:r>
            <w:r w:rsidR="00A808FE" w:rsidRPr="005B494D">
              <w:t>1</w:t>
            </w:r>
            <w:r w:rsidRPr="005B494D">
              <w:t>)</w:t>
            </w:r>
          </w:p>
        </w:tc>
        <w:tc>
          <w:tcPr>
            <w:tcW w:w="382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FC05F94" w14:textId="202EA43D" w:rsidR="00012E0A" w:rsidRPr="005B494D" w:rsidRDefault="00012E0A" w:rsidP="00012E0A">
            <w:r w:rsidRPr="005B494D">
              <w:t>1.2</w:t>
            </w:r>
            <w:r w:rsidR="00A808FE" w:rsidRPr="005B494D">
              <w:t>3</w:t>
            </w:r>
            <w:r w:rsidRPr="005B494D">
              <w:t xml:space="preserve"> (1.14, 1.3</w:t>
            </w:r>
            <w:r w:rsidR="00A808FE" w:rsidRPr="005B494D">
              <w:t>4</w:t>
            </w:r>
            <w:r w:rsidRPr="005B494D">
              <w:t>)</w:t>
            </w:r>
          </w:p>
        </w:tc>
        <w:tc>
          <w:tcPr>
            <w:tcW w:w="19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21F9300" w14:textId="77777777" w:rsidR="00012E0A" w:rsidRPr="005B494D" w:rsidRDefault="00012E0A" w:rsidP="00012E0A">
            <w:r w:rsidRPr="005B494D">
              <w:t>&lt; 0.001</w:t>
            </w:r>
          </w:p>
        </w:tc>
      </w:tr>
      <w:tr w:rsidR="005B494D" w:rsidRPr="005B494D" w14:paraId="5B706005" w14:textId="77777777" w:rsidTr="00551BB8">
        <w:trPr>
          <w:trHeight w:val="340"/>
        </w:trPr>
        <w:tc>
          <w:tcPr>
            <w:tcW w:w="4211"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9602354" w14:textId="74034F74" w:rsidR="00012E0A" w:rsidRPr="005B494D" w:rsidRDefault="00012E0A" w:rsidP="00012E0A">
            <w:r w:rsidRPr="005B494D">
              <w:t>Restricted to participants with complete covariate data (</w:t>
            </w:r>
            <w:r w:rsidR="000A334A" w:rsidRPr="005B494D">
              <w:t>5</w:t>
            </w:r>
            <w:r w:rsidRPr="005B494D">
              <w:t>,</w:t>
            </w:r>
            <w:r w:rsidR="000A334A" w:rsidRPr="005B494D">
              <w:t>279</w:t>
            </w:r>
            <w:r w:rsidRPr="005B494D">
              <w:t>/</w:t>
            </w:r>
            <w:r w:rsidR="000A334A" w:rsidRPr="005B494D">
              <w:t>292</w:t>
            </w:r>
            <w:r w:rsidRPr="005B494D">
              <w:t>,</w:t>
            </w:r>
            <w:r w:rsidR="000A334A" w:rsidRPr="005B494D">
              <w:t>028</w:t>
            </w:r>
            <w:r w:rsidRPr="005B494D">
              <w:t>)</w:t>
            </w:r>
          </w:p>
        </w:tc>
        <w:tc>
          <w:tcPr>
            <w:tcW w:w="3827"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8381F57" w14:textId="775A84EA" w:rsidR="00012E0A" w:rsidRPr="005B494D" w:rsidRDefault="00012E0A" w:rsidP="00012E0A">
            <w:r w:rsidRPr="005B494D">
              <w:t>1.</w:t>
            </w:r>
            <w:r w:rsidR="000A334A" w:rsidRPr="005B494D">
              <w:t>17</w:t>
            </w:r>
            <w:r w:rsidRPr="005B494D">
              <w:t xml:space="preserve"> (1.</w:t>
            </w:r>
            <w:r w:rsidR="00E4171A" w:rsidRPr="005B494D">
              <w:t>04</w:t>
            </w:r>
            <w:r w:rsidRPr="005B494D">
              <w:t>, 1.31)</w:t>
            </w:r>
          </w:p>
        </w:tc>
        <w:tc>
          <w:tcPr>
            <w:tcW w:w="1985"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C170D92" w14:textId="62A7DD25" w:rsidR="00012E0A" w:rsidRPr="005B494D" w:rsidRDefault="00380B48" w:rsidP="00012E0A">
            <w:r w:rsidRPr="005B494D">
              <w:t>0.006</w:t>
            </w:r>
          </w:p>
        </w:tc>
      </w:tr>
    </w:tbl>
    <w:p w14:paraId="7D6281E3" w14:textId="471DCAAA" w:rsidR="00B74CD9" w:rsidRPr="005B494D" w:rsidRDefault="00B74CD9" w:rsidP="00B74CD9">
      <w:proofErr w:type="spellStart"/>
      <w:r w:rsidRPr="005B494D">
        <w:rPr>
          <w:vertAlign w:val="superscript"/>
        </w:rPr>
        <w:t>a</w:t>
      </w:r>
      <w:proofErr w:type="spellEnd"/>
      <w:r w:rsidRPr="005B494D">
        <w:rPr>
          <w:vertAlign w:val="superscript"/>
        </w:rPr>
        <w:t xml:space="preserve"> </w:t>
      </w:r>
      <w:r w:rsidRPr="005B494D">
        <w:t>Compared to low-frequency meat consumption. All models used age as the time scale.</w:t>
      </w:r>
    </w:p>
    <w:p w14:paraId="355FAD44" w14:textId="16F53378" w:rsidR="00B74CD9" w:rsidRPr="005B494D" w:rsidRDefault="00B74CD9" w:rsidP="00B91992">
      <w:pPr>
        <w:pStyle w:val="BodyText"/>
        <w:rPr>
          <w:rFonts w:ascii="Times New Roman" w:hAnsi="Times New Roman" w:cs="Times New Roman"/>
        </w:rPr>
      </w:pPr>
    </w:p>
    <w:p w14:paraId="57C43D56" w14:textId="77777777" w:rsidR="00B74CD9" w:rsidRPr="005B494D" w:rsidRDefault="00B74CD9">
      <w:pPr>
        <w:spacing w:after="200"/>
        <w:rPr>
          <w:rFonts w:eastAsiaTheme="minorEastAsia"/>
          <w:lang w:eastAsia="en-US"/>
        </w:rPr>
      </w:pPr>
      <w:r w:rsidRPr="005B494D">
        <w:br w:type="page"/>
      </w:r>
    </w:p>
    <w:p w14:paraId="7AEE9AB1" w14:textId="7A252AAE" w:rsidR="00551BB8" w:rsidRPr="005B494D" w:rsidRDefault="00551BB8" w:rsidP="00551BB8">
      <w:pPr>
        <w:spacing w:after="200"/>
      </w:pPr>
      <w:r w:rsidRPr="005B494D">
        <w:lastRenderedPageBreak/>
        <w:t xml:space="preserve">Supplementary Table 3 </w:t>
      </w:r>
      <w:r w:rsidR="00D04A78" w:rsidRPr="005B494D">
        <w:t xml:space="preserve">Linear regression coefficients (95% confidence interval) for the association between meat </w:t>
      </w:r>
      <w:r w:rsidR="00E11166" w:rsidRPr="005B494D">
        <w:t>intake</w:t>
      </w:r>
      <w:r w:rsidR="00D04A78" w:rsidRPr="005B494D">
        <w:t xml:space="preserve"> frequency and cognitive performance</w:t>
      </w:r>
      <w:r w:rsidRPr="005B494D">
        <w:t xml:space="preserve"> in sensitivity analyses</w:t>
      </w:r>
    </w:p>
    <w:tbl>
      <w:tblPr>
        <w:tblW w:w="0" w:type="auto"/>
        <w:tblCellMar>
          <w:top w:w="15" w:type="dxa"/>
          <w:left w:w="15" w:type="dxa"/>
          <w:bottom w:w="15" w:type="dxa"/>
          <w:right w:w="15" w:type="dxa"/>
        </w:tblCellMar>
        <w:tblLook w:val="04A0" w:firstRow="1" w:lastRow="0" w:firstColumn="1" w:lastColumn="0" w:noHBand="0" w:noVBand="1"/>
      </w:tblPr>
      <w:tblGrid>
        <w:gridCol w:w="4211"/>
        <w:gridCol w:w="3827"/>
        <w:gridCol w:w="1985"/>
      </w:tblGrid>
      <w:tr w:rsidR="005B494D" w:rsidRPr="005B494D" w14:paraId="1AD32CA1" w14:textId="77777777" w:rsidTr="00D9667E">
        <w:trPr>
          <w:trHeight w:val="567"/>
        </w:trPr>
        <w:tc>
          <w:tcPr>
            <w:tcW w:w="4211" w:type="dxa"/>
            <w:tcBorders>
              <w:top w:val="single" w:sz="18" w:space="0" w:color="000000"/>
              <w:left w:val="single" w:sz="8" w:space="0" w:color="FFFFFF"/>
              <w:bottom w:val="single" w:sz="8" w:space="0" w:color="000000"/>
              <w:right w:val="single" w:sz="8" w:space="0" w:color="FFFFFF"/>
            </w:tcBorders>
            <w:tcMar>
              <w:top w:w="100" w:type="dxa"/>
              <w:left w:w="100" w:type="dxa"/>
              <w:bottom w:w="100" w:type="dxa"/>
              <w:right w:w="100" w:type="dxa"/>
            </w:tcMar>
            <w:vAlign w:val="bottom"/>
            <w:hideMark/>
          </w:tcPr>
          <w:p w14:paraId="2EB1604D" w14:textId="708A3B43" w:rsidR="00BA5048" w:rsidRPr="005B494D" w:rsidRDefault="00D04A78" w:rsidP="0047486A">
            <w:r w:rsidRPr="005B494D">
              <w:t>Reaction Time</w:t>
            </w:r>
            <w:r w:rsidR="00F933D2" w:rsidRPr="005B494D">
              <w:t xml:space="preserve"> </w:t>
            </w:r>
            <w:r w:rsidR="00BA5048" w:rsidRPr="005B494D">
              <w:t>(</w:t>
            </w:r>
            <w:r w:rsidR="00F933D2" w:rsidRPr="005B494D">
              <w:t>n</w:t>
            </w:r>
            <w:r w:rsidR="00BA5048" w:rsidRPr="005B494D">
              <w:t>)</w:t>
            </w:r>
          </w:p>
        </w:tc>
        <w:tc>
          <w:tcPr>
            <w:tcW w:w="3827" w:type="dxa"/>
            <w:tcBorders>
              <w:top w:val="single" w:sz="18" w:space="0" w:color="000000"/>
              <w:left w:val="single" w:sz="8" w:space="0" w:color="FFFFFF"/>
              <w:bottom w:val="single" w:sz="8" w:space="0" w:color="000000"/>
              <w:right w:val="single" w:sz="8" w:space="0" w:color="FFFFFF"/>
            </w:tcBorders>
            <w:tcMar>
              <w:top w:w="100" w:type="dxa"/>
              <w:left w:w="100" w:type="dxa"/>
              <w:bottom w:w="100" w:type="dxa"/>
              <w:right w:w="100" w:type="dxa"/>
            </w:tcMar>
            <w:vAlign w:val="bottom"/>
            <w:hideMark/>
          </w:tcPr>
          <w:p w14:paraId="65C8484E" w14:textId="598E93F3" w:rsidR="00551BB8" w:rsidRPr="005B494D" w:rsidRDefault="00D04A78" w:rsidP="0047486A">
            <w:pPr>
              <w:rPr>
                <w:rFonts w:eastAsiaTheme="minorEastAsia"/>
                <w:lang w:eastAsia="en-US"/>
              </w:rPr>
            </w:pPr>
            <w:r w:rsidRPr="005B494D">
              <w:t>β (95% CI) for log-transformed reaction time (z-score)</w:t>
            </w:r>
            <w:r w:rsidR="00F22182" w:rsidRPr="005B494D">
              <w:rPr>
                <w:vertAlign w:val="superscript"/>
              </w:rPr>
              <w:t>a</w:t>
            </w:r>
          </w:p>
        </w:tc>
        <w:tc>
          <w:tcPr>
            <w:tcW w:w="1985" w:type="dxa"/>
            <w:tcBorders>
              <w:top w:val="single" w:sz="18" w:space="0" w:color="000000"/>
              <w:left w:val="single" w:sz="8" w:space="0" w:color="FFFFFF"/>
              <w:bottom w:val="single" w:sz="8" w:space="0" w:color="000000"/>
              <w:right w:val="single" w:sz="8" w:space="0" w:color="FFFFFF"/>
            </w:tcBorders>
            <w:tcMar>
              <w:top w:w="100" w:type="dxa"/>
              <w:left w:w="100" w:type="dxa"/>
              <w:bottom w:w="100" w:type="dxa"/>
              <w:right w:w="100" w:type="dxa"/>
            </w:tcMar>
            <w:vAlign w:val="bottom"/>
            <w:hideMark/>
          </w:tcPr>
          <w:p w14:paraId="4F8ACC79" w14:textId="0B325C1B" w:rsidR="00551BB8" w:rsidRPr="005B494D" w:rsidRDefault="00551BB8" w:rsidP="0047486A">
            <w:r w:rsidRPr="005B494D">
              <w:rPr>
                <w:i/>
                <w:iCs/>
              </w:rPr>
              <w:t>P</w:t>
            </w:r>
            <w:r w:rsidR="001765DE">
              <w:rPr>
                <w:i/>
                <w:iCs/>
              </w:rPr>
              <w:t xml:space="preserve"> </w:t>
            </w:r>
            <w:r w:rsidRPr="005B494D">
              <w:t>value</w:t>
            </w:r>
          </w:p>
        </w:tc>
      </w:tr>
      <w:tr w:rsidR="005B494D" w:rsidRPr="005B494D" w14:paraId="2767B0D4" w14:textId="77777777" w:rsidTr="00D9667E">
        <w:trPr>
          <w:trHeight w:val="340"/>
        </w:trPr>
        <w:tc>
          <w:tcPr>
            <w:tcW w:w="42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263DAD4" w14:textId="47E761F4" w:rsidR="006E5EB7" w:rsidRPr="005B494D" w:rsidRDefault="006E5EB7" w:rsidP="006E5EB7">
            <w:pPr>
              <w:rPr>
                <w:rFonts w:eastAsiaTheme="minorEastAsia"/>
                <w:lang w:eastAsia="en-US"/>
              </w:rPr>
            </w:pPr>
            <w:r w:rsidRPr="005B494D">
              <w:rPr>
                <w:rFonts w:hint="eastAsia"/>
              </w:rPr>
              <w:t>A</w:t>
            </w:r>
            <w:r w:rsidRPr="005B494D">
              <w:t>dditional adjustment for histories of cardiometabolic conditions and waist-to-height ratio (4</w:t>
            </w:r>
            <w:r w:rsidR="001A043F" w:rsidRPr="005B494D">
              <w:t>89</w:t>
            </w:r>
            <w:r w:rsidRPr="005B494D">
              <w:t>,</w:t>
            </w:r>
            <w:r w:rsidR="001A043F" w:rsidRPr="005B494D">
              <w:t>151</w:t>
            </w:r>
            <w:r w:rsidRPr="005B494D">
              <w:t>)</w:t>
            </w:r>
          </w:p>
        </w:tc>
        <w:tc>
          <w:tcPr>
            <w:tcW w:w="382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BCED5A7" w14:textId="4F7E19ED" w:rsidR="006E5EB7" w:rsidRPr="005B494D" w:rsidRDefault="00C2045A" w:rsidP="006E5EB7">
            <w:r w:rsidRPr="005B494D">
              <w:t>0.022 (0.008, 0.037)</w:t>
            </w:r>
          </w:p>
        </w:tc>
        <w:tc>
          <w:tcPr>
            <w:tcW w:w="19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8E72AF5" w14:textId="4205C44F" w:rsidR="006E5EB7" w:rsidRPr="005B494D" w:rsidRDefault="00C2045A" w:rsidP="006E5EB7">
            <w:r w:rsidRPr="005B494D">
              <w:rPr>
                <w:rFonts w:hint="eastAsia"/>
              </w:rPr>
              <w:t>0</w:t>
            </w:r>
            <w:r w:rsidRPr="005B494D">
              <w:t>.002</w:t>
            </w:r>
          </w:p>
        </w:tc>
      </w:tr>
      <w:tr w:rsidR="005B494D" w:rsidRPr="005B494D" w14:paraId="42FD3C9E" w14:textId="77777777" w:rsidTr="00D9667E">
        <w:trPr>
          <w:trHeight w:val="340"/>
        </w:trPr>
        <w:tc>
          <w:tcPr>
            <w:tcW w:w="42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A79510C" w14:textId="4F2B7C14" w:rsidR="00D9667E" w:rsidRPr="005B494D" w:rsidRDefault="00D9667E" w:rsidP="006E5EB7">
            <w:r w:rsidRPr="005B494D">
              <w:t>Restricted to participants aged ≥ 60 years at baseline (211,3</w:t>
            </w:r>
            <w:r w:rsidR="000375A9" w:rsidRPr="005B494D">
              <w:t>59</w:t>
            </w:r>
            <w:r w:rsidRPr="005B494D">
              <w:t>)</w:t>
            </w:r>
          </w:p>
        </w:tc>
        <w:tc>
          <w:tcPr>
            <w:tcW w:w="382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B26F54D" w14:textId="3BEE152F" w:rsidR="00D9667E" w:rsidRPr="005B494D" w:rsidRDefault="00D9667E" w:rsidP="006E5EB7">
            <w:r w:rsidRPr="005B494D">
              <w:t>0.03</w:t>
            </w:r>
            <w:r w:rsidR="000375A9" w:rsidRPr="005B494D">
              <w:t>5</w:t>
            </w:r>
            <w:r w:rsidRPr="005B494D">
              <w:t xml:space="preserve"> (0.01</w:t>
            </w:r>
            <w:r w:rsidR="00DB7A8F" w:rsidRPr="005B494D">
              <w:t>6</w:t>
            </w:r>
            <w:r w:rsidRPr="005B494D">
              <w:t>, 0.05</w:t>
            </w:r>
            <w:r w:rsidR="00DB7A8F" w:rsidRPr="005B494D">
              <w:t>4</w:t>
            </w:r>
            <w:r w:rsidRPr="005B494D">
              <w:t>)</w:t>
            </w:r>
          </w:p>
        </w:tc>
        <w:tc>
          <w:tcPr>
            <w:tcW w:w="19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09D70CD" w14:textId="42F339BD" w:rsidR="00D9667E" w:rsidRPr="005B494D" w:rsidRDefault="00D9667E" w:rsidP="006E5EB7">
            <w:r w:rsidRPr="005B494D">
              <w:t>&lt; 0.001</w:t>
            </w:r>
          </w:p>
        </w:tc>
      </w:tr>
      <w:tr w:rsidR="005B494D" w:rsidRPr="005B494D" w14:paraId="57AE6784" w14:textId="77777777" w:rsidTr="00D9667E">
        <w:trPr>
          <w:trHeight w:val="340"/>
        </w:trPr>
        <w:tc>
          <w:tcPr>
            <w:tcW w:w="4211" w:type="dxa"/>
            <w:tcBorders>
              <w:top w:val="single" w:sz="8" w:space="0" w:color="FFFFFF"/>
              <w:left w:val="single" w:sz="8" w:space="0" w:color="FFFFFF"/>
              <w:bottom w:val="single" w:sz="18" w:space="0" w:color="000000"/>
              <w:right w:val="single" w:sz="8" w:space="0" w:color="FFFFFF"/>
            </w:tcBorders>
            <w:tcMar>
              <w:top w:w="100" w:type="dxa"/>
              <w:left w:w="100" w:type="dxa"/>
              <w:bottom w:w="100" w:type="dxa"/>
              <w:right w:w="100" w:type="dxa"/>
            </w:tcMar>
            <w:hideMark/>
          </w:tcPr>
          <w:p w14:paraId="4FF774DB" w14:textId="1FD21524" w:rsidR="00D9667E" w:rsidRPr="005B494D" w:rsidRDefault="00D9667E" w:rsidP="006E5EB7">
            <w:pPr>
              <w:rPr>
                <w:lang w:val="de-AT"/>
              </w:rPr>
            </w:pPr>
            <w:r w:rsidRPr="005B494D">
              <w:t>Restricted to participants with complete covariate data (</w:t>
            </w:r>
            <w:r w:rsidR="00A53E90" w:rsidRPr="005B494D">
              <w:t>290</w:t>
            </w:r>
            <w:r w:rsidRPr="005B494D">
              <w:t>,</w:t>
            </w:r>
            <w:r w:rsidR="00A53E90" w:rsidRPr="005B494D">
              <w:t>313</w:t>
            </w:r>
            <w:r w:rsidRPr="005B494D">
              <w:t>)</w:t>
            </w:r>
          </w:p>
        </w:tc>
        <w:tc>
          <w:tcPr>
            <w:tcW w:w="3827" w:type="dxa"/>
            <w:tcBorders>
              <w:top w:val="single" w:sz="8" w:space="0" w:color="FFFFFF"/>
              <w:left w:val="single" w:sz="8" w:space="0" w:color="FFFFFF"/>
              <w:bottom w:val="single" w:sz="18" w:space="0" w:color="000000"/>
              <w:right w:val="single" w:sz="8" w:space="0" w:color="FFFFFF"/>
            </w:tcBorders>
            <w:tcMar>
              <w:top w:w="100" w:type="dxa"/>
              <w:left w:w="100" w:type="dxa"/>
              <w:bottom w:w="100" w:type="dxa"/>
              <w:right w:w="100" w:type="dxa"/>
            </w:tcMar>
            <w:hideMark/>
          </w:tcPr>
          <w:p w14:paraId="634AC61B" w14:textId="0724335B" w:rsidR="00D9667E" w:rsidRPr="005B494D" w:rsidRDefault="00D9667E" w:rsidP="006E5EB7">
            <w:r w:rsidRPr="005B494D">
              <w:t>0.022 (0.00</w:t>
            </w:r>
            <w:r w:rsidR="00DB7A8F" w:rsidRPr="005B494D">
              <w:t>8</w:t>
            </w:r>
            <w:r w:rsidRPr="005B494D">
              <w:t>, 0.03</w:t>
            </w:r>
            <w:r w:rsidR="00DB7A8F" w:rsidRPr="005B494D">
              <w:t>7</w:t>
            </w:r>
            <w:r w:rsidRPr="005B494D">
              <w:t>)</w:t>
            </w:r>
          </w:p>
        </w:tc>
        <w:tc>
          <w:tcPr>
            <w:tcW w:w="1985" w:type="dxa"/>
            <w:tcBorders>
              <w:top w:val="single" w:sz="8" w:space="0" w:color="FFFFFF"/>
              <w:left w:val="single" w:sz="8" w:space="0" w:color="FFFFFF"/>
              <w:bottom w:val="single" w:sz="18" w:space="0" w:color="000000"/>
              <w:right w:val="single" w:sz="8" w:space="0" w:color="FFFFFF"/>
            </w:tcBorders>
            <w:tcMar>
              <w:top w:w="100" w:type="dxa"/>
              <w:left w:w="100" w:type="dxa"/>
              <w:bottom w:w="100" w:type="dxa"/>
              <w:right w:w="100" w:type="dxa"/>
            </w:tcMar>
            <w:hideMark/>
          </w:tcPr>
          <w:p w14:paraId="469EDDC3" w14:textId="3E03B467" w:rsidR="00D9667E" w:rsidRPr="005B494D" w:rsidRDefault="00DB7A8F" w:rsidP="006E5EB7">
            <w:r w:rsidRPr="005B494D">
              <w:rPr>
                <w:rFonts w:hint="eastAsia"/>
              </w:rPr>
              <w:t>0</w:t>
            </w:r>
            <w:r w:rsidRPr="005B494D">
              <w:t>.002</w:t>
            </w:r>
          </w:p>
        </w:tc>
      </w:tr>
      <w:tr w:rsidR="005B494D" w:rsidRPr="005B494D" w14:paraId="1095160F" w14:textId="77777777" w:rsidTr="00D9667E">
        <w:trPr>
          <w:trHeight w:val="340"/>
        </w:trPr>
        <w:tc>
          <w:tcPr>
            <w:tcW w:w="4211" w:type="dxa"/>
            <w:tcBorders>
              <w:top w:val="single" w:sz="18" w:space="0" w:color="000000"/>
              <w:left w:val="single" w:sz="8" w:space="0" w:color="FFFFFF"/>
              <w:bottom w:val="single" w:sz="8" w:space="0" w:color="000000"/>
              <w:right w:val="single" w:sz="8" w:space="0" w:color="FFFFFF"/>
            </w:tcBorders>
            <w:tcMar>
              <w:top w:w="100" w:type="dxa"/>
              <w:left w:w="100" w:type="dxa"/>
              <w:bottom w:w="100" w:type="dxa"/>
              <w:right w:w="100" w:type="dxa"/>
            </w:tcMar>
            <w:vAlign w:val="bottom"/>
            <w:hideMark/>
          </w:tcPr>
          <w:p w14:paraId="58C61F73" w14:textId="710667FB" w:rsidR="00D9667E" w:rsidRPr="005B494D" w:rsidRDefault="00D9667E" w:rsidP="006E5EB7">
            <w:pPr>
              <w:rPr>
                <w:rFonts w:eastAsiaTheme="minorEastAsia"/>
                <w:lang w:eastAsia="en-US"/>
              </w:rPr>
            </w:pPr>
            <w:r w:rsidRPr="005B494D">
              <w:t>Numeric Memory (n)</w:t>
            </w:r>
          </w:p>
        </w:tc>
        <w:tc>
          <w:tcPr>
            <w:tcW w:w="3827" w:type="dxa"/>
            <w:tcBorders>
              <w:top w:val="single" w:sz="18" w:space="0" w:color="000000"/>
              <w:left w:val="single" w:sz="8" w:space="0" w:color="FFFFFF"/>
              <w:bottom w:val="single" w:sz="8" w:space="0" w:color="000000"/>
              <w:right w:val="single" w:sz="8" w:space="0" w:color="FFFFFF"/>
            </w:tcBorders>
            <w:tcMar>
              <w:top w:w="100" w:type="dxa"/>
              <w:left w:w="100" w:type="dxa"/>
              <w:bottom w:w="100" w:type="dxa"/>
              <w:right w:w="100" w:type="dxa"/>
            </w:tcMar>
            <w:vAlign w:val="bottom"/>
            <w:hideMark/>
          </w:tcPr>
          <w:p w14:paraId="43B15937" w14:textId="50F58EAD" w:rsidR="00D9667E" w:rsidRPr="005B494D" w:rsidRDefault="00D9667E" w:rsidP="006E5EB7">
            <w:r w:rsidRPr="005B494D">
              <w:t xml:space="preserve">β (95% CI), difference in numeric memory </w:t>
            </w:r>
            <w:proofErr w:type="spellStart"/>
            <w:r w:rsidRPr="005B494D">
              <w:t>score</w:t>
            </w:r>
            <w:r w:rsidRPr="005B494D">
              <w:rPr>
                <w:vertAlign w:val="superscript"/>
              </w:rPr>
              <w:t>a</w:t>
            </w:r>
            <w:proofErr w:type="spellEnd"/>
          </w:p>
        </w:tc>
        <w:tc>
          <w:tcPr>
            <w:tcW w:w="1985" w:type="dxa"/>
            <w:tcBorders>
              <w:top w:val="single" w:sz="18" w:space="0" w:color="000000"/>
              <w:left w:val="single" w:sz="8" w:space="0" w:color="FFFFFF"/>
              <w:bottom w:val="single" w:sz="8" w:space="0" w:color="000000"/>
              <w:right w:val="single" w:sz="8" w:space="0" w:color="FFFFFF"/>
            </w:tcBorders>
            <w:tcMar>
              <w:top w:w="100" w:type="dxa"/>
              <w:left w:w="100" w:type="dxa"/>
              <w:bottom w:w="100" w:type="dxa"/>
              <w:right w:w="100" w:type="dxa"/>
            </w:tcMar>
            <w:vAlign w:val="bottom"/>
            <w:hideMark/>
          </w:tcPr>
          <w:p w14:paraId="05B8760A" w14:textId="7D8493FC" w:rsidR="00D9667E" w:rsidRPr="005B494D" w:rsidRDefault="001765DE" w:rsidP="006E5EB7">
            <w:r w:rsidRPr="005B494D">
              <w:rPr>
                <w:i/>
                <w:iCs/>
              </w:rPr>
              <w:t>P</w:t>
            </w:r>
            <w:r>
              <w:rPr>
                <w:i/>
                <w:iCs/>
              </w:rPr>
              <w:t xml:space="preserve"> </w:t>
            </w:r>
            <w:r w:rsidRPr="005B494D">
              <w:t>value</w:t>
            </w:r>
          </w:p>
        </w:tc>
      </w:tr>
      <w:tr w:rsidR="005B494D" w:rsidRPr="005B494D" w14:paraId="27772650" w14:textId="77777777" w:rsidTr="00D9667E">
        <w:trPr>
          <w:trHeight w:val="340"/>
        </w:trPr>
        <w:tc>
          <w:tcPr>
            <w:tcW w:w="4211" w:type="dxa"/>
            <w:tcBorders>
              <w:top w:val="single" w:sz="8" w:space="0" w:color="000000"/>
              <w:left w:val="single" w:sz="8" w:space="0" w:color="FFFFFF"/>
              <w:right w:val="single" w:sz="8" w:space="0" w:color="FFFFFF"/>
            </w:tcBorders>
            <w:tcMar>
              <w:top w:w="100" w:type="dxa"/>
              <w:left w:w="100" w:type="dxa"/>
              <w:bottom w:w="100" w:type="dxa"/>
              <w:right w:w="100" w:type="dxa"/>
            </w:tcMar>
            <w:hideMark/>
          </w:tcPr>
          <w:p w14:paraId="5BE5A256" w14:textId="32E22485" w:rsidR="00D9667E" w:rsidRPr="005B494D" w:rsidRDefault="00D9667E" w:rsidP="006E5EB7">
            <w:r w:rsidRPr="005B494D">
              <w:rPr>
                <w:rFonts w:hint="eastAsia"/>
              </w:rPr>
              <w:t>A</w:t>
            </w:r>
            <w:r w:rsidRPr="005B494D">
              <w:t>dditional adjustment for histories of cardiometabolic conditions and waist-to-height ratio (</w:t>
            </w:r>
            <w:r w:rsidR="00881110" w:rsidRPr="005B494D">
              <w:t>50,933</w:t>
            </w:r>
            <w:r w:rsidRPr="005B494D">
              <w:t>)</w:t>
            </w:r>
          </w:p>
        </w:tc>
        <w:tc>
          <w:tcPr>
            <w:tcW w:w="3827" w:type="dxa"/>
            <w:tcBorders>
              <w:top w:val="single" w:sz="8" w:space="0" w:color="000000"/>
              <w:left w:val="single" w:sz="8" w:space="0" w:color="FFFFFF"/>
              <w:right w:val="single" w:sz="8" w:space="0" w:color="FFFFFF"/>
            </w:tcBorders>
            <w:tcMar>
              <w:top w:w="100" w:type="dxa"/>
              <w:left w:w="100" w:type="dxa"/>
              <w:bottom w:w="100" w:type="dxa"/>
              <w:right w:w="100" w:type="dxa"/>
            </w:tcMar>
            <w:hideMark/>
          </w:tcPr>
          <w:p w14:paraId="1391AC5D" w14:textId="17ABAFA5" w:rsidR="00D9667E" w:rsidRPr="005B494D" w:rsidRDefault="00D9667E" w:rsidP="006E5EB7">
            <w:r w:rsidRPr="005B494D">
              <w:t>-0.</w:t>
            </w:r>
            <w:r w:rsidR="00881110" w:rsidRPr="005B494D">
              <w:t>117</w:t>
            </w:r>
            <w:r w:rsidRPr="005B494D">
              <w:t xml:space="preserve"> (-0.109, 0.0</w:t>
            </w:r>
            <w:r w:rsidR="00881110" w:rsidRPr="005B494D">
              <w:t>02</w:t>
            </w:r>
            <w:r w:rsidRPr="005B494D">
              <w:t>)</w:t>
            </w:r>
          </w:p>
        </w:tc>
        <w:tc>
          <w:tcPr>
            <w:tcW w:w="1985" w:type="dxa"/>
            <w:tcBorders>
              <w:top w:val="single" w:sz="8" w:space="0" w:color="000000"/>
              <w:left w:val="single" w:sz="8" w:space="0" w:color="FFFFFF"/>
              <w:right w:val="single" w:sz="8" w:space="0" w:color="FFFFFF"/>
            </w:tcBorders>
            <w:tcMar>
              <w:top w:w="100" w:type="dxa"/>
              <w:left w:w="100" w:type="dxa"/>
              <w:bottom w:w="100" w:type="dxa"/>
              <w:right w:w="100" w:type="dxa"/>
            </w:tcMar>
            <w:hideMark/>
          </w:tcPr>
          <w:p w14:paraId="568E2D92" w14:textId="382ED841" w:rsidR="00D9667E" w:rsidRPr="005B494D" w:rsidRDefault="00D9667E" w:rsidP="006E5EB7">
            <w:r w:rsidRPr="005B494D">
              <w:t>0.</w:t>
            </w:r>
            <w:r w:rsidR="00881110" w:rsidRPr="005B494D">
              <w:t>058</w:t>
            </w:r>
          </w:p>
        </w:tc>
      </w:tr>
      <w:tr w:rsidR="005B494D" w:rsidRPr="005B494D" w14:paraId="24BA0550" w14:textId="77777777" w:rsidTr="00D9667E">
        <w:trPr>
          <w:trHeight w:val="340"/>
        </w:trPr>
        <w:tc>
          <w:tcPr>
            <w:tcW w:w="4211" w:type="dxa"/>
            <w:tcMar>
              <w:top w:w="100" w:type="dxa"/>
              <w:left w:w="100" w:type="dxa"/>
              <w:bottom w:w="100" w:type="dxa"/>
              <w:right w:w="100" w:type="dxa"/>
            </w:tcMar>
            <w:hideMark/>
          </w:tcPr>
          <w:p w14:paraId="21059099" w14:textId="5EAAC333" w:rsidR="00D9667E" w:rsidRPr="005B494D" w:rsidRDefault="00D9667E" w:rsidP="006E5EB7">
            <w:r w:rsidRPr="005B494D">
              <w:t>Restricted to participants aged ≥ 60 years at baseline (22,634)</w:t>
            </w:r>
          </w:p>
        </w:tc>
        <w:tc>
          <w:tcPr>
            <w:tcW w:w="3827" w:type="dxa"/>
            <w:tcMar>
              <w:top w:w="100" w:type="dxa"/>
              <w:left w:w="100" w:type="dxa"/>
              <w:bottom w:w="100" w:type="dxa"/>
              <w:right w:w="100" w:type="dxa"/>
            </w:tcMar>
            <w:hideMark/>
          </w:tcPr>
          <w:p w14:paraId="6D8906A2" w14:textId="3D5FEBF6" w:rsidR="00D9667E" w:rsidRPr="005B494D" w:rsidRDefault="00D9667E" w:rsidP="006E5EB7">
            <w:pPr>
              <w:rPr>
                <w:lang w:val="de-AT"/>
              </w:rPr>
            </w:pPr>
            <w:r w:rsidRPr="005B494D">
              <w:t>0.0</w:t>
            </w:r>
            <w:r w:rsidR="00797B3D" w:rsidRPr="005B494D">
              <w:t>21</w:t>
            </w:r>
            <w:r w:rsidRPr="005B494D">
              <w:t xml:space="preserve"> (-0.0</w:t>
            </w:r>
            <w:r w:rsidR="00797B3D" w:rsidRPr="005B494D">
              <w:t>77</w:t>
            </w:r>
            <w:r w:rsidRPr="005B494D">
              <w:t>, 0.1</w:t>
            </w:r>
            <w:r w:rsidR="00797B3D" w:rsidRPr="005B494D">
              <w:t>19</w:t>
            </w:r>
            <w:r w:rsidRPr="005B494D">
              <w:t>)</w:t>
            </w:r>
          </w:p>
        </w:tc>
        <w:tc>
          <w:tcPr>
            <w:tcW w:w="1985" w:type="dxa"/>
            <w:tcMar>
              <w:top w:w="100" w:type="dxa"/>
              <w:left w:w="100" w:type="dxa"/>
              <w:bottom w:w="100" w:type="dxa"/>
              <w:right w:w="100" w:type="dxa"/>
            </w:tcMar>
            <w:hideMark/>
          </w:tcPr>
          <w:p w14:paraId="3CD078E0" w14:textId="57D36854" w:rsidR="00D9667E" w:rsidRPr="005B494D" w:rsidRDefault="00D9667E" w:rsidP="006E5EB7">
            <w:r w:rsidRPr="005B494D">
              <w:t>0.</w:t>
            </w:r>
            <w:r w:rsidR="00797B3D" w:rsidRPr="005B494D">
              <w:t>670</w:t>
            </w:r>
          </w:p>
        </w:tc>
      </w:tr>
      <w:tr w:rsidR="005B494D" w:rsidRPr="005B494D" w14:paraId="57739DEE" w14:textId="77777777" w:rsidTr="00D9667E">
        <w:trPr>
          <w:trHeight w:val="340"/>
        </w:trPr>
        <w:tc>
          <w:tcPr>
            <w:tcW w:w="4211" w:type="dxa"/>
            <w:tcBorders>
              <w:left w:val="single" w:sz="8" w:space="0" w:color="FFFFFF"/>
              <w:bottom w:val="single" w:sz="18" w:space="0" w:color="000000"/>
              <w:right w:val="single" w:sz="8" w:space="0" w:color="FFFFFF"/>
            </w:tcBorders>
            <w:tcMar>
              <w:top w:w="100" w:type="dxa"/>
              <w:left w:w="100" w:type="dxa"/>
              <w:bottom w:w="100" w:type="dxa"/>
              <w:right w:w="100" w:type="dxa"/>
            </w:tcMar>
            <w:hideMark/>
          </w:tcPr>
          <w:p w14:paraId="0F6AA309" w14:textId="19F7CD59" w:rsidR="00D9667E" w:rsidRPr="005B494D" w:rsidRDefault="00D9667E" w:rsidP="006E5EB7">
            <w:r w:rsidRPr="005B494D">
              <w:t>Restricted to participants with complete covariate data (3</w:t>
            </w:r>
            <w:r w:rsidR="00797B3D" w:rsidRPr="005B494D">
              <w:t>0,939</w:t>
            </w:r>
            <w:r w:rsidRPr="005B494D">
              <w:t>)</w:t>
            </w:r>
          </w:p>
        </w:tc>
        <w:tc>
          <w:tcPr>
            <w:tcW w:w="3827" w:type="dxa"/>
            <w:tcBorders>
              <w:left w:val="single" w:sz="8" w:space="0" w:color="FFFFFF"/>
              <w:bottom w:val="single" w:sz="18" w:space="0" w:color="000000"/>
              <w:right w:val="single" w:sz="8" w:space="0" w:color="FFFFFF"/>
            </w:tcBorders>
            <w:tcMar>
              <w:top w:w="100" w:type="dxa"/>
              <w:left w:w="100" w:type="dxa"/>
              <w:bottom w:w="100" w:type="dxa"/>
              <w:right w:w="100" w:type="dxa"/>
            </w:tcMar>
            <w:hideMark/>
          </w:tcPr>
          <w:p w14:paraId="08FD4300" w14:textId="65E0D992" w:rsidR="00D9667E" w:rsidRPr="005B494D" w:rsidRDefault="003F2579" w:rsidP="006E5EB7">
            <w:r w:rsidRPr="005B494D">
              <w:t>-</w:t>
            </w:r>
            <w:r w:rsidR="00D9667E" w:rsidRPr="005B494D">
              <w:t>0.0</w:t>
            </w:r>
            <w:r w:rsidRPr="005B494D">
              <w:t>34</w:t>
            </w:r>
            <w:r w:rsidR="00D9667E" w:rsidRPr="005B494D">
              <w:t xml:space="preserve"> (-0.</w:t>
            </w:r>
            <w:r w:rsidRPr="005B494D">
              <w:t>111</w:t>
            </w:r>
            <w:r w:rsidR="00D9667E" w:rsidRPr="005B494D">
              <w:t>, 0.0</w:t>
            </w:r>
            <w:r w:rsidRPr="005B494D">
              <w:t>42</w:t>
            </w:r>
            <w:r w:rsidR="00D9667E" w:rsidRPr="005B494D">
              <w:t>)</w:t>
            </w:r>
          </w:p>
        </w:tc>
        <w:tc>
          <w:tcPr>
            <w:tcW w:w="1985" w:type="dxa"/>
            <w:tcBorders>
              <w:left w:val="single" w:sz="8" w:space="0" w:color="FFFFFF"/>
              <w:bottom w:val="single" w:sz="18" w:space="0" w:color="000000"/>
              <w:right w:val="single" w:sz="8" w:space="0" w:color="FFFFFF"/>
            </w:tcBorders>
            <w:tcMar>
              <w:top w:w="100" w:type="dxa"/>
              <w:left w:w="100" w:type="dxa"/>
              <w:bottom w:w="100" w:type="dxa"/>
              <w:right w:w="100" w:type="dxa"/>
            </w:tcMar>
            <w:hideMark/>
          </w:tcPr>
          <w:p w14:paraId="77000959" w14:textId="4BB4E11D" w:rsidR="00D9667E" w:rsidRPr="005B494D" w:rsidRDefault="00D9667E" w:rsidP="006E5EB7">
            <w:r w:rsidRPr="005B494D">
              <w:t>0.</w:t>
            </w:r>
            <w:r w:rsidR="003F2579" w:rsidRPr="005B494D">
              <w:t>375</w:t>
            </w:r>
          </w:p>
        </w:tc>
      </w:tr>
      <w:tr w:rsidR="005B494D" w:rsidRPr="005B494D" w14:paraId="6E51A48E" w14:textId="77777777" w:rsidTr="00D9667E">
        <w:trPr>
          <w:trHeight w:val="340"/>
        </w:trPr>
        <w:tc>
          <w:tcPr>
            <w:tcW w:w="4211" w:type="dxa"/>
            <w:tcBorders>
              <w:top w:val="single" w:sz="18" w:space="0" w:color="000000"/>
              <w:left w:val="single" w:sz="8" w:space="0" w:color="FFFFFF"/>
              <w:bottom w:val="single" w:sz="8" w:space="0" w:color="000000"/>
              <w:right w:val="single" w:sz="8" w:space="0" w:color="FFFFFF"/>
            </w:tcBorders>
            <w:tcMar>
              <w:top w:w="100" w:type="dxa"/>
              <w:left w:w="100" w:type="dxa"/>
              <w:bottom w:w="100" w:type="dxa"/>
              <w:right w:w="100" w:type="dxa"/>
            </w:tcMar>
            <w:vAlign w:val="bottom"/>
            <w:hideMark/>
          </w:tcPr>
          <w:p w14:paraId="097EA462" w14:textId="46AACA1E" w:rsidR="00D9667E" w:rsidRPr="005B494D" w:rsidRDefault="00D9667E" w:rsidP="006E5EB7">
            <w:r w:rsidRPr="005B494D">
              <w:t>Fluid Intelligence (n)</w:t>
            </w:r>
          </w:p>
        </w:tc>
        <w:tc>
          <w:tcPr>
            <w:tcW w:w="3827" w:type="dxa"/>
            <w:tcBorders>
              <w:top w:val="single" w:sz="18" w:space="0" w:color="000000"/>
              <w:left w:val="single" w:sz="8" w:space="0" w:color="FFFFFF"/>
              <w:bottom w:val="single" w:sz="8" w:space="0" w:color="000000"/>
              <w:right w:val="single" w:sz="8" w:space="0" w:color="FFFFFF"/>
            </w:tcBorders>
            <w:tcMar>
              <w:top w:w="100" w:type="dxa"/>
              <w:left w:w="100" w:type="dxa"/>
              <w:bottom w:w="100" w:type="dxa"/>
              <w:right w:w="100" w:type="dxa"/>
            </w:tcMar>
            <w:vAlign w:val="bottom"/>
            <w:hideMark/>
          </w:tcPr>
          <w:p w14:paraId="5A74ECD0" w14:textId="4A67F15C" w:rsidR="00D9667E" w:rsidRPr="005B494D" w:rsidRDefault="00D9667E" w:rsidP="006E5EB7">
            <w:r w:rsidRPr="005B494D">
              <w:t xml:space="preserve">β (95% CI), difference in fluid intelligence </w:t>
            </w:r>
            <w:proofErr w:type="spellStart"/>
            <w:r w:rsidRPr="005B494D">
              <w:t>score</w:t>
            </w:r>
            <w:r w:rsidRPr="005B494D">
              <w:rPr>
                <w:vertAlign w:val="superscript"/>
              </w:rPr>
              <w:t>a</w:t>
            </w:r>
            <w:proofErr w:type="spellEnd"/>
          </w:p>
        </w:tc>
        <w:tc>
          <w:tcPr>
            <w:tcW w:w="1985" w:type="dxa"/>
            <w:tcBorders>
              <w:top w:val="single" w:sz="18" w:space="0" w:color="000000"/>
              <w:left w:val="single" w:sz="8" w:space="0" w:color="FFFFFF"/>
              <w:bottom w:val="single" w:sz="8" w:space="0" w:color="000000"/>
              <w:right w:val="single" w:sz="8" w:space="0" w:color="FFFFFF"/>
            </w:tcBorders>
            <w:tcMar>
              <w:top w:w="100" w:type="dxa"/>
              <w:left w:w="100" w:type="dxa"/>
              <w:bottom w:w="100" w:type="dxa"/>
              <w:right w:w="100" w:type="dxa"/>
            </w:tcMar>
            <w:vAlign w:val="bottom"/>
            <w:hideMark/>
          </w:tcPr>
          <w:p w14:paraId="52ADBDA7" w14:textId="21DFC5D7" w:rsidR="00D9667E" w:rsidRPr="005B494D" w:rsidRDefault="001765DE" w:rsidP="006E5EB7">
            <w:r w:rsidRPr="005B494D">
              <w:rPr>
                <w:i/>
                <w:iCs/>
              </w:rPr>
              <w:t>P</w:t>
            </w:r>
            <w:r>
              <w:rPr>
                <w:i/>
                <w:iCs/>
              </w:rPr>
              <w:t xml:space="preserve"> </w:t>
            </w:r>
            <w:r w:rsidRPr="005B494D">
              <w:t>value</w:t>
            </w:r>
          </w:p>
        </w:tc>
      </w:tr>
      <w:tr w:rsidR="005B494D" w:rsidRPr="005B494D" w14:paraId="678EFDED" w14:textId="77777777" w:rsidTr="00D9667E">
        <w:trPr>
          <w:trHeight w:val="340"/>
        </w:trPr>
        <w:tc>
          <w:tcPr>
            <w:tcW w:w="4211" w:type="dxa"/>
            <w:tcBorders>
              <w:top w:val="single" w:sz="8" w:space="0" w:color="000000"/>
              <w:left w:val="single" w:sz="8" w:space="0" w:color="FFFFFF"/>
              <w:right w:val="single" w:sz="8" w:space="0" w:color="FFFFFF"/>
            </w:tcBorders>
            <w:tcMar>
              <w:top w:w="100" w:type="dxa"/>
              <w:left w:w="100" w:type="dxa"/>
              <w:bottom w:w="100" w:type="dxa"/>
              <w:right w:w="100" w:type="dxa"/>
            </w:tcMar>
            <w:hideMark/>
          </w:tcPr>
          <w:p w14:paraId="4D22C336" w14:textId="0C1A9E74" w:rsidR="00D9667E" w:rsidRPr="005B494D" w:rsidRDefault="00D9667E" w:rsidP="006E5EB7">
            <w:r w:rsidRPr="005B494D">
              <w:rPr>
                <w:rFonts w:hint="eastAsia"/>
              </w:rPr>
              <w:t>A</w:t>
            </w:r>
            <w:r w:rsidRPr="005B494D">
              <w:t>dditional adjustment for histories of cardiometabolic conditions and waist-to-height ratio (</w:t>
            </w:r>
            <w:r w:rsidR="005C669D" w:rsidRPr="005B494D">
              <w:t>163,390</w:t>
            </w:r>
            <w:r w:rsidRPr="005B494D">
              <w:t>)</w:t>
            </w:r>
          </w:p>
        </w:tc>
        <w:tc>
          <w:tcPr>
            <w:tcW w:w="3827" w:type="dxa"/>
            <w:tcBorders>
              <w:top w:val="single" w:sz="8" w:space="0" w:color="000000"/>
              <w:left w:val="single" w:sz="8" w:space="0" w:color="FFFFFF"/>
              <w:right w:val="single" w:sz="8" w:space="0" w:color="FFFFFF"/>
            </w:tcBorders>
            <w:tcMar>
              <w:top w:w="100" w:type="dxa"/>
              <w:left w:w="100" w:type="dxa"/>
              <w:bottom w:w="100" w:type="dxa"/>
              <w:right w:w="100" w:type="dxa"/>
            </w:tcMar>
            <w:hideMark/>
          </w:tcPr>
          <w:p w14:paraId="49A7D08C" w14:textId="1D6BD46B" w:rsidR="00D9667E" w:rsidRPr="005B494D" w:rsidRDefault="00D9667E" w:rsidP="006E5EB7">
            <w:r w:rsidRPr="005B494D">
              <w:t>-0.0</w:t>
            </w:r>
            <w:r w:rsidR="00DE4BAD" w:rsidRPr="005B494D">
              <w:t>22</w:t>
            </w:r>
            <w:r w:rsidRPr="005B494D">
              <w:t xml:space="preserve"> (-0.0</w:t>
            </w:r>
            <w:r w:rsidR="00DE4BAD" w:rsidRPr="005B494D">
              <w:t>60</w:t>
            </w:r>
            <w:r w:rsidRPr="005B494D">
              <w:t>, 0.0</w:t>
            </w:r>
            <w:r w:rsidR="00D771AA" w:rsidRPr="005B494D">
              <w:t>58</w:t>
            </w:r>
            <w:r w:rsidRPr="005B494D">
              <w:t>)</w:t>
            </w:r>
          </w:p>
        </w:tc>
        <w:tc>
          <w:tcPr>
            <w:tcW w:w="1985" w:type="dxa"/>
            <w:tcBorders>
              <w:top w:val="single" w:sz="8" w:space="0" w:color="000000"/>
              <w:left w:val="single" w:sz="8" w:space="0" w:color="FFFFFF"/>
              <w:right w:val="single" w:sz="8" w:space="0" w:color="FFFFFF"/>
            </w:tcBorders>
            <w:tcMar>
              <w:top w:w="100" w:type="dxa"/>
              <w:left w:w="100" w:type="dxa"/>
              <w:bottom w:w="100" w:type="dxa"/>
              <w:right w:w="100" w:type="dxa"/>
            </w:tcMar>
            <w:hideMark/>
          </w:tcPr>
          <w:p w14:paraId="45F87435" w14:textId="11D690B6" w:rsidR="00D9667E" w:rsidRPr="005B494D" w:rsidRDefault="00D9667E" w:rsidP="006E5EB7">
            <w:r w:rsidRPr="005B494D">
              <w:t>0.</w:t>
            </w:r>
            <w:r w:rsidR="003901F3" w:rsidRPr="005B494D">
              <w:t>24</w:t>
            </w:r>
            <w:r w:rsidR="00D771AA" w:rsidRPr="005B494D">
              <w:t>1</w:t>
            </w:r>
          </w:p>
        </w:tc>
      </w:tr>
      <w:tr w:rsidR="005B494D" w:rsidRPr="005B494D" w14:paraId="7DA19C38" w14:textId="77777777" w:rsidTr="00D9667E">
        <w:trPr>
          <w:trHeight w:val="340"/>
        </w:trPr>
        <w:tc>
          <w:tcPr>
            <w:tcW w:w="4211" w:type="dxa"/>
            <w:tcMar>
              <w:top w:w="100" w:type="dxa"/>
              <w:left w:w="100" w:type="dxa"/>
              <w:bottom w:w="100" w:type="dxa"/>
              <w:right w:w="100" w:type="dxa"/>
            </w:tcMar>
            <w:hideMark/>
          </w:tcPr>
          <w:p w14:paraId="73B063C8" w14:textId="59330ACF" w:rsidR="00D9667E" w:rsidRPr="005B494D" w:rsidRDefault="00D9667E" w:rsidP="006E5EB7">
            <w:r w:rsidRPr="005B494D">
              <w:t>Restricted to participants aged ≥ 60 years at baseline (73,6</w:t>
            </w:r>
            <w:r w:rsidR="00D771AA" w:rsidRPr="005B494D">
              <w:t>65</w:t>
            </w:r>
            <w:r w:rsidRPr="005B494D">
              <w:t>)</w:t>
            </w:r>
          </w:p>
        </w:tc>
        <w:tc>
          <w:tcPr>
            <w:tcW w:w="3827" w:type="dxa"/>
            <w:tcMar>
              <w:top w:w="100" w:type="dxa"/>
              <w:left w:w="100" w:type="dxa"/>
              <w:bottom w:w="100" w:type="dxa"/>
              <w:right w:w="100" w:type="dxa"/>
            </w:tcMar>
            <w:hideMark/>
          </w:tcPr>
          <w:p w14:paraId="50F0E511" w14:textId="621E4E45" w:rsidR="00D9667E" w:rsidRPr="005B494D" w:rsidRDefault="00D771AA" w:rsidP="006E5EB7">
            <w:r w:rsidRPr="005B494D">
              <w:t>-</w:t>
            </w:r>
            <w:r w:rsidR="00D9667E" w:rsidRPr="005B494D">
              <w:t>0.0</w:t>
            </w:r>
            <w:r w:rsidRPr="005B494D">
              <w:t>01</w:t>
            </w:r>
            <w:r w:rsidR="00D9667E" w:rsidRPr="005B494D">
              <w:t xml:space="preserve"> (-0.05</w:t>
            </w:r>
            <w:r w:rsidRPr="005B494D">
              <w:t>9</w:t>
            </w:r>
            <w:r w:rsidR="00D9667E" w:rsidRPr="005B494D">
              <w:t>, 0.065)</w:t>
            </w:r>
          </w:p>
        </w:tc>
        <w:tc>
          <w:tcPr>
            <w:tcW w:w="1985" w:type="dxa"/>
            <w:tcMar>
              <w:top w:w="100" w:type="dxa"/>
              <w:left w:w="100" w:type="dxa"/>
              <w:bottom w:w="100" w:type="dxa"/>
              <w:right w:w="100" w:type="dxa"/>
            </w:tcMar>
            <w:hideMark/>
          </w:tcPr>
          <w:p w14:paraId="4490AF4B" w14:textId="32E75AB0" w:rsidR="00D9667E" w:rsidRPr="005B494D" w:rsidRDefault="00D9667E" w:rsidP="006E5EB7">
            <w:r w:rsidRPr="005B494D">
              <w:t>0.</w:t>
            </w:r>
            <w:r w:rsidR="003901F3" w:rsidRPr="005B494D">
              <w:t>981</w:t>
            </w:r>
          </w:p>
        </w:tc>
      </w:tr>
      <w:tr w:rsidR="005B494D" w:rsidRPr="005B494D" w14:paraId="3E89CB49" w14:textId="77777777" w:rsidTr="00D9667E">
        <w:trPr>
          <w:trHeight w:val="340"/>
        </w:trPr>
        <w:tc>
          <w:tcPr>
            <w:tcW w:w="4211" w:type="dxa"/>
            <w:tcBorders>
              <w:left w:val="single" w:sz="8" w:space="0" w:color="FFFFFF"/>
              <w:bottom w:val="single" w:sz="18" w:space="0" w:color="000000"/>
              <w:right w:val="single" w:sz="8" w:space="0" w:color="FFFFFF"/>
            </w:tcBorders>
            <w:tcMar>
              <w:top w:w="100" w:type="dxa"/>
              <w:left w:w="100" w:type="dxa"/>
              <w:bottom w:w="100" w:type="dxa"/>
              <w:right w:w="100" w:type="dxa"/>
            </w:tcMar>
            <w:hideMark/>
          </w:tcPr>
          <w:p w14:paraId="3BF31797" w14:textId="18D2BD7D" w:rsidR="00D9667E" w:rsidRPr="005B494D" w:rsidRDefault="00D9667E" w:rsidP="006E5EB7">
            <w:r w:rsidRPr="005B494D">
              <w:t>Restricted to participants with complete covariate data (1</w:t>
            </w:r>
            <w:r w:rsidR="00570304" w:rsidRPr="005B494D">
              <w:t>00</w:t>
            </w:r>
            <w:r w:rsidRPr="005B494D">
              <w:t>,</w:t>
            </w:r>
            <w:r w:rsidR="00570304" w:rsidRPr="005B494D">
              <w:t>825</w:t>
            </w:r>
            <w:r w:rsidRPr="005B494D">
              <w:t>)</w:t>
            </w:r>
          </w:p>
        </w:tc>
        <w:tc>
          <w:tcPr>
            <w:tcW w:w="3827" w:type="dxa"/>
            <w:tcBorders>
              <w:left w:val="single" w:sz="8" w:space="0" w:color="FFFFFF"/>
              <w:bottom w:val="single" w:sz="18" w:space="0" w:color="000000"/>
              <w:right w:val="single" w:sz="8" w:space="0" w:color="FFFFFF"/>
            </w:tcBorders>
            <w:tcMar>
              <w:top w:w="100" w:type="dxa"/>
              <w:left w:w="100" w:type="dxa"/>
              <w:bottom w:w="100" w:type="dxa"/>
              <w:right w:w="100" w:type="dxa"/>
            </w:tcMar>
            <w:hideMark/>
          </w:tcPr>
          <w:p w14:paraId="77DCD072" w14:textId="6DF9DAF2" w:rsidR="00D9667E" w:rsidRPr="005B494D" w:rsidRDefault="00BF79D0" w:rsidP="006E5EB7">
            <w:r w:rsidRPr="005B494D">
              <w:t>-0.007</w:t>
            </w:r>
            <w:r w:rsidR="00D9667E" w:rsidRPr="005B494D">
              <w:t xml:space="preserve"> (-0.0</w:t>
            </w:r>
            <w:r w:rsidRPr="005B494D">
              <w:t>56</w:t>
            </w:r>
            <w:r w:rsidR="00D9667E" w:rsidRPr="005B494D">
              <w:t>, 0.0</w:t>
            </w:r>
            <w:r w:rsidRPr="005B494D">
              <w:t>41</w:t>
            </w:r>
            <w:r w:rsidR="00D9667E" w:rsidRPr="005B494D">
              <w:t>)</w:t>
            </w:r>
          </w:p>
        </w:tc>
        <w:tc>
          <w:tcPr>
            <w:tcW w:w="1985" w:type="dxa"/>
            <w:tcBorders>
              <w:left w:val="single" w:sz="8" w:space="0" w:color="FFFFFF"/>
              <w:bottom w:val="single" w:sz="18" w:space="0" w:color="000000"/>
              <w:right w:val="single" w:sz="8" w:space="0" w:color="FFFFFF"/>
            </w:tcBorders>
            <w:tcMar>
              <w:top w:w="100" w:type="dxa"/>
              <w:left w:w="100" w:type="dxa"/>
              <w:bottom w:w="100" w:type="dxa"/>
              <w:right w:w="100" w:type="dxa"/>
            </w:tcMar>
            <w:hideMark/>
          </w:tcPr>
          <w:p w14:paraId="6D35A863" w14:textId="7FE7D0E7" w:rsidR="00D9667E" w:rsidRPr="005B494D" w:rsidRDefault="00D9667E" w:rsidP="006E5EB7">
            <w:r w:rsidRPr="005B494D">
              <w:t>0.</w:t>
            </w:r>
            <w:r w:rsidR="00BF79D0" w:rsidRPr="005B494D">
              <w:t>754</w:t>
            </w:r>
          </w:p>
        </w:tc>
      </w:tr>
    </w:tbl>
    <w:p w14:paraId="5CEF87BD" w14:textId="6EEBA291" w:rsidR="00485F38" w:rsidRPr="005B494D" w:rsidRDefault="00485F38" w:rsidP="00485F38">
      <w:r w:rsidRPr="005B494D">
        <w:rPr>
          <w:vertAlign w:val="superscript"/>
        </w:rPr>
        <w:t xml:space="preserve">a </w:t>
      </w:r>
      <w:r w:rsidRPr="005B494D">
        <w:t xml:space="preserve">β represents the adjusted mean difference for high-frequency vs low-frequency meat </w:t>
      </w:r>
      <w:r w:rsidR="00180649">
        <w:t>intake</w:t>
      </w:r>
      <w:r w:rsidRPr="005B494D">
        <w:t xml:space="preserve"> (reference)</w:t>
      </w:r>
      <w:r w:rsidR="0007256E" w:rsidRPr="005B494D">
        <w:t>.</w:t>
      </w:r>
    </w:p>
    <w:p w14:paraId="427BE84F" w14:textId="77777777" w:rsidR="00551BB8" w:rsidRPr="005B494D" w:rsidRDefault="00551BB8" w:rsidP="00551BB8">
      <w:pPr>
        <w:pStyle w:val="BodyText"/>
        <w:rPr>
          <w:rFonts w:ascii="Times New Roman" w:hAnsi="Times New Roman" w:cs="Times New Roman"/>
        </w:rPr>
      </w:pPr>
    </w:p>
    <w:p w14:paraId="1C14581C" w14:textId="26E9A383" w:rsidR="00FC44BD" w:rsidRPr="005B494D" w:rsidRDefault="00FC44BD">
      <w:pPr>
        <w:spacing w:after="200"/>
        <w:rPr>
          <w:rFonts w:eastAsiaTheme="minorEastAsia"/>
          <w:lang w:eastAsia="en-US"/>
        </w:rPr>
      </w:pPr>
    </w:p>
    <w:sectPr w:rsidR="00FC44BD" w:rsidRPr="005B494D" w:rsidSect="00B91992">
      <w:headerReference w:type="default" r:id="rId10"/>
      <w:footerReference w:type="even" r:id="rId11"/>
      <w:footerReference w:type="default" r:id="rId12"/>
      <w:footnotePr>
        <w:numRestart w:val="eachSect"/>
      </w:footnotePr>
      <w:pgSz w:w="12240" w:h="15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C9C30" w14:textId="77777777" w:rsidR="00AF2D95" w:rsidRDefault="00AF2D95" w:rsidP="0091374E">
      <w:r>
        <w:separator/>
      </w:r>
    </w:p>
  </w:endnote>
  <w:endnote w:type="continuationSeparator" w:id="0">
    <w:p w14:paraId="388A5C59" w14:textId="77777777" w:rsidR="00AF2D95" w:rsidRDefault="00AF2D95" w:rsidP="0091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altName w:val="Cambria"/>
    <w:panose1 w:val="020B0604020202020204"/>
    <w:charset w:val="00"/>
    <w:family w:val="swiss"/>
    <w:pitch w:val="variable"/>
    <w:sig w:usb0="E4002EFF" w:usb1="C000E47F"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2767873"/>
      <w:docPartObj>
        <w:docPartGallery w:val="Page Numbers (Bottom of Page)"/>
        <w:docPartUnique/>
      </w:docPartObj>
    </w:sdtPr>
    <w:sdtContent>
      <w:p w14:paraId="0AD85028" w14:textId="1FE8245B" w:rsidR="00B003E3" w:rsidRDefault="00B003E3" w:rsidP="00B003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6BC102" w14:textId="77777777" w:rsidR="00B003E3" w:rsidRDefault="00B0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8309741"/>
      <w:docPartObj>
        <w:docPartGallery w:val="Page Numbers (Bottom of Page)"/>
        <w:docPartUnique/>
      </w:docPartObj>
    </w:sdtPr>
    <w:sdtContent>
      <w:p w14:paraId="56890A58" w14:textId="4F9F1309" w:rsidR="00B003E3" w:rsidRDefault="00B003E3" w:rsidP="00B003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08F418" w14:textId="77777777" w:rsidR="00B003E3" w:rsidRDefault="00B0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C312B" w14:textId="77777777" w:rsidR="00AF2D95" w:rsidRDefault="00AF2D95" w:rsidP="0091374E">
      <w:r>
        <w:separator/>
      </w:r>
    </w:p>
  </w:footnote>
  <w:footnote w:type="continuationSeparator" w:id="0">
    <w:p w14:paraId="42AB5488" w14:textId="77777777" w:rsidR="00AF2D95" w:rsidRDefault="00AF2D95" w:rsidP="0091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B74A" w14:textId="37ABEC64" w:rsidR="00B003E3" w:rsidRDefault="00B003E3" w:rsidP="00DB288E">
    <w:pPr>
      <w:pStyle w:val="Header"/>
      <w:jc w:val="center"/>
    </w:pPr>
    <w:r>
      <w:t>Supplementary Materials</w:t>
    </w:r>
  </w:p>
  <w:p w14:paraId="0A4FE1FC" w14:textId="77777777" w:rsidR="00B003E3" w:rsidRDefault="00B00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BA55EA"/>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5C70BD52"/>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8BD26E6E"/>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EAE05564"/>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FBD253D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7AD6CB42"/>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5A42EBA4"/>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DF6814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A0E75CE"/>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E6980BC6"/>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00A990"/>
    <w:multiLevelType w:val="multilevel"/>
    <w:tmpl w:val="F3AE122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52B1"/>
    <w:rsid w:val="00001FDF"/>
    <w:rsid w:val="00012E0A"/>
    <w:rsid w:val="000164BD"/>
    <w:rsid w:val="00020516"/>
    <w:rsid w:val="000375A9"/>
    <w:rsid w:val="0007256E"/>
    <w:rsid w:val="00077ED7"/>
    <w:rsid w:val="000819F2"/>
    <w:rsid w:val="000A31D0"/>
    <w:rsid w:val="000A334A"/>
    <w:rsid w:val="000A4B56"/>
    <w:rsid w:val="000A7B5F"/>
    <w:rsid w:val="000D140D"/>
    <w:rsid w:val="000D2452"/>
    <w:rsid w:val="00107046"/>
    <w:rsid w:val="00130598"/>
    <w:rsid w:val="00147343"/>
    <w:rsid w:val="00164C8B"/>
    <w:rsid w:val="00174074"/>
    <w:rsid w:val="001765DE"/>
    <w:rsid w:val="00180649"/>
    <w:rsid w:val="00181035"/>
    <w:rsid w:val="0018622B"/>
    <w:rsid w:val="001908E2"/>
    <w:rsid w:val="00194987"/>
    <w:rsid w:val="001A043F"/>
    <w:rsid w:val="001A5613"/>
    <w:rsid w:val="001B7864"/>
    <w:rsid w:val="001F1F2C"/>
    <w:rsid w:val="00200C95"/>
    <w:rsid w:val="00217C9F"/>
    <w:rsid w:val="002239F8"/>
    <w:rsid w:val="00280F8C"/>
    <w:rsid w:val="00281E63"/>
    <w:rsid w:val="002853BE"/>
    <w:rsid w:val="002A275D"/>
    <w:rsid w:val="002D6EE6"/>
    <w:rsid w:val="002E30DB"/>
    <w:rsid w:val="0031032A"/>
    <w:rsid w:val="003106BE"/>
    <w:rsid w:val="003452B1"/>
    <w:rsid w:val="00352EA9"/>
    <w:rsid w:val="00366617"/>
    <w:rsid w:val="00370FA1"/>
    <w:rsid w:val="00373CCE"/>
    <w:rsid w:val="003741CE"/>
    <w:rsid w:val="00380B48"/>
    <w:rsid w:val="003901F3"/>
    <w:rsid w:val="00391787"/>
    <w:rsid w:val="003D2E0C"/>
    <w:rsid w:val="003D6BA3"/>
    <w:rsid w:val="003E3544"/>
    <w:rsid w:val="003F0EE2"/>
    <w:rsid w:val="003F1DF9"/>
    <w:rsid w:val="003F2579"/>
    <w:rsid w:val="003F3D0B"/>
    <w:rsid w:val="00412BBF"/>
    <w:rsid w:val="00415C13"/>
    <w:rsid w:val="00421A23"/>
    <w:rsid w:val="00423392"/>
    <w:rsid w:val="00435647"/>
    <w:rsid w:val="004423EC"/>
    <w:rsid w:val="0045377D"/>
    <w:rsid w:val="0047486A"/>
    <w:rsid w:val="00482060"/>
    <w:rsid w:val="0048542A"/>
    <w:rsid w:val="00485F38"/>
    <w:rsid w:val="0048796B"/>
    <w:rsid w:val="004B3BC9"/>
    <w:rsid w:val="004E2074"/>
    <w:rsid w:val="004E2DC3"/>
    <w:rsid w:val="004F35E0"/>
    <w:rsid w:val="004F4D05"/>
    <w:rsid w:val="00516FFF"/>
    <w:rsid w:val="00543335"/>
    <w:rsid w:val="00551BB8"/>
    <w:rsid w:val="00563BFB"/>
    <w:rsid w:val="00570304"/>
    <w:rsid w:val="00571EB0"/>
    <w:rsid w:val="00573EB2"/>
    <w:rsid w:val="0057711C"/>
    <w:rsid w:val="005B0E71"/>
    <w:rsid w:val="005B494D"/>
    <w:rsid w:val="005C669D"/>
    <w:rsid w:val="006044EE"/>
    <w:rsid w:val="00612938"/>
    <w:rsid w:val="006218CC"/>
    <w:rsid w:val="00653F39"/>
    <w:rsid w:val="00684F21"/>
    <w:rsid w:val="00695857"/>
    <w:rsid w:val="006C09F1"/>
    <w:rsid w:val="006C7485"/>
    <w:rsid w:val="006D5F25"/>
    <w:rsid w:val="006D6DCA"/>
    <w:rsid w:val="006E0503"/>
    <w:rsid w:val="006E5EB7"/>
    <w:rsid w:val="0072447C"/>
    <w:rsid w:val="00736DDD"/>
    <w:rsid w:val="00782335"/>
    <w:rsid w:val="00796EC1"/>
    <w:rsid w:val="0079732D"/>
    <w:rsid w:val="00797B3D"/>
    <w:rsid w:val="007B6925"/>
    <w:rsid w:val="007C1313"/>
    <w:rsid w:val="007F4342"/>
    <w:rsid w:val="008136EE"/>
    <w:rsid w:val="00821B96"/>
    <w:rsid w:val="008332CA"/>
    <w:rsid w:val="00881110"/>
    <w:rsid w:val="008851E8"/>
    <w:rsid w:val="008A5005"/>
    <w:rsid w:val="008B1869"/>
    <w:rsid w:val="008D6199"/>
    <w:rsid w:val="008E659B"/>
    <w:rsid w:val="00904013"/>
    <w:rsid w:val="00907B3D"/>
    <w:rsid w:val="009132FC"/>
    <w:rsid w:val="0091374E"/>
    <w:rsid w:val="00916ED0"/>
    <w:rsid w:val="00936D6A"/>
    <w:rsid w:val="009539CA"/>
    <w:rsid w:val="00954259"/>
    <w:rsid w:val="00956AC4"/>
    <w:rsid w:val="0096241B"/>
    <w:rsid w:val="00974271"/>
    <w:rsid w:val="009839A1"/>
    <w:rsid w:val="00997FB1"/>
    <w:rsid w:val="009A30B5"/>
    <w:rsid w:val="009A3784"/>
    <w:rsid w:val="009C2B30"/>
    <w:rsid w:val="009D0EB9"/>
    <w:rsid w:val="00A07BC7"/>
    <w:rsid w:val="00A132A0"/>
    <w:rsid w:val="00A156A9"/>
    <w:rsid w:val="00A1796B"/>
    <w:rsid w:val="00A50BD8"/>
    <w:rsid w:val="00A53E90"/>
    <w:rsid w:val="00A57C57"/>
    <w:rsid w:val="00A808FE"/>
    <w:rsid w:val="00A961B2"/>
    <w:rsid w:val="00AA5239"/>
    <w:rsid w:val="00AF2D95"/>
    <w:rsid w:val="00B003E3"/>
    <w:rsid w:val="00B04268"/>
    <w:rsid w:val="00B34BD7"/>
    <w:rsid w:val="00B51E18"/>
    <w:rsid w:val="00B74CD9"/>
    <w:rsid w:val="00B908D2"/>
    <w:rsid w:val="00B90CA9"/>
    <w:rsid w:val="00B91992"/>
    <w:rsid w:val="00BA5048"/>
    <w:rsid w:val="00BC6C8E"/>
    <w:rsid w:val="00BD0BE6"/>
    <w:rsid w:val="00BF04C6"/>
    <w:rsid w:val="00BF0F12"/>
    <w:rsid w:val="00BF3BD6"/>
    <w:rsid w:val="00BF79D0"/>
    <w:rsid w:val="00C00E99"/>
    <w:rsid w:val="00C17576"/>
    <w:rsid w:val="00C17CE3"/>
    <w:rsid w:val="00C2045A"/>
    <w:rsid w:val="00C43737"/>
    <w:rsid w:val="00C51D1A"/>
    <w:rsid w:val="00CB3E22"/>
    <w:rsid w:val="00CD08A7"/>
    <w:rsid w:val="00CD38AB"/>
    <w:rsid w:val="00D02793"/>
    <w:rsid w:val="00D04A78"/>
    <w:rsid w:val="00D214D7"/>
    <w:rsid w:val="00D57674"/>
    <w:rsid w:val="00D771AA"/>
    <w:rsid w:val="00D9667E"/>
    <w:rsid w:val="00DB288E"/>
    <w:rsid w:val="00DB7A8F"/>
    <w:rsid w:val="00DB7C53"/>
    <w:rsid w:val="00DE4BAD"/>
    <w:rsid w:val="00E02378"/>
    <w:rsid w:val="00E02D0C"/>
    <w:rsid w:val="00E11166"/>
    <w:rsid w:val="00E22CEA"/>
    <w:rsid w:val="00E306B6"/>
    <w:rsid w:val="00E3113D"/>
    <w:rsid w:val="00E3713F"/>
    <w:rsid w:val="00E4171A"/>
    <w:rsid w:val="00E7629C"/>
    <w:rsid w:val="00E90AA4"/>
    <w:rsid w:val="00EA2349"/>
    <w:rsid w:val="00EB375A"/>
    <w:rsid w:val="00EB7044"/>
    <w:rsid w:val="00EB7EBD"/>
    <w:rsid w:val="00EC0CB8"/>
    <w:rsid w:val="00EF128E"/>
    <w:rsid w:val="00F036AF"/>
    <w:rsid w:val="00F12CB3"/>
    <w:rsid w:val="00F22182"/>
    <w:rsid w:val="00F933D2"/>
    <w:rsid w:val="00F941DB"/>
    <w:rsid w:val="00FC33BE"/>
    <w:rsid w:val="00FC44BD"/>
    <w:rsid w:val="00FD66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8832"/>
  <w15:docId w15:val="{4706DE42-AC38-FC42-B864-9EF2101B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378"/>
    <w:pPr>
      <w:spacing w:after="0"/>
    </w:pPr>
    <w:rPr>
      <w:rFonts w:ascii="Times New Roman" w:eastAsia="Times New Roman" w:hAnsi="Times New Roman" w:cs="Times New Roman"/>
      <w:lang w:eastAsia="zh-TW"/>
    </w:rPr>
  </w:style>
  <w:style w:type="paragraph" w:styleId="Heading1">
    <w:name w:val="heading 1"/>
    <w:basedOn w:val="Heading2"/>
    <w:next w:val="BodyText"/>
    <w:link w:val="Heading1Char"/>
    <w:uiPriority w:val="9"/>
    <w:qFormat/>
    <w:rsid w:val="00412BBF"/>
    <w:pPr>
      <w:spacing w:before="120" w:after="200"/>
      <w:jc w:val="both"/>
      <w:outlineLvl w:val="0"/>
    </w:pPr>
    <w:rPr>
      <w:rFonts w:eastAsia="Times New Roman"/>
      <w:sz w:val="36"/>
      <w:szCs w:val="36"/>
      <w:lang w:eastAsia="zh-TW"/>
    </w:rPr>
  </w:style>
  <w:style w:type="paragraph" w:styleId="Heading2">
    <w:name w:val="heading 2"/>
    <w:basedOn w:val="Normal"/>
    <w:next w:val="BodyText"/>
    <w:link w:val="Heading2Char"/>
    <w:uiPriority w:val="9"/>
    <w:unhideWhenUsed/>
    <w:qFormat/>
    <w:rsid w:val="00412BBF"/>
    <w:pPr>
      <w:keepNext/>
      <w:keepLines/>
      <w:spacing w:before="160" w:after="80" w:line="360" w:lineRule="auto"/>
      <w:outlineLvl w:val="1"/>
    </w:pPr>
    <w:rPr>
      <w:rFonts w:eastAsiaTheme="majorEastAsia"/>
      <w:sz w:val="32"/>
      <w:szCs w:val="32"/>
      <w:lang w:eastAsia="en-US"/>
    </w:rPr>
  </w:style>
  <w:style w:type="paragraph" w:styleId="Heading3">
    <w:name w:val="heading 3"/>
    <w:basedOn w:val="NormalWeb"/>
    <w:next w:val="BodyText"/>
    <w:link w:val="Heading3Char"/>
    <w:uiPriority w:val="9"/>
    <w:unhideWhenUsed/>
    <w:qFormat/>
    <w:rsid w:val="00412BBF"/>
    <w:pPr>
      <w:spacing w:before="0" w:beforeAutospacing="0" w:after="0" w:afterAutospacing="0" w:line="480" w:lineRule="auto"/>
      <w:jc w:val="both"/>
      <w:outlineLvl w:val="2"/>
    </w:pPr>
    <w:rPr>
      <w:sz w:val="28"/>
      <w:szCs w:val="28"/>
    </w:rPr>
  </w:style>
  <w:style w:type="paragraph" w:styleId="Heading4">
    <w:name w:val="heading 4"/>
    <w:basedOn w:val="Heading3"/>
    <w:next w:val="BodyText"/>
    <w:link w:val="Heading4Char"/>
    <w:uiPriority w:val="9"/>
    <w:unhideWhenUsed/>
    <w:qFormat/>
    <w:rsid w:val="00412BBF"/>
    <w:pPr>
      <w:outlineLvl w:val="3"/>
    </w:pPr>
    <w:rPr>
      <w:sz w:val="24"/>
      <w:szCs w:val="24"/>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BodyText"/>
    <w:link w:val="Heading6Char"/>
    <w:uiPriority w:val="9"/>
    <w:semiHidden/>
    <w:unhideWhenUsed/>
    <w:qFormat/>
    <w:rsid w:val="00A10FD9"/>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BodyText"/>
    <w:link w:val="Heading7Char"/>
    <w:uiPriority w:val="9"/>
    <w:semiHidden/>
    <w:unhideWhenUsed/>
    <w:qFormat/>
    <w:rsid w:val="00A10FD9"/>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BodyText"/>
    <w:link w:val="Heading8Char"/>
    <w:uiPriority w:val="9"/>
    <w:semiHidden/>
    <w:unhideWhenUsed/>
    <w:qFormat/>
    <w:rsid w:val="00A10FD9"/>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BodyText"/>
    <w:link w:val="Heading9Char"/>
    <w:uiPriority w:val="9"/>
    <w:semiHidden/>
    <w:unhideWhenUsed/>
    <w:qFormat/>
    <w:rsid w:val="00A10FD9"/>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rPr>
      <w:rFonts w:asciiTheme="minorHAnsi" w:eastAsiaTheme="minorEastAsia" w:hAnsiTheme="minorHAnsi" w:cstheme="minorBidi"/>
      <w:lang w:eastAsia="en-U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FC33BE"/>
    <w:pPr>
      <w:spacing w:after="80"/>
      <w:contextualSpacing/>
    </w:pPr>
    <w:rPr>
      <w:rFonts w:eastAsiaTheme="majorEastAsia"/>
      <w:sz w:val="36"/>
      <w:szCs w:val="36"/>
      <w:lang w:eastAsia="en-US"/>
    </w:rPr>
  </w:style>
  <w:style w:type="character" w:customStyle="1" w:styleId="TitleChar">
    <w:name w:val="Title Char"/>
    <w:basedOn w:val="DefaultParagraphFont"/>
    <w:link w:val="Title"/>
    <w:uiPriority w:val="10"/>
    <w:rsid w:val="00FC33BE"/>
    <w:rPr>
      <w:rFonts w:ascii="Times New Roman" w:eastAsiaTheme="majorEastAsia" w:hAnsi="Times New Roman" w:cs="Times New Roman"/>
      <w:sz w:val="36"/>
      <w:szCs w:val="3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jc w:val="center"/>
    </w:pPr>
    <w:rPr>
      <w:rFonts w:asciiTheme="minorHAnsi" w:eastAsiaTheme="minorEastAsia" w:hAnsiTheme="minorHAnsi" w:cstheme="minorBidi"/>
      <w:b/>
      <w:sz w:val="20"/>
      <w:szCs w:val="20"/>
      <w:lang w:eastAsia="en-US"/>
    </w:rPr>
  </w:style>
  <w:style w:type="paragraph" w:customStyle="1" w:styleId="Abstract">
    <w:name w:val="Abstract"/>
    <w:basedOn w:val="Normal"/>
    <w:next w:val="BodyText"/>
    <w:qFormat/>
    <w:pPr>
      <w:keepNext/>
      <w:keepLines/>
      <w:spacing w:before="100" w:after="300"/>
    </w:pPr>
    <w:rPr>
      <w:rFonts w:asciiTheme="minorHAnsi" w:eastAsiaTheme="minorEastAsia" w:hAnsiTheme="minorHAnsi" w:cstheme="minorBidi"/>
      <w:sz w:val="20"/>
      <w:szCs w:val="20"/>
      <w:lang w:eastAsia="en-US"/>
    </w:rPr>
  </w:style>
  <w:style w:type="paragraph" w:styleId="Bibliography">
    <w:name w:val="Bibliography"/>
    <w:basedOn w:val="Normal"/>
    <w:qFormat/>
    <w:pPr>
      <w:spacing w:line="480" w:lineRule="auto"/>
      <w:ind w:left="720" w:hanging="720"/>
    </w:pPr>
    <w:rPr>
      <w:rFonts w:asciiTheme="minorHAnsi" w:eastAsiaTheme="minorEastAsia" w:hAnsiTheme="minorHAnsi" w:cstheme="minorBidi"/>
      <w:lang w:eastAsia="en-US"/>
    </w:rPr>
  </w:style>
  <w:style w:type="character" w:customStyle="1" w:styleId="Heading1Char">
    <w:name w:val="Heading 1 Char"/>
    <w:basedOn w:val="DefaultParagraphFont"/>
    <w:link w:val="Heading1"/>
    <w:uiPriority w:val="9"/>
    <w:rsid w:val="00412BBF"/>
    <w:rPr>
      <w:rFonts w:ascii="Times New Roman" w:eastAsia="Times New Roman" w:hAnsi="Times New Roman" w:cs="Times New Roman"/>
      <w:sz w:val="36"/>
      <w:szCs w:val="36"/>
      <w:lang w:eastAsia="zh-TW"/>
    </w:rPr>
  </w:style>
  <w:style w:type="character" w:customStyle="1" w:styleId="Heading2Char">
    <w:name w:val="Heading 2 Char"/>
    <w:basedOn w:val="DefaultParagraphFont"/>
    <w:link w:val="Heading2"/>
    <w:uiPriority w:val="9"/>
    <w:rsid w:val="00412BBF"/>
    <w:rPr>
      <w:rFonts w:ascii="Times New Roman" w:eastAsiaTheme="majorEastAsia" w:hAnsi="Times New Roman" w:cs="Times New Roman"/>
      <w:sz w:val="32"/>
      <w:szCs w:val="32"/>
    </w:rPr>
  </w:style>
  <w:style w:type="character" w:customStyle="1" w:styleId="Heading3Char">
    <w:name w:val="Heading 3 Char"/>
    <w:basedOn w:val="DefaultParagraphFont"/>
    <w:link w:val="Heading3"/>
    <w:uiPriority w:val="9"/>
    <w:rsid w:val="00412BBF"/>
    <w:rPr>
      <w:rFonts w:ascii="Times New Roman" w:eastAsia="Times New Roman" w:hAnsi="Times New Roman" w:cs="Times New Roman"/>
      <w:sz w:val="28"/>
      <w:szCs w:val="28"/>
      <w:lang w:eastAsia="zh-TW"/>
    </w:rPr>
  </w:style>
  <w:style w:type="character" w:customStyle="1" w:styleId="Heading4Char">
    <w:name w:val="Heading 4 Char"/>
    <w:basedOn w:val="DefaultParagraphFont"/>
    <w:link w:val="Heading4"/>
    <w:uiPriority w:val="9"/>
    <w:rsid w:val="00412BBF"/>
    <w:rPr>
      <w:rFonts w:ascii="Times New Roman" w:eastAsia="Times New Roman" w:hAnsi="Times New Roman" w:cs="Times New Roman"/>
      <w:lang w:eastAsia="zh-TW"/>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pPr>
      <w:spacing w:after="200"/>
    </w:pPr>
    <w:rPr>
      <w:rFonts w:asciiTheme="minorHAnsi" w:eastAsiaTheme="minorEastAsia" w:hAnsiTheme="minorHAnsi" w:cstheme="minorBidi"/>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rFonts w:asciiTheme="minorHAnsi" w:eastAsiaTheme="minorEastAsia" w:hAnsiTheme="minorHAnsi" w:cstheme="minorBidi"/>
      <w:b/>
      <w:lang w:eastAsia="en-US"/>
    </w:rPr>
  </w:style>
  <w:style w:type="paragraph" w:customStyle="1" w:styleId="Definition">
    <w:name w:val="Definition"/>
    <w:basedOn w:val="Normal"/>
    <w:pPr>
      <w:spacing w:after="200"/>
    </w:pPr>
    <w:rPr>
      <w:rFonts w:asciiTheme="minorHAnsi" w:eastAsiaTheme="minorEastAsia" w:hAnsiTheme="minorHAnsi" w:cstheme="minorBidi"/>
      <w:lang w:eastAsia="en-US"/>
    </w:rPr>
  </w:style>
  <w:style w:type="paragraph" w:styleId="Caption">
    <w:name w:val="caption"/>
    <w:basedOn w:val="Normal"/>
    <w:link w:val="CaptionChar"/>
    <w:pPr>
      <w:spacing w:after="120"/>
    </w:pPr>
    <w:rPr>
      <w:rFonts w:asciiTheme="minorHAnsi" w:eastAsiaTheme="minorEastAsia" w:hAnsiTheme="minorHAnsi" w:cstheme="minorBidi"/>
      <w:i/>
      <w:lang w:eastAsia="en-US"/>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pPr>
      <w:spacing w:after="200"/>
    </w:pPr>
    <w:rPr>
      <w:rFonts w:asciiTheme="minorHAnsi" w:eastAsiaTheme="minorEastAsia" w:hAnsiTheme="minorHAnsi" w:cstheme="minorBidi"/>
      <w:lang w:eastAsia="en-US"/>
    </w:rPr>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spacing w:after="200"/>
    </w:pPr>
    <w:rPr>
      <w:rFonts w:asciiTheme="minorHAnsi" w:eastAsiaTheme="minorEastAsia" w:hAnsiTheme="minorHAnsi" w:cstheme="minorBidi"/>
      <w:lang w:eastAsia="en-US"/>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1F1F2C"/>
    <w:pPr>
      <w:spacing w:before="100" w:beforeAutospacing="1" w:after="100" w:afterAutospacing="1"/>
    </w:pPr>
  </w:style>
  <w:style w:type="character" w:styleId="Strong">
    <w:name w:val="Strong"/>
    <w:basedOn w:val="DefaultParagraphFont"/>
    <w:uiPriority w:val="22"/>
    <w:qFormat/>
    <w:rsid w:val="001F1F2C"/>
    <w:rPr>
      <w:b/>
      <w:bCs/>
    </w:rPr>
  </w:style>
  <w:style w:type="character" w:styleId="HTMLCode">
    <w:name w:val="HTML Code"/>
    <w:basedOn w:val="DefaultParagraphFont"/>
    <w:uiPriority w:val="99"/>
    <w:semiHidden/>
    <w:unhideWhenUsed/>
    <w:rsid w:val="00020516"/>
    <w:rPr>
      <w:rFonts w:ascii="Courier New" w:eastAsia="Times New Roman" w:hAnsi="Courier New" w:cs="Courier New"/>
      <w:sz w:val="20"/>
      <w:szCs w:val="20"/>
    </w:rPr>
  </w:style>
  <w:style w:type="character" w:styleId="FollowedHyperlink">
    <w:name w:val="FollowedHyperlink"/>
    <w:basedOn w:val="DefaultParagraphFont"/>
    <w:semiHidden/>
    <w:unhideWhenUsed/>
    <w:rsid w:val="00936D6A"/>
    <w:rPr>
      <w:color w:val="96607D" w:themeColor="followedHyperlink"/>
      <w:u w:val="single"/>
    </w:rPr>
  </w:style>
  <w:style w:type="paragraph" w:styleId="Footer">
    <w:name w:val="footer"/>
    <w:basedOn w:val="Normal"/>
    <w:link w:val="FooterChar"/>
    <w:unhideWhenUsed/>
    <w:rsid w:val="0091374E"/>
    <w:pPr>
      <w:tabs>
        <w:tab w:val="center" w:pos="4680"/>
        <w:tab w:val="right" w:pos="9360"/>
      </w:tabs>
      <w:snapToGrid w:val="0"/>
    </w:pPr>
    <w:rPr>
      <w:sz w:val="20"/>
      <w:szCs w:val="20"/>
    </w:rPr>
  </w:style>
  <w:style w:type="character" w:customStyle="1" w:styleId="FooterChar">
    <w:name w:val="Footer Char"/>
    <w:basedOn w:val="DefaultParagraphFont"/>
    <w:link w:val="Footer"/>
    <w:rsid w:val="0091374E"/>
    <w:rPr>
      <w:rFonts w:ascii="Times New Roman" w:eastAsia="Times New Roman" w:hAnsi="Times New Roman" w:cs="Times New Roman"/>
      <w:sz w:val="20"/>
      <w:szCs w:val="20"/>
      <w:lang w:eastAsia="zh-TW"/>
    </w:rPr>
  </w:style>
  <w:style w:type="character" w:styleId="PageNumber">
    <w:name w:val="page number"/>
    <w:basedOn w:val="DefaultParagraphFont"/>
    <w:semiHidden/>
    <w:unhideWhenUsed/>
    <w:rsid w:val="0091374E"/>
  </w:style>
  <w:style w:type="paragraph" w:styleId="Header">
    <w:name w:val="header"/>
    <w:basedOn w:val="Normal"/>
    <w:link w:val="HeaderChar"/>
    <w:uiPriority w:val="99"/>
    <w:unhideWhenUsed/>
    <w:rsid w:val="00DB288E"/>
    <w:pPr>
      <w:tabs>
        <w:tab w:val="center" w:pos="4680"/>
        <w:tab w:val="right" w:pos="9360"/>
      </w:tabs>
      <w:snapToGrid w:val="0"/>
    </w:pPr>
    <w:rPr>
      <w:sz w:val="20"/>
      <w:szCs w:val="20"/>
    </w:rPr>
  </w:style>
  <w:style w:type="character" w:customStyle="1" w:styleId="HeaderChar">
    <w:name w:val="Header Char"/>
    <w:basedOn w:val="DefaultParagraphFont"/>
    <w:link w:val="Header"/>
    <w:uiPriority w:val="99"/>
    <w:rsid w:val="00DB288E"/>
    <w:rPr>
      <w:rFonts w:ascii="Times New Roman" w:eastAsia="Times New Roman" w:hAnsi="Times New Roman" w:cs="Times New Roman"/>
      <w:sz w:val="20"/>
      <w:szCs w:val="20"/>
      <w:lang w:eastAsia="zh-TW"/>
    </w:rPr>
  </w:style>
  <w:style w:type="paragraph" w:styleId="TOC1">
    <w:name w:val="toc 1"/>
    <w:basedOn w:val="Normal"/>
    <w:next w:val="Normal"/>
    <w:autoRedefine/>
    <w:uiPriority w:val="39"/>
    <w:unhideWhenUsed/>
    <w:rsid w:val="004B3BC9"/>
    <w:pPr>
      <w:spacing w:before="120"/>
    </w:pPr>
    <w:rPr>
      <w:rFonts w:asciiTheme="minorHAnsi" w:hAnsiTheme="minorHAnsi"/>
      <w:b/>
      <w:bCs/>
      <w:i/>
      <w:iCs/>
    </w:rPr>
  </w:style>
  <w:style w:type="paragraph" w:styleId="TOC2">
    <w:name w:val="toc 2"/>
    <w:basedOn w:val="Normal"/>
    <w:next w:val="Normal"/>
    <w:autoRedefine/>
    <w:uiPriority w:val="39"/>
    <w:unhideWhenUsed/>
    <w:rsid w:val="004B3BC9"/>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4B3BC9"/>
    <w:pPr>
      <w:ind w:left="480"/>
    </w:pPr>
    <w:rPr>
      <w:rFonts w:asciiTheme="minorHAnsi" w:hAnsiTheme="minorHAnsi"/>
      <w:sz w:val="20"/>
      <w:szCs w:val="20"/>
    </w:rPr>
  </w:style>
  <w:style w:type="paragraph" w:styleId="TOC4">
    <w:name w:val="toc 4"/>
    <w:basedOn w:val="Normal"/>
    <w:next w:val="Normal"/>
    <w:autoRedefine/>
    <w:semiHidden/>
    <w:unhideWhenUsed/>
    <w:rsid w:val="004B3BC9"/>
    <w:pPr>
      <w:ind w:left="720"/>
    </w:pPr>
    <w:rPr>
      <w:rFonts w:asciiTheme="minorHAnsi" w:hAnsiTheme="minorHAnsi"/>
      <w:sz w:val="20"/>
      <w:szCs w:val="20"/>
    </w:rPr>
  </w:style>
  <w:style w:type="paragraph" w:styleId="TOC5">
    <w:name w:val="toc 5"/>
    <w:basedOn w:val="Normal"/>
    <w:next w:val="Normal"/>
    <w:autoRedefine/>
    <w:semiHidden/>
    <w:unhideWhenUsed/>
    <w:rsid w:val="004B3BC9"/>
    <w:pPr>
      <w:ind w:left="960"/>
    </w:pPr>
    <w:rPr>
      <w:rFonts w:asciiTheme="minorHAnsi" w:hAnsiTheme="minorHAnsi"/>
      <w:sz w:val="20"/>
      <w:szCs w:val="20"/>
    </w:rPr>
  </w:style>
  <w:style w:type="paragraph" w:styleId="TOC6">
    <w:name w:val="toc 6"/>
    <w:basedOn w:val="Normal"/>
    <w:next w:val="Normal"/>
    <w:autoRedefine/>
    <w:semiHidden/>
    <w:unhideWhenUsed/>
    <w:rsid w:val="004B3BC9"/>
    <w:pPr>
      <w:ind w:left="1200"/>
    </w:pPr>
    <w:rPr>
      <w:rFonts w:asciiTheme="minorHAnsi" w:hAnsiTheme="minorHAnsi"/>
      <w:sz w:val="20"/>
      <w:szCs w:val="20"/>
    </w:rPr>
  </w:style>
  <w:style w:type="paragraph" w:styleId="TOC7">
    <w:name w:val="toc 7"/>
    <w:basedOn w:val="Normal"/>
    <w:next w:val="Normal"/>
    <w:autoRedefine/>
    <w:semiHidden/>
    <w:unhideWhenUsed/>
    <w:rsid w:val="004B3BC9"/>
    <w:pPr>
      <w:ind w:left="1440"/>
    </w:pPr>
    <w:rPr>
      <w:rFonts w:asciiTheme="minorHAnsi" w:hAnsiTheme="minorHAnsi"/>
      <w:sz w:val="20"/>
      <w:szCs w:val="20"/>
    </w:rPr>
  </w:style>
  <w:style w:type="paragraph" w:styleId="TOC8">
    <w:name w:val="toc 8"/>
    <w:basedOn w:val="Normal"/>
    <w:next w:val="Normal"/>
    <w:autoRedefine/>
    <w:semiHidden/>
    <w:unhideWhenUsed/>
    <w:rsid w:val="004B3BC9"/>
    <w:pPr>
      <w:ind w:left="1680"/>
    </w:pPr>
    <w:rPr>
      <w:rFonts w:asciiTheme="minorHAnsi" w:hAnsiTheme="minorHAnsi"/>
      <w:sz w:val="20"/>
      <w:szCs w:val="20"/>
    </w:rPr>
  </w:style>
  <w:style w:type="paragraph" w:styleId="TOC9">
    <w:name w:val="toc 9"/>
    <w:basedOn w:val="Normal"/>
    <w:next w:val="Normal"/>
    <w:autoRedefine/>
    <w:semiHidden/>
    <w:unhideWhenUsed/>
    <w:rsid w:val="004B3BC9"/>
    <w:pPr>
      <w:ind w:left="1920"/>
    </w:pPr>
    <w:rPr>
      <w:rFonts w:asciiTheme="minorHAnsi" w:hAnsiTheme="minorHAnsi"/>
      <w:sz w:val="20"/>
      <w:szCs w:val="20"/>
    </w:rPr>
  </w:style>
  <w:style w:type="character" w:customStyle="1" w:styleId="BodyTextChar">
    <w:name w:val="Body Text Char"/>
    <w:basedOn w:val="DefaultParagraphFont"/>
    <w:link w:val="BodyText"/>
    <w:rsid w:val="00B00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7703">
      <w:bodyDiv w:val="1"/>
      <w:marLeft w:val="0"/>
      <w:marRight w:val="0"/>
      <w:marTop w:val="0"/>
      <w:marBottom w:val="0"/>
      <w:divBdr>
        <w:top w:val="none" w:sz="0" w:space="0" w:color="auto"/>
        <w:left w:val="none" w:sz="0" w:space="0" w:color="auto"/>
        <w:bottom w:val="none" w:sz="0" w:space="0" w:color="auto"/>
        <w:right w:val="none" w:sz="0" w:space="0" w:color="auto"/>
      </w:divBdr>
      <w:divsChild>
        <w:div w:id="208347669">
          <w:marLeft w:val="-30"/>
          <w:marRight w:val="0"/>
          <w:marTop w:val="0"/>
          <w:marBottom w:val="0"/>
          <w:divBdr>
            <w:top w:val="none" w:sz="0" w:space="0" w:color="auto"/>
            <w:left w:val="none" w:sz="0" w:space="0" w:color="auto"/>
            <w:bottom w:val="none" w:sz="0" w:space="0" w:color="auto"/>
            <w:right w:val="none" w:sz="0" w:space="0" w:color="auto"/>
          </w:divBdr>
        </w:div>
      </w:divsChild>
    </w:div>
    <w:div w:id="143013386">
      <w:bodyDiv w:val="1"/>
      <w:marLeft w:val="0"/>
      <w:marRight w:val="0"/>
      <w:marTop w:val="0"/>
      <w:marBottom w:val="0"/>
      <w:divBdr>
        <w:top w:val="none" w:sz="0" w:space="0" w:color="auto"/>
        <w:left w:val="none" w:sz="0" w:space="0" w:color="auto"/>
        <w:bottom w:val="none" w:sz="0" w:space="0" w:color="auto"/>
        <w:right w:val="none" w:sz="0" w:space="0" w:color="auto"/>
      </w:divBdr>
    </w:div>
    <w:div w:id="147794636">
      <w:bodyDiv w:val="1"/>
      <w:marLeft w:val="0"/>
      <w:marRight w:val="0"/>
      <w:marTop w:val="0"/>
      <w:marBottom w:val="0"/>
      <w:divBdr>
        <w:top w:val="none" w:sz="0" w:space="0" w:color="auto"/>
        <w:left w:val="none" w:sz="0" w:space="0" w:color="auto"/>
        <w:bottom w:val="none" w:sz="0" w:space="0" w:color="auto"/>
        <w:right w:val="none" w:sz="0" w:space="0" w:color="auto"/>
      </w:divBdr>
    </w:div>
    <w:div w:id="181939520">
      <w:bodyDiv w:val="1"/>
      <w:marLeft w:val="0"/>
      <w:marRight w:val="0"/>
      <w:marTop w:val="0"/>
      <w:marBottom w:val="0"/>
      <w:divBdr>
        <w:top w:val="none" w:sz="0" w:space="0" w:color="auto"/>
        <w:left w:val="none" w:sz="0" w:space="0" w:color="auto"/>
        <w:bottom w:val="none" w:sz="0" w:space="0" w:color="auto"/>
        <w:right w:val="none" w:sz="0" w:space="0" w:color="auto"/>
      </w:divBdr>
    </w:div>
    <w:div w:id="245581052">
      <w:bodyDiv w:val="1"/>
      <w:marLeft w:val="0"/>
      <w:marRight w:val="0"/>
      <w:marTop w:val="0"/>
      <w:marBottom w:val="0"/>
      <w:divBdr>
        <w:top w:val="none" w:sz="0" w:space="0" w:color="auto"/>
        <w:left w:val="none" w:sz="0" w:space="0" w:color="auto"/>
        <w:bottom w:val="none" w:sz="0" w:space="0" w:color="auto"/>
        <w:right w:val="none" w:sz="0" w:space="0" w:color="auto"/>
      </w:divBdr>
    </w:div>
    <w:div w:id="270091564">
      <w:bodyDiv w:val="1"/>
      <w:marLeft w:val="0"/>
      <w:marRight w:val="0"/>
      <w:marTop w:val="0"/>
      <w:marBottom w:val="0"/>
      <w:divBdr>
        <w:top w:val="none" w:sz="0" w:space="0" w:color="auto"/>
        <w:left w:val="none" w:sz="0" w:space="0" w:color="auto"/>
        <w:bottom w:val="none" w:sz="0" w:space="0" w:color="auto"/>
        <w:right w:val="none" w:sz="0" w:space="0" w:color="auto"/>
      </w:divBdr>
    </w:div>
    <w:div w:id="292446161">
      <w:bodyDiv w:val="1"/>
      <w:marLeft w:val="0"/>
      <w:marRight w:val="0"/>
      <w:marTop w:val="0"/>
      <w:marBottom w:val="0"/>
      <w:divBdr>
        <w:top w:val="none" w:sz="0" w:space="0" w:color="auto"/>
        <w:left w:val="none" w:sz="0" w:space="0" w:color="auto"/>
        <w:bottom w:val="none" w:sz="0" w:space="0" w:color="auto"/>
        <w:right w:val="none" w:sz="0" w:space="0" w:color="auto"/>
      </w:divBdr>
    </w:div>
    <w:div w:id="316809423">
      <w:bodyDiv w:val="1"/>
      <w:marLeft w:val="0"/>
      <w:marRight w:val="0"/>
      <w:marTop w:val="0"/>
      <w:marBottom w:val="0"/>
      <w:divBdr>
        <w:top w:val="none" w:sz="0" w:space="0" w:color="auto"/>
        <w:left w:val="none" w:sz="0" w:space="0" w:color="auto"/>
        <w:bottom w:val="none" w:sz="0" w:space="0" w:color="auto"/>
        <w:right w:val="none" w:sz="0" w:space="0" w:color="auto"/>
      </w:divBdr>
    </w:div>
    <w:div w:id="319895704">
      <w:bodyDiv w:val="1"/>
      <w:marLeft w:val="0"/>
      <w:marRight w:val="0"/>
      <w:marTop w:val="0"/>
      <w:marBottom w:val="0"/>
      <w:divBdr>
        <w:top w:val="none" w:sz="0" w:space="0" w:color="auto"/>
        <w:left w:val="none" w:sz="0" w:space="0" w:color="auto"/>
        <w:bottom w:val="none" w:sz="0" w:space="0" w:color="auto"/>
        <w:right w:val="none" w:sz="0" w:space="0" w:color="auto"/>
      </w:divBdr>
    </w:div>
    <w:div w:id="378671941">
      <w:bodyDiv w:val="1"/>
      <w:marLeft w:val="0"/>
      <w:marRight w:val="0"/>
      <w:marTop w:val="0"/>
      <w:marBottom w:val="0"/>
      <w:divBdr>
        <w:top w:val="none" w:sz="0" w:space="0" w:color="auto"/>
        <w:left w:val="none" w:sz="0" w:space="0" w:color="auto"/>
        <w:bottom w:val="none" w:sz="0" w:space="0" w:color="auto"/>
        <w:right w:val="none" w:sz="0" w:space="0" w:color="auto"/>
      </w:divBdr>
    </w:div>
    <w:div w:id="404955550">
      <w:bodyDiv w:val="1"/>
      <w:marLeft w:val="0"/>
      <w:marRight w:val="0"/>
      <w:marTop w:val="0"/>
      <w:marBottom w:val="0"/>
      <w:divBdr>
        <w:top w:val="none" w:sz="0" w:space="0" w:color="auto"/>
        <w:left w:val="none" w:sz="0" w:space="0" w:color="auto"/>
        <w:bottom w:val="none" w:sz="0" w:space="0" w:color="auto"/>
        <w:right w:val="none" w:sz="0" w:space="0" w:color="auto"/>
      </w:divBdr>
    </w:div>
    <w:div w:id="443959752">
      <w:bodyDiv w:val="1"/>
      <w:marLeft w:val="0"/>
      <w:marRight w:val="0"/>
      <w:marTop w:val="0"/>
      <w:marBottom w:val="0"/>
      <w:divBdr>
        <w:top w:val="none" w:sz="0" w:space="0" w:color="auto"/>
        <w:left w:val="none" w:sz="0" w:space="0" w:color="auto"/>
        <w:bottom w:val="none" w:sz="0" w:space="0" w:color="auto"/>
        <w:right w:val="none" w:sz="0" w:space="0" w:color="auto"/>
      </w:divBdr>
    </w:div>
    <w:div w:id="449594596">
      <w:bodyDiv w:val="1"/>
      <w:marLeft w:val="0"/>
      <w:marRight w:val="0"/>
      <w:marTop w:val="0"/>
      <w:marBottom w:val="0"/>
      <w:divBdr>
        <w:top w:val="none" w:sz="0" w:space="0" w:color="auto"/>
        <w:left w:val="none" w:sz="0" w:space="0" w:color="auto"/>
        <w:bottom w:val="none" w:sz="0" w:space="0" w:color="auto"/>
        <w:right w:val="none" w:sz="0" w:space="0" w:color="auto"/>
      </w:divBdr>
    </w:div>
    <w:div w:id="463160766">
      <w:bodyDiv w:val="1"/>
      <w:marLeft w:val="0"/>
      <w:marRight w:val="0"/>
      <w:marTop w:val="0"/>
      <w:marBottom w:val="0"/>
      <w:divBdr>
        <w:top w:val="none" w:sz="0" w:space="0" w:color="auto"/>
        <w:left w:val="none" w:sz="0" w:space="0" w:color="auto"/>
        <w:bottom w:val="none" w:sz="0" w:space="0" w:color="auto"/>
        <w:right w:val="none" w:sz="0" w:space="0" w:color="auto"/>
      </w:divBdr>
    </w:div>
    <w:div w:id="558907133">
      <w:bodyDiv w:val="1"/>
      <w:marLeft w:val="0"/>
      <w:marRight w:val="0"/>
      <w:marTop w:val="0"/>
      <w:marBottom w:val="0"/>
      <w:divBdr>
        <w:top w:val="none" w:sz="0" w:space="0" w:color="auto"/>
        <w:left w:val="none" w:sz="0" w:space="0" w:color="auto"/>
        <w:bottom w:val="none" w:sz="0" w:space="0" w:color="auto"/>
        <w:right w:val="none" w:sz="0" w:space="0" w:color="auto"/>
      </w:divBdr>
    </w:div>
    <w:div w:id="584458252">
      <w:bodyDiv w:val="1"/>
      <w:marLeft w:val="0"/>
      <w:marRight w:val="0"/>
      <w:marTop w:val="0"/>
      <w:marBottom w:val="0"/>
      <w:divBdr>
        <w:top w:val="none" w:sz="0" w:space="0" w:color="auto"/>
        <w:left w:val="none" w:sz="0" w:space="0" w:color="auto"/>
        <w:bottom w:val="none" w:sz="0" w:space="0" w:color="auto"/>
        <w:right w:val="none" w:sz="0" w:space="0" w:color="auto"/>
      </w:divBdr>
    </w:div>
    <w:div w:id="590311652">
      <w:bodyDiv w:val="1"/>
      <w:marLeft w:val="0"/>
      <w:marRight w:val="0"/>
      <w:marTop w:val="0"/>
      <w:marBottom w:val="0"/>
      <w:divBdr>
        <w:top w:val="none" w:sz="0" w:space="0" w:color="auto"/>
        <w:left w:val="none" w:sz="0" w:space="0" w:color="auto"/>
        <w:bottom w:val="none" w:sz="0" w:space="0" w:color="auto"/>
        <w:right w:val="none" w:sz="0" w:space="0" w:color="auto"/>
      </w:divBdr>
    </w:div>
    <w:div w:id="610863676">
      <w:bodyDiv w:val="1"/>
      <w:marLeft w:val="0"/>
      <w:marRight w:val="0"/>
      <w:marTop w:val="0"/>
      <w:marBottom w:val="0"/>
      <w:divBdr>
        <w:top w:val="none" w:sz="0" w:space="0" w:color="auto"/>
        <w:left w:val="none" w:sz="0" w:space="0" w:color="auto"/>
        <w:bottom w:val="none" w:sz="0" w:space="0" w:color="auto"/>
        <w:right w:val="none" w:sz="0" w:space="0" w:color="auto"/>
      </w:divBdr>
    </w:div>
    <w:div w:id="626934519">
      <w:bodyDiv w:val="1"/>
      <w:marLeft w:val="0"/>
      <w:marRight w:val="0"/>
      <w:marTop w:val="0"/>
      <w:marBottom w:val="0"/>
      <w:divBdr>
        <w:top w:val="none" w:sz="0" w:space="0" w:color="auto"/>
        <w:left w:val="none" w:sz="0" w:space="0" w:color="auto"/>
        <w:bottom w:val="none" w:sz="0" w:space="0" w:color="auto"/>
        <w:right w:val="none" w:sz="0" w:space="0" w:color="auto"/>
      </w:divBdr>
    </w:div>
    <w:div w:id="628978041">
      <w:bodyDiv w:val="1"/>
      <w:marLeft w:val="0"/>
      <w:marRight w:val="0"/>
      <w:marTop w:val="0"/>
      <w:marBottom w:val="0"/>
      <w:divBdr>
        <w:top w:val="none" w:sz="0" w:space="0" w:color="auto"/>
        <w:left w:val="none" w:sz="0" w:space="0" w:color="auto"/>
        <w:bottom w:val="none" w:sz="0" w:space="0" w:color="auto"/>
        <w:right w:val="none" w:sz="0" w:space="0" w:color="auto"/>
      </w:divBdr>
    </w:div>
    <w:div w:id="692801252">
      <w:bodyDiv w:val="1"/>
      <w:marLeft w:val="0"/>
      <w:marRight w:val="0"/>
      <w:marTop w:val="0"/>
      <w:marBottom w:val="0"/>
      <w:divBdr>
        <w:top w:val="none" w:sz="0" w:space="0" w:color="auto"/>
        <w:left w:val="none" w:sz="0" w:space="0" w:color="auto"/>
        <w:bottom w:val="none" w:sz="0" w:space="0" w:color="auto"/>
        <w:right w:val="none" w:sz="0" w:space="0" w:color="auto"/>
      </w:divBdr>
    </w:div>
    <w:div w:id="741173144">
      <w:bodyDiv w:val="1"/>
      <w:marLeft w:val="0"/>
      <w:marRight w:val="0"/>
      <w:marTop w:val="0"/>
      <w:marBottom w:val="0"/>
      <w:divBdr>
        <w:top w:val="none" w:sz="0" w:space="0" w:color="auto"/>
        <w:left w:val="none" w:sz="0" w:space="0" w:color="auto"/>
        <w:bottom w:val="none" w:sz="0" w:space="0" w:color="auto"/>
        <w:right w:val="none" w:sz="0" w:space="0" w:color="auto"/>
      </w:divBdr>
    </w:div>
    <w:div w:id="742529123">
      <w:bodyDiv w:val="1"/>
      <w:marLeft w:val="0"/>
      <w:marRight w:val="0"/>
      <w:marTop w:val="0"/>
      <w:marBottom w:val="0"/>
      <w:divBdr>
        <w:top w:val="none" w:sz="0" w:space="0" w:color="auto"/>
        <w:left w:val="none" w:sz="0" w:space="0" w:color="auto"/>
        <w:bottom w:val="none" w:sz="0" w:space="0" w:color="auto"/>
        <w:right w:val="none" w:sz="0" w:space="0" w:color="auto"/>
      </w:divBdr>
    </w:div>
    <w:div w:id="761535445">
      <w:bodyDiv w:val="1"/>
      <w:marLeft w:val="0"/>
      <w:marRight w:val="0"/>
      <w:marTop w:val="0"/>
      <w:marBottom w:val="0"/>
      <w:divBdr>
        <w:top w:val="none" w:sz="0" w:space="0" w:color="auto"/>
        <w:left w:val="none" w:sz="0" w:space="0" w:color="auto"/>
        <w:bottom w:val="none" w:sz="0" w:space="0" w:color="auto"/>
        <w:right w:val="none" w:sz="0" w:space="0" w:color="auto"/>
      </w:divBdr>
    </w:div>
    <w:div w:id="789935458">
      <w:bodyDiv w:val="1"/>
      <w:marLeft w:val="0"/>
      <w:marRight w:val="0"/>
      <w:marTop w:val="0"/>
      <w:marBottom w:val="0"/>
      <w:divBdr>
        <w:top w:val="none" w:sz="0" w:space="0" w:color="auto"/>
        <w:left w:val="none" w:sz="0" w:space="0" w:color="auto"/>
        <w:bottom w:val="none" w:sz="0" w:space="0" w:color="auto"/>
        <w:right w:val="none" w:sz="0" w:space="0" w:color="auto"/>
      </w:divBdr>
    </w:div>
    <w:div w:id="827358410">
      <w:bodyDiv w:val="1"/>
      <w:marLeft w:val="0"/>
      <w:marRight w:val="0"/>
      <w:marTop w:val="0"/>
      <w:marBottom w:val="0"/>
      <w:divBdr>
        <w:top w:val="none" w:sz="0" w:space="0" w:color="auto"/>
        <w:left w:val="none" w:sz="0" w:space="0" w:color="auto"/>
        <w:bottom w:val="none" w:sz="0" w:space="0" w:color="auto"/>
        <w:right w:val="none" w:sz="0" w:space="0" w:color="auto"/>
      </w:divBdr>
    </w:div>
    <w:div w:id="845628635">
      <w:bodyDiv w:val="1"/>
      <w:marLeft w:val="0"/>
      <w:marRight w:val="0"/>
      <w:marTop w:val="0"/>
      <w:marBottom w:val="0"/>
      <w:divBdr>
        <w:top w:val="none" w:sz="0" w:space="0" w:color="auto"/>
        <w:left w:val="none" w:sz="0" w:space="0" w:color="auto"/>
        <w:bottom w:val="none" w:sz="0" w:space="0" w:color="auto"/>
        <w:right w:val="none" w:sz="0" w:space="0" w:color="auto"/>
      </w:divBdr>
    </w:div>
    <w:div w:id="848640599">
      <w:bodyDiv w:val="1"/>
      <w:marLeft w:val="0"/>
      <w:marRight w:val="0"/>
      <w:marTop w:val="0"/>
      <w:marBottom w:val="0"/>
      <w:divBdr>
        <w:top w:val="none" w:sz="0" w:space="0" w:color="auto"/>
        <w:left w:val="none" w:sz="0" w:space="0" w:color="auto"/>
        <w:bottom w:val="none" w:sz="0" w:space="0" w:color="auto"/>
        <w:right w:val="none" w:sz="0" w:space="0" w:color="auto"/>
      </w:divBdr>
    </w:div>
    <w:div w:id="890967810">
      <w:bodyDiv w:val="1"/>
      <w:marLeft w:val="0"/>
      <w:marRight w:val="0"/>
      <w:marTop w:val="0"/>
      <w:marBottom w:val="0"/>
      <w:divBdr>
        <w:top w:val="none" w:sz="0" w:space="0" w:color="auto"/>
        <w:left w:val="none" w:sz="0" w:space="0" w:color="auto"/>
        <w:bottom w:val="none" w:sz="0" w:space="0" w:color="auto"/>
        <w:right w:val="none" w:sz="0" w:space="0" w:color="auto"/>
      </w:divBdr>
    </w:div>
    <w:div w:id="946354082">
      <w:bodyDiv w:val="1"/>
      <w:marLeft w:val="0"/>
      <w:marRight w:val="0"/>
      <w:marTop w:val="0"/>
      <w:marBottom w:val="0"/>
      <w:divBdr>
        <w:top w:val="none" w:sz="0" w:space="0" w:color="auto"/>
        <w:left w:val="none" w:sz="0" w:space="0" w:color="auto"/>
        <w:bottom w:val="none" w:sz="0" w:space="0" w:color="auto"/>
        <w:right w:val="none" w:sz="0" w:space="0" w:color="auto"/>
      </w:divBdr>
    </w:div>
    <w:div w:id="1014921466">
      <w:bodyDiv w:val="1"/>
      <w:marLeft w:val="0"/>
      <w:marRight w:val="0"/>
      <w:marTop w:val="0"/>
      <w:marBottom w:val="0"/>
      <w:divBdr>
        <w:top w:val="none" w:sz="0" w:space="0" w:color="auto"/>
        <w:left w:val="none" w:sz="0" w:space="0" w:color="auto"/>
        <w:bottom w:val="none" w:sz="0" w:space="0" w:color="auto"/>
        <w:right w:val="none" w:sz="0" w:space="0" w:color="auto"/>
      </w:divBdr>
    </w:div>
    <w:div w:id="1020663256">
      <w:bodyDiv w:val="1"/>
      <w:marLeft w:val="0"/>
      <w:marRight w:val="0"/>
      <w:marTop w:val="0"/>
      <w:marBottom w:val="0"/>
      <w:divBdr>
        <w:top w:val="none" w:sz="0" w:space="0" w:color="auto"/>
        <w:left w:val="none" w:sz="0" w:space="0" w:color="auto"/>
        <w:bottom w:val="none" w:sz="0" w:space="0" w:color="auto"/>
        <w:right w:val="none" w:sz="0" w:space="0" w:color="auto"/>
      </w:divBdr>
    </w:div>
    <w:div w:id="1070418667">
      <w:bodyDiv w:val="1"/>
      <w:marLeft w:val="0"/>
      <w:marRight w:val="0"/>
      <w:marTop w:val="0"/>
      <w:marBottom w:val="0"/>
      <w:divBdr>
        <w:top w:val="none" w:sz="0" w:space="0" w:color="auto"/>
        <w:left w:val="none" w:sz="0" w:space="0" w:color="auto"/>
        <w:bottom w:val="none" w:sz="0" w:space="0" w:color="auto"/>
        <w:right w:val="none" w:sz="0" w:space="0" w:color="auto"/>
      </w:divBdr>
    </w:div>
    <w:div w:id="1088967919">
      <w:bodyDiv w:val="1"/>
      <w:marLeft w:val="0"/>
      <w:marRight w:val="0"/>
      <w:marTop w:val="0"/>
      <w:marBottom w:val="0"/>
      <w:divBdr>
        <w:top w:val="none" w:sz="0" w:space="0" w:color="auto"/>
        <w:left w:val="none" w:sz="0" w:space="0" w:color="auto"/>
        <w:bottom w:val="none" w:sz="0" w:space="0" w:color="auto"/>
        <w:right w:val="none" w:sz="0" w:space="0" w:color="auto"/>
      </w:divBdr>
    </w:div>
    <w:div w:id="1129663317">
      <w:bodyDiv w:val="1"/>
      <w:marLeft w:val="0"/>
      <w:marRight w:val="0"/>
      <w:marTop w:val="0"/>
      <w:marBottom w:val="0"/>
      <w:divBdr>
        <w:top w:val="none" w:sz="0" w:space="0" w:color="auto"/>
        <w:left w:val="none" w:sz="0" w:space="0" w:color="auto"/>
        <w:bottom w:val="none" w:sz="0" w:space="0" w:color="auto"/>
        <w:right w:val="none" w:sz="0" w:space="0" w:color="auto"/>
      </w:divBdr>
    </w:div>
    <w:div w:id="1132597034">
      <w:bodyDiv w:val="1"/>
      <w:marLeft w:val="0"/>
      <w:marRight w:val="0"/>
      <w:marTop w:val="0"/>
      <w:marBottom w:val="0"/>
      <w:divBdr>
        <w:top w:val="none" w:sz="0" w:space="0" w:color="auto"/>
        <w:left w:val="none" w:sz="0" w:space="0" w:color="auto"/>
        <w:bottom w:val="none" w:sz="0" w:space="0" w:color="auto"/>
        <w:right w:val="none" w:sz="0" w:space="0" w:color="auto"/>
      </w:divBdr>
    </w:div>
    <w:div w:id="1142961410">
      <w:bodyDiv w:val="1"/>
      <w:marLeft w:val="0"/>
      <w:marRight w:val="0"/>
      <w:marTop w:val="0"/>
      <w:marBottom w:val="0"/>
      <w:divBdr>
        <w:top w:val="none" w:sz="0" w:space="0" w:color="auto"/>
        <w:left w:val="none" w:sz="0" w:space="0" w:color="auto"/>
        <w:bottom w:val="none" w:sz="0" w:space="0" w:color="auto"/>
        <w:right w:val="none" w:sz="0" w:space="0" w:color="auto"/>
      </w:divBdr>
    </w:div>
    <w:div w:id="1150559585">
      <w:bodyDiv w:val="1"/>
      <w:marLeft w:val="0"/>
      <w:marRight w:val="0"/>
      <w:marTop w:val="0"/>
      <w:marBottom w:val="0"/>
      <w:divBdr>
        <w:top w:val="none" w:sz="0" w:space="0" w:color="auto"/>
        <w:left w:val="none" w:sz="0" w:space="0" w:color="auto"/>
        <w:bottom w:val="none" w:sz="0" w:space="0" w:color="auto"/>
        <w:right w:val="none" w:sz="0" w:space="0" w:color="auto"/>
      </w:divBdr>
    </w:div>
    <w:div w:id="1231697046">
      <w:bodyDiv w:val="1"/>
      <w:marLeft w:val="0"/>
      <w:marRight w:val="0"/>
      <w:marTop w:val="0"/>
      <w:marBottom w:val="0"/>
      <w:divBdr>
        <w:top w:val="none" w:sz="0" w:space="0" w:color="auto"/>
        <w:left w:val="none" w:sz="0" w:space="0" w:color="auto"/>
        <w:bottom w:val="none" w:sz="0" w:space="0" w:color="auto"/>
        <w:right w:val="none" w:sz="0" w:space="0" w:color="auto"/>
      </w:divBdr>
    </w:div>
    <w:div w:id="1287811047">
      <w:bodyDiv w:val="1"/>
      <w:marLeft w:val="0"/>
      <w:marRight w:val="0"/>
      <w:marTop w:val="0"/>
      <w:marBottom w:val="0"/>
      <w:divBdr>
        <w:top w:val="none" w:sz="0" w:space="0" w:color="auto"/>
        <w:left w:val="none" w:sz="0" w:space="0" w:color="auto"/>
        <w:bottom w:val="none" w:sz="0" w:space="0" w:color="auto"/>
        <w:right w:val="none" w:sz="0" w:space="0" w:color="auto"/>
      </w:divBdr>
    </w:div>
    <w:div w:id="1346397112">
      <w:bodyDiv w:val="1"/>
      <w:marLeft w:val="0"/>
      <w:marRight w:val="0"/>
      <w:marTop w:val="0"/>
      <w:marBottom w:val="0"/>
      <w:divBdr>
        <w:top w:val="none" w:sz="0" w:space="0" w:color="auto"/>
        <w:left w:val="none" w:sz="0" w:space="0" w:color="auto"/>
        <w:bottom w:val="none" w:sz="0" w:space="0" w:color="auto"/>
        <w:right w:val="none" w:sz="0" w:space="0" w:color="auto"/>
      </w:divBdr>
    </w:div>
    <w:div w:id="1365444271">
      <w:bodyDiv w:val="1"/>
      <w:marLeft w:val="0"/>
      <w:marRight w:val="0"/>
      <w:marTop w:val="0"/>
      <w:marBottom w:val="0"/>
      <w:divBdr>
        <w:top w:val="none" w:sz="0" w:space="0" w:color="auto"/>
        <w:left w:val="none" w:sz="0" w:space="0" w:color="auto"/>
        <w:bottom w:val="none" w:sz="0" w:space="0" w:color="auto"/>
        <w:right w:val="none" w:sz="0" w:space="0" w:color="auto"/>
      </w:divBdr>
    </w:div>
    <w:div w:id="1379545651">
      <w:bodyDiv w:val="1"/>
      <w:marLeft w:val="0"/>
      <w:marRight w:val="0"/>
      <w:marTop w:val="0"/>
      <w:marBottom w:val="0"/>
      <w:divBdr>
        <w:top w:val="none" w:sz="0" w:space="0" w:color="auto"/>
        <w:left w:val="none" w:sz="0" w:space="0" w:color="auto"/>
        <w:bottom w:val="none" w:sz="0" w:space="0" w:color="auto"/>
        <w:right w:val="none" w:sz="0" w:space="0" w:color="auto"/>
      </w:divBdr>
    </w:div>
    <w:div w:id="1394813049">
      <w:bodyDiv w:val="1"/>
      <w:marLeft w:val="0"/>
      <w:marRight w:val="0"/>
      <w:marTop w:val="0"/>
      <w:marBottom w:val="0"/>
      <w:divBdr>
        <w:top w:val="none" w:sz="0" w:space="0" w:color="auto"/>
        <w:left w:val="none" w:sz="0" w:space="0" w:color="auto"/>
        <w:bottom w:val="none" w:sz="0" w:space="0" w:color="auto"/>
        <w:right w:val="none" w:sz="0" w:space="0" w:color="auto"/>
      </w:divBdr>
    </w:div>
    <w:div w:id="1402099703">
      <w:bodyDiv w:val="1"/>
      <w:marLeft w:val="0"/>
      <w:marRight w:val="0"/>
      <w:marTop w:val="0"/>
      <w:marBottom w:val="0"/>
      <w:divBdr>
        <w:top w:val="none" w:sz="0" w:space="0" w:color="auto"/>
        <w:left w:val="none" w:sz="0" w:space="0" w:color="auto"/>
        <w:bottom w:val="none" w:sz="0" w:space="0" w:color="auto"/>
        <w:right w:val="none" w:sz="0" w:space="0" w:color="auto"/>
      </w:divBdr>
    </w:div>
    <w:div w:id="1451783200">
      <w:bodyDiv w:val="1"/>
      <w:marLeft w:val="0"/>
      <w:marRight w:val="0"/>
      <w:marTop w:val="0"/>
      <w:marBottom w:val="0"/>
      <w:divBdr>
        <w:top w:val="none" w:sz="0" w:space="0" w:color="auto"/>
        <w:left w:val="none" w:sz="0" w:space="0" w:color="auto"/>
        <w:bottom w:val="none" w:sz="0" w:space="0" w:color="auto"/>
        <w:right w:val="none" w:sz="0" w:space="0" w:color="auto"/>
      </w:divBdr>
    </w:div>
    <w:div w:id="1477260563">
      <w:bodyDiv w:val="1"/>
      <w:marLeft w:val="0"/>
      <w:marRight w:val="0"/>
      <w:marTop w:val="0"/>
      <w:marBottom w:val="0"/>
      <w:divBdr>
        <w:top w:val="none" w:sz="0" w:space="0" w:color="auto"/>
        <w:left w:val="none" w:sz="0" w:space="0" w:color="auto"/>
        <w:bottom w:val="none" w:sz="0" w:space="0" w:color="auto"/>
        <w:right w:val="none" w:sz="0" w:space="0" w:color="auto"/>
      </w:divBdr>
    </w:div>
    <w:div w:id="1504003890">
      <w:bodyDiv w:val="1"/>
      <w:marLeft w:val="0"/>
      <w:marRight w:val="0"/>
      <w:marTop w:val="0"/>
      <w:marBottom w:val="0"/>
      <w:divBdr>
        <w:top w:val="none" w:sz="0" w:space="0" w:color="auto"/>
        <w:left w:val="none" w:sz="0" w:space="0" w:color="auto"/>
        <w:bottom w:val="none" w:sz="0" w:space="0" w:color="auto"/>
        <w:right w:val="none" w:sz="0" w:space="0" w:color="auto"/>
      </w:divBdr>
    </w:div>
    <w:div w:id="1505048159">
      <w:bodyDiv w:val="1"/>
      <w:marLeft w:val="0"/>
      <w:marRight w:val="0"/>
      <w:marTop w:val="0"/>
      <w:marBottom w:val="0"/>
      <w:divBdr>
        <w:top w:val="none" w:sz="0" w:space="0" w:color="auto"/>
        <w:left w:val="none" w:sz="0" w:space="0" w:color="auto"/>
        <w:bottom w:val="none" w:sz="0" w:space="0" w:color="auto"/>
        <w:right w:val="none" w:sz="0" w:space="0" w:color="auto"/>
      </w:divBdr>
    </w:div>
    <w:div w:id="1534003042">
      <w:bodyDiv w:val="1"/>
      <w:marLeft w:val="0"/>
      <w:marRight w:val="0"/>
      <w:marTop w:val="0"/>
      <w:marBottom w:val="0"/>
      <w:divBdr>
        <w:top w:val="none" w:sz="0" w:space="0" w:color="auto"/>
        <w:left w:val="none" w:sz="0" w:space="0" w:color="auto"/>
        <w:bottom w:val="none" w:sz="0" w:space="0" w:color="auto"/>
        <w:right w:val="none" w:sz="0" w:space="0" w:color="auto"/>
      </w:divBdr>
    </w:div>
    <w:div w:id="1538614733">
      <w:bodyDiv w:val="1"/>
      <w:marLeft w:val="0"/>
      <w:marRight w:val="0"/>
      <w:marTop w:val="0"/>
      <w:marBottom w:val="0"/>
      <w:divBdr>
        <w:top w:val="none" w:sz="0" w:space="0" w:color="auto"/>
        <w:left w:val="none" w:sz="0" w:space="0" w:color="auto"/>
        <w:bottom w:val="none" w:sz="0" w:space="0" w:color="auto"/>
        <w:right w:val="none" w:sz="0" w:space="0" w:color="auto"/>
      </w:divBdr>
    </w:div>
    <w:div w:id="1549030109">
      <w:bodyDiv w:val="1"/>
      <w:marLeft w:val="0"/>
      <w:marRight w:val="0"/>
      <w:marTop w:val="0"/>
      <w:marBottom w:val="0"/>
      <w:divBdr>
        <w:top w:val="none" w:sz="0" w:space="0" w:color="auto"/>
        <w:left w:val="none" w:sz="0" w:space="0" w:color="auto"/>
        <w:bottom w:val="none" w:sz="0" w:space="0" w:color="auto"/>
        <w:right w:val="none" w:sz="0" w:space="0" w:color="auto"/>
      </w:divBdr>
    </w:div>
    <w:div w:id="1562404670">
      <w:bodyDiv w:val="1"/>
      <w:marLeft w:val="0"/>
      <w:marRight w:val="0"/>
      <w:marTop w:val="0"/>
      <w:marBottom w:val="0"/>
      <w:divBdr>
        <w:top w:val="none" w:sz="0" w:space="0" w:color="auto"/>
        <w:left w:val="none" w:sz="0" w:space="0" w:color="auto"/>
        <w:bottom w:val="none" w:sz="0" w:space="0" w:color="auto"/>
        <w:right w:val="none" w:sz="0" w:space="0" w:color="auto"/>
      </w:divBdr>
    </w:div>
    <w:div w:id="1594584249">
      <w:bodyDiv w:val="1"/>
      <w:marLeft w:val="0"/>
      <w:marRight w:val="0"/>
      <w:marTop w:val="0"/>
      <w:marBottom w:val="0"/>
      <w:divBdr>
        <w:top w:val="none" w:sz="0" w:space="0" w:color="auto"/>
        <w:left w:val="none" w:sz="0" w:space="0" w:color="auto"/>
        <w:bottom w:val="none" w:sz="0" w:space="0" w:color="auto"/>
        <w:right w:val="none" w:sz="0" w:space="0" w:color="auto"/>
      </w:divBdr>
    </w:div>
    <w:div w:id="1596789037">
      <w:bodyDiv w:val="1"/>
      <w:marLeft w:val="0"/>
      <w:marRight w:val="0"/>
      <w:marTop w:val="0"/>
      <w:marBottom w:val="0"/>
      <w:divBdr>
        <w:top w:val="none" w:sz="0" w:space="0" w:color="auto"/>
        <w:left w:val="none" w:sz="0" w:space="0" w:color="auto"/>
        <w:bottom w:val="none" w:sz="0" w:space="0" w:color="auto"/>
        <w:right w:val="none" w:sz="0" w:space="0" w:color="auto"/>
      </w:divBdr>
    </w:div>
    <w:div w:id="1639611051">
      <w:bodyDiv w:val="1"/>
      <w:marLeft w:val="0"/>
      <w:marRight w:val="0"/>
      <w:marTop w:val="0"/>
      <w:marBottom w:val="0"/>
      <w:divBdr>
        <w:top w:val="none" w:sz="0" w:space="0" w:color="auto"/>
        <w:left w:val="none" w:sz="0" w:space="0" w:color="auto"/>
        <w:bottom w:val="none" w:sz="0" w:space="0" w:color="auto"/>
        <w:right w:val="none" w:sz="0" w:space="0" w:color="auto"/>
      </w:divBdr>
    </w:div>
    <w:div w:id="1739785835">
      <w:bodyDiv w:val="1"/>
      <w:marLeft w:val="0"/>
      <w:marRight w:val="0"/>
      <w:marTop w:val="0"/>
      <w:marBottom w:val="0"/>
      <w:divBdr>
        <w:top w:val="none" w:sz="0" w:space="0" w:color="auto"/>
        <w:left w:val="none" w:sz="0" w:space="0" w:color="auto"/>
        <w:bottom w:val="none" w:sz="0" w:space="0" w:color="auto"/>
        <w:right w:val="none" w:sz="0" w:space="0" w:color="auto"/>
      </w:divBdr>
    </w:div>
    <w:div w:id="1749570890">
      <w:bodyDiv w:val="1"/>
      <w:marLeft w:val="0"/>
      <w:marRight w:val="0"/>
      <w:marTop w:val="0"/>
      <w:marBottom w:val="0"/>
      <w:divBdr>
        <w:top w:val="none" w:sz="0" w:space="0" w:color="auto"/>
        <w:left w:val="none" w:sz="0" w:space="0" w:color="auto"/>
        <w:bottom w:val="none" w:sz="0" w:space="0" w:color="auto"/>
        <w:right w:val="none" w:sz="0" w:space="0" w:color="auto"/>
      </w:divBdr>
    </w:div>
    <w:div w:id="1786852736">
      <w:bodyDiv w:val="1"/>
      <w:marLeft w:val="0"/>
      <w:marRight w:val="0"/>
      <w:marTop w:val="0"/>
      <w:marBottom w:val="0"/>
      <w:divBdr>
        <w:top w:val="none" w:sz="0" w:space="0" w:color="auto"/>
        <w:left w:val="none" w:sz="0" w:space="0" w:color="auto"/>
        <w:bottom w:val="none" w:sz="0" w:space="0" w:color="auto"/>
        <w:right w:val="none" w:sz="0" w:space="0" w:color="auto"/>
      </w:divBdr>
    </w:div>
    <w:div w:id="1814366117">
      <w:bodyDiv w:val="1"/>
      <w:marLeft w:val="0"/>
      <w:marRight w:val="0"/>
      <w:marTop w:val="0"/>
      <w:marBottom w:val="0"/>
      <w:divBdr>
        <w:top w:val="none" w:sz="0" w:space="0" w:color="auto"/>
        <w:left w:val="none" w:sz="0" w:space="0" w:color="auto"/>
        <w:bottom w:val="none" w:sz="0" w:space="0" w:color="auto"/>
        <w:right w:val="none" w:sz="0" w:space="0" w:color="auto"/>
      </w:divBdr>
    </w:div>
    <w:div w:id="1857573409">
      <w:bodyDiv w:val="1"/>
      <w:marLeft w:val="0"/>
      <w:marRight w:val="0"/>
      <w:marTop w:val="0"/>
      <w:marBottom w:val="0"/>
      <w:divBdr>
        <w:top w:val="none" w:sz="0" w:space="0" w:color="auto"/>
        <w:left w:val="none" w:sz="0" w:space="0" w:color="auto"/>
        <w:bottom w:val="none" w:sz="0" w:space="0" w:color="auto"/>
        <w:right w:val="none" w:sz="0" w:space="0" w:color="auto"/>
      </w:divBdr>
    </w:div>
    <w:div w:id="1905987898">
      <w:bodyDiv w:val="1"/>
      <w:marLeft w:val="0"/>
      <w:marRight w:val="0"/>
      <w:marTop w:val="0"/>
      <w:marBottom w:val="0"/>
      <w:divBdr>
        <w:top w:val="none" w:sz="0" w:space="0" w:color="auto"/>
        <w:left w:val="none" w:sz="0" w:space="0" w:color="auto"/>
        <w:bottom w:val="none" w:sz="0" w:space="0" w:color="auto"/>
        <w:right w:val="none" w:sz="0" w:space="0" w:color="auto"/>
      </w:divBdr>
    </w:div>
    <w:div w:id="1929805210">
      <w:bodyDiv w:val="1"/>
      <w:marLeft w:val="0"/>
      <w:marRight w:val="0"/>
      <w:marTop w:val="0"/>
      <w:marBottom w:val="0"/>
      <w:divBdr>
        <w:top w:val="none" w:sz="0" w:space="0" w:color="auto"/>
        <w:left w:val="none" w:sz="0" w:space="0" w:color="auto"/>
        <w:bottom w:val="none" w:sz="0" w:space="0" w:color="auto"/>
        <w:right w:val="none" w:sz="0" w:space="0" w:color="auto"/>
      </w:divBdr>
    </w:div>
    <w:div w:id="1939483237">
      <w:bodyDiv w:val="1"/>
      <w:marLeft w:val="0"/>
      <w:marRight w:val="0"/>
      <w:marTop w:val="0"/>
      <w:marBottom w:val="0"/>
      <w:divBdr>
        <w:top w:val="none" w:sz="0" w:space="0" w:color="auto"/>
        <w:left w:val="none" w:sz="0" w:space="0" w:color="auto"/>
        <w:bottom w:val="none" w:sz="0" w:space="0" w:color="auto"/>
        <w:right w:val="none" w:sz="0" w:space="0" w:color="auto"/>
      </w:divBdr>
    </w:div>
    <w:div w:id="1942450885">
      <w:bodyDiv w:val="1"/>
      <w:marLeft w:val="0"/>
      <w:marRight w:val="0"/>
      <w:marTop w:val="0"/>
      <w:marBottom w:val="0"/>
      <w:divBdr>
        <w:top w:val="none" w:sz="0" w:space="0" w:color="auto"/>
        <w:left w:val="none" w:sz="0" w:space="0" w:color="auto"/>
        <w:bottom w:val="none" w:sz="0" w:space="0" w:color="auto"/>
        <w:right w:val="none" w:sz="0" w:space="0" w:color="auto"/>
      </w:divBdr>
    </w:div>
    <w:div w:id="2050642897">
      <w:bodyDiv w:val="1"/>
      <w:marLeft w:val="0"/>
      <w:marRight w:val="0"/>
      <w:marTop w:val="0"/>
      <w:marBottom w:val="0"/>
      <w:divBdr>
        <w:top w:val="none" w:sz="0" w:space="0" w:color="auto"/>
        <w:left w:val="none" w:sz="0" w:space="0" w:color="auto"/>
        <w:bottom w:val="none" w:sz="0" w:space="0" w:color="auto"/>
        <w:right w:val="none" w:sz="0" w:space="0" w:color="auto"/>
      </w:divBdr>
    </w:div>
    <w:div w:id="2051299369">
      <w:bodyDiv w:val="1"/>
      <w:marLeft w:val="0"/>
      <w:marRight w:val="0"/>
      <w:marTop w:val="0"/>
      <w:marBottom w:val="0"/>
      <w:divBdr>
        <w:top w:val="none" w:sz="0" w:space="0" w:color="auto"/>
        <w:left w:val="none" w:sz="0" w:space="0" w:color="auto"/>
        <w:bottom w:val="none" w:sz="0" w:space="0" w:color="auto"/>
        <w:right w:val="none" w:sz="0" w:space="0" w:color="auto"/>
      </w:divBdr>
    </w:div>
    <w:div w:id="2052538308">
      <w:bodyDiv w:val="1"/>
      <w:marLeft w:val="0"/>
      <w:marRight w:val="0"/>
      <w:marTop w:val="0"/>
      <w:marBottom w:val="0"/>
      <w:divBdr>
        <w:top w:val="none" w:sz="0" w:space="0" w:color="auto"/>
        <w:left w:val="none" w:sz="0" w:space="0" w:color="auto"/>
        <w:bottom w:val="none" w:sz="0" w:space="0" w:color="auto"/>
        <w:right w:val="none" w:sz="0" w:space="0" w:color="auto"/>
      </w:divBdr>
    </w:div>
    <w:div w:id="2115784660">
      <w:bodyDiv w:val="1"/>
      <w:marLeft w:val="0"/>
      <w:marRight w:val="0"/>
      <w:marTop w:val="0"/>
      <w:marBottom w:val="0"/>
      <w:divBdr>
        <w:top w:val="none" w:sz="0" w:space="0" w:color="auto"/>
        <w:left w:val="none" w:sz="0" w:space="0" w:color="auto"/>
        <w:bottom w:val="none" w:sz="0" w:space="0" w:color="auto"/>
        <w:right w:val="none" w:sz="0" w:space="0" w:color="auto"/>
      </w:divBdr>
    </w:div>
    <w:div w:id="2121755166">
      <w:bodyDiv w:val="1"/>
      <w:marLeft w:val="0"/>
      <w:marRight w:val="0"/>
      <w:marTop w:val="0"/>
      <w:marBottom w:val="0"/>
      <w:divBdr>
        <w:top w:val="none" w:sz="0" w:space="0" w:color="auto"/>
        <w:left w:val="none" w:sz="0" w:space="0" w:color="auto"/>
        <w:bottom w:val="none" w:sz="0" w:space="0" w:color="auto"/>
        <w:right w:val="none" w:sz="0" w:space="0" w:color="auto"/>
      </w:divBdr>
    </w:div>
    <w:div w:id="2133204960">
      <w:bodyDiv w:val="1"/>
      <w:marLeft w:val="0"/>
      <w:marRight w:val="0"/>
      <w:marTop w:val="0"/>
      <w:marBottom w:val="0"/>
      <w:divBdr>
        <w:top w:val="none" w:sz="0" w:space="0" w:color="auto"/>
        <w:left w:val="none" w:sz="0" w:space="0" w:color="auto"/>
        <w:bottom w:val="none" w:sz="0" w:space="0" w:color="auto"/>
        <w:right w:val="none" w:sz="0" w:space="0" w:color="auto"/>
      </w:divBdr>
      <w:divsChild>
        <w:div w:id="2112585507">
          <w:marLeft w:val="0"/>
          <w:marRight w:val="0"/>
          <w:marTop w:val="0"/>
          <w:marBottom w:val="0"/>
          <w:divBdr>
            <w:top w:val="none" w:sz="0" w:space="0" w:color="auto"/>
            <w:left w:val="none" w:sz="0" w:space="0" w:color="auto"/>
            <w:bottom w:val="none" w:sz="0" w:space="0" w:color="auto"/>
            <w:right w:val="none" w:sz="0" w:space="0" w:color="auto"/>
          </w:divBdr>
          <w:divsChild>
            <w:div w:id="863787051">
              <w:marLeft w:val="0"/>
              <w:marRight w:val="0"/>
              <w:marTop w:val="0"/>
              <w:marBottom w:val="0"/>
              <w:divBdr>
                <w:top w:val="none" w:sz="0" w:space="0" w:color="auto"/>
                <w:left w:val="none" w:sz="0" w:space="0" w:color="auto"/>
                <w:bottom w:val="none" w:sz="0" w:space="0" w:color="auto"/>
                <w:right w:val="none" w:sz="0" w:space="0" w:color="auto"/>
              </w:divBdr>
              <w:divsChild>
                <w:div w:id="9365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E87A1-9B0D-2047-9527-4575B983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Ya-Ping Chen</dc:creator>
  <cp:keywords/>
  <cp:lastModifiedBy>Ya-Ping Chen</cp:lastModifiedBy>
  <cp:revision>8</cp:revision>
  <dcterms:created xsi:type="dcterms:W3CDTF">2026-02-15T10:43:00Z</dcterms:created>
  <dcterms:modified xsi:type="dcterms:W3CDTF">2026-02-15T10:59:00Z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id="ClwXnCKW"/&gt;&lt;style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