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307B6CA" wp14:paraId="6D7CB77D" wp14:textId="48228C3A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8"/>
          <w:szCs w:val="28"/>
          <w:lang w:val="en-US"/>
        </w:rPr>
        <w:t>Appendix A:</w:t>
      </w: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Example Decision Algorithm for Pediatric OSA Treatment Selection</w:t>
      </w:r>
    </w:p>
    <w:p xmlns:wp14="http://schemas.microsoft.com/office/word/2010/wordml" w:rsidP="7307B6CA" wp14:paraId="3231E801" wp14:textId="68F37B23">
      <w:pPr>
        <w:jc w:val="center"/>
        <w:rPr>
          <w:rFonts w:ascii="Times New Roman" w:hAnsi="Times New Roman" w:eastAsia="Times New Roman" w:cs="Times New Roman"/>
        </w:rPr>
      </w:pPr>
    </w:p>
    <w:p xmlns:wp14="http://schemas.microsoft.com/office/word/2010/wordml" w:rsidP="7307B6CA" wp14:paraId="53A65C4E" wp14:textId="7CEB3BC1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ALGORITHM START</w:t>
      </w:r>
    </w:p>
    <w:p xmlns:wp14="http://schemas.microsoft.com/office/word/2010/wordml" w:rsidP="7307B6CA" wp14:paraId="581A7CF1" wp14:textId="478AFC2C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1: START</w:t>
      </w:r>
      <w:r>
        <w:br/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Child with PSG-confirmed OSA (AHI ≥ 5)</w:t>
      </w:r>
    </w:p>
    <w:p xmlns:wp14="http://schemas.microsoft.com/office/word/2010/wordml" w:rsidP="7307B6CA" wp14:paraId="340B181F" wp14:textId="58417BE7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↓</w:t>
      </w:r>
    </w:p>
    <w:p xmlns:wp14="http://schemas.microsoft.com/office/word/2010/wordml" w:rsidP="7307B6CA" wp14:paraId="7625065F" wp14:textId="0D8F5720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2: MULTIDISCIPLINARY PHENOTYPING</w:t>
      </w:r>
      <w:r>
        <w:br/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(Sleep Medicine + ENT + Orthodontics)</w:t>
      </w:r>
    </w:p>
    <w:p xmlns:wp14="http://schemas.microsoft.com/office/word/2010/wordml" w:rsidP="7307B6CA" wp14:paraId="716B00A1" wp14:textId="0749A659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↓</w:t>
      </w:r>
    </w:p>
    <w:p xmlns:wp14="http://schemas.microsoft.com/office/word/2010/wordml" w:rsidP="7307B6CA" wp14:paraId="733F89B2" wp14:textId="5E1D5183">
      <w:pPr>
        <w:shd w:val="clear" w:color="auto" w:fill="FFFFFF" w:themeFill="background1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3: PHENOTYPE DETERMINATION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680"/>
        <w:gridCol w:w="4680"/>
      </w:tblGrid>
      <w:tr w:rsidR="7307B6CA" w:rsidTr="7307B6CA" w14:paraId="742622F0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01E846E0" w14:textId="02EEA738">
            <w:pPr>
              <w:shd w:val="clear" w:color="auto" w:fill="FFFFFF" w:themeFill="background1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</w:t>
            </w:r>
          </w:p>
        </w:tc>
        <w:tc>
          <w:tcPr>
            <w:tcW w:w="4680" w:type="dxa"/>
            <w:tcMar/>
          </w:tcPr>
          <w:p w:rsidR="7307B6CA" w:rsidP="7307B6CA" w:rsidRDefault="7307B6CA" w14:paraId="2FBBCDBF" w14:textId="08CDB354">
            <w:pPr>
              <w:shd w:val="clear" w:color="auto" w:fill="FFFFFF" w:themeFill="background1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Clinical Characteristics</w:t>
            </w:r>
          </w:p>
        </w:tc>
      </w:tr>
      <w:tr w:rsidR="7307B6CA" w:rsidTr="7307B6CA" w14:paraId="0D119832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4931B29B" w14:textId="3124532A">
            <w:pPr>
              <w:shd w:val="clear" w:color="auto" w:fill="FFFFFF" w:themeFill="background1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Phenotype A</w:t>
            </w:r>
          </w:p>
        </w:tc>
        <w:tc>
          <w:tcPr>
            <w:tcW w:w="4680" w:type="dxa"/>
            <w:tcMar/>
          </w:tcPr>
          <w:p w:rsidR="7307B6CA" w:rsidP="7307B6CA" w:rsidRDefault="7307B6CA" w14:paraId="3C61CC9B" w14:textId="22B48259">
            <w:pPr>
              <w:shd w:val="clear" w:color="auto" w:fill="FFFFFF" w:themeFill="background1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Adenotonsillar</w:t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 xml:space="preserve"> Hypertrophy + Maxillary Constriction (crossbite, high arched palate)</w:t>
            </w:r>
          </w:p>
        </w:tc>
      </w:tr>
      <w:tr w:rsidR="7307B6CA" w:rsidTr="7307B6CA" w14:paraId="398EDABF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4784F5D6" w14:textId="47881CC6">
            <w:pPr>
              <w:shd w:val="clear" w:color="auto" w:fill="FFFFFF" w:themeFill="background1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Phenotype B</w:t>
            </w:r>
          </w:p>
        </w:tc>
        <w:tc>
          <w:tcPr>
            <w:tcW w:w="4680" w:type="dxa"/>
            <w:tcMar/>
          </w:tcPr>
          <w:p w:rsidR="7307B6CA" w:rsidP="7307B6CA" w:rsidRDefault="7307B6CA" w14:paraId="5AE88E35" w14:textId="0E3EB244">
            <w:pPr>
              <w:shd w:val="clear" w:color="auto" w:fill="FFFFFF" w:themeFill="background1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 xml:space="preserve">Isolated </w:t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Adenotonsillar</w:t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 xml:space="preserve"> Hypertrophy (Friedman tonsil grade 3-4)</w:t>
            </w:r>
          </w:p>
        </w:tc>
      </w:tr>
      <w:tr w:rsidR="7307B6CA" w:rsidTr="7307B6CA" w14:paraId="6123CB79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54E80D17" w14:textId="75A5102D">
            <w:pPr>
              <w:shd w:val="clear" w:color="auto" w:fill="FFFFFF" w:themeFill="background1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Phenotype C</w:t>
            </w:r>
          </w:p>
        </w:tc>
        <w:tc>
          <w:tcPr>
            <w:tcW w:w="4680" w:type="dxa"/>
            <w:tcMar/>
          </w:tcPr>
          <w:p w:rsidR="7307B6CA" w:rsidP="7307B6CA" w:rsidRDefault="7307B6CA" w14:paraId="6BC423A8" w14:textId="1EFD70C9">
            <w:pPr>
              <w:shd w:val="clear" w:color="auto" w:fill="FFFFFF" w:themeFill="background1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Primary Craniofacial Syndrome or Severe Retrognathia</w:t>
            </w:r>
          </w:p>
        </w:tc>
      </w:tr>
    </w:tbl>
    <w:p xmlns:wp14="http://schemas.microsoft.com/office/word/2010/wordml" w:rsidP="7307B6CA" wp14:paraId="59E87427" wp14:textId="185AFAC2">
      <w:pPr>
        <w:pStyle w:val="Normal"/>
        <w:suppressLineNumbers w:val="0"/>
        <w:shd w:val="clear" w:color="auto" w:fill="FFFFFF" w:themeFill="background1"/>
        <w:bidi w:val="0"/>
        <w:spacing w:before="240" w:beforeAutospacing="off" w:after="240" w:afterAutospacing="off" w:line="279" w:lineRule="auto"/>
        <w:ind w:left="0" w:right="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↓</w:t>
      </w:r>
    </w:p>
    <w:p xmlns:wp14="http://schemas.microsoft.com/office/word/2010/wordml" w:rsidP="7307B6CA" wp14:paraId="0F772AF1" wp14:textId="797EFB53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4: FIRST-LINE THERAPY SELECTION</w:t>
      </w:r>
    </w:p>
    <w:tbl>
      <w:tblPr>
        <w:tblStyle w:val="TableGrid"/>
        <w:bidiVisual w:val="0"/>
        <w:tblW w:w="0" w:type="auto"/>
        <w:tblLook w:val="06A0" w:firstRow="1" w:lastRow="0" w:firstColumn="1" w:lastColumn="0" w:noHBand="1" w:noVBand="1"/>
      </w:tblPr>
      <w:tblGrid>
        <w:gridCol w:w="4680"/>
        <w:gridCol w:w="4680"/>
      </w:tblGrid>
      <w:tr w:rsidR="7307B6CA" w:rsidTr="7307B6CA" w14:paraId="5A135C8E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07BC1BE4" w14:textId="56356A2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</w:t>
            </w:r>
          </w:p>
        </w:tc>
        <w:tc>
          <w:tcPr>
            <w:tcW w:w="4680" w:type="dxa"/>
            <w:tcMar/>
          </w:tcPr>
          <w:p w:rsidR="7307B6CA" w:rsidP="7307B6CA" w:rsidRDefault="7307B6CA" w14:paraId="61FF4F9F" w14:textId="225C4CBC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Recommended First-Line Therapy</w:t>
            </w:r>
          </w:p>
        </w:tc>
      </w:tr>
      <w:tr w:rsidR="7307B6CA" w:rsidTr="7307B6CA" w14:paraId="739B0302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03911673" w14:textId="6AB3D148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Phenotype A</w:t>
            </w:r>
          </w:p>
        </w:tc>
        <w:tc>
          <w:tcPr>
            <w:tcW w:w="4680" w:type="dxa"/>
            <w:tcMar/>
          </w:tcPr>
          <w:p w:rsidR="7307B6CA" w:rsidP="7307B6CA" w:rsidRDefault="7307B6CA" w14:paraId="596581F9" w14:textId="69E83507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Combined Adenotonsillectomy (AT) + Rapid Maxillary Expansion (RME)</w:t>
            </w:r>
          </w:p>
        </w:tc>
      </w:tr>
      <w:tr w:rsidR="7307B6CA" w:rsidTr="7307B6CA" w14:paraId="759F1438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735854C2" w14:textId="5D65A230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Phenotype B</w:t>
            </w:r>
          </w:p>
        </w:tc>
        <w:tc>
          <w:tcPr>
            <w:tcW w:w="4680" w:type="dxa"/>
            <w:tcMar/>
          </w:tcPr>
          <w:p w:rsidR="7307B6CA" w:rsidP="7307B6CA" w:rsidRDefault="7307B6CA" w14:paraId="2441F35A" w14:textId="43CFAAC7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Adenotonsillectomy (AT) Alone</w:t>
            </w:r>
          </w:p>
        </w:tc>
      </w:tr>
      <w:tr w:rsidR="7307B6CA" w:rsidTr="7307B6CA" w14:paraId="26C025DE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1FA1F96C" w14:textId="2E840AB6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Phenotype C</w:t>
            </w:r>
          </w:p>
        </w:tc>
        <w:tc>
          <w:tcPr>
            <w:tcW w:w="4680" w:type="dxa"/>
            <w:tcMar/>
          </w:tcPr>
          <w:p w:rsidR="7307B6CA" w:rsidP="7307B6CA" w:rsidRDefault="7307B6CA" w14:paraId="2CBC1C3D" w14:textId="31784067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Refer to Craniofacial Team; consider CPAP or MMA surgery evaluation</w:t>
            </w:r>
          </w:p>
        </w:tc>
      </w:tr>
    </w:tbl>
    <w:p xmlns:wp14="http://schemas.microsoft.com/office/word/2010/wordml" w:rsidP="7307B6CA" wp14:paraId="21C3F2CD" wp14:textId="2C1C8AE1">
      <w:pPr>
        <w:pStyle w:val="Normal"/>
        <w:suppressLineNumbers w:val="0"/>
        <w:shd w:val="clear" w:color="auto" w:fill="FFFFFF" w:themeFill="background1"/>
        <w:bidi w:val="0"/>
        <w:spacing w:before="240" w:beforeAutospacing="off" w:after="240" w:afterAutospacing="off" w:line="27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</w:p>
    <w:p xmlns:wp14="http://schemas.microsoft.com/office/word/2010/wordml" w:rsidP="7307B6CA" wp14:paraId="0DDDFA5A" wp14:textId="1D2FAF08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↓</w:t>
      </w:r>
    </w:p>
    <w:p xmlns:wp14="http://schemas.microsoft.com/office/word/2010/wordml" w:rsidP="7307B6CA" wp14:paraId="62BA8876" wp14:textId="4B8830E5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5: FOLLOW-UP (6-12 months)</w:t>
      </w:r>
      <w:r>
        <w:br/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Repeat PSG</w:t>
      </w:r>
    </w:p>
    <w:p xmlns:wp14="http://schemas.microsoft.com/office/word/2010/wordml" w:rsidP="7307B6CA" wp14:paraId="5EF4DEF6" wp14:textId="2C7E01CE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↓</w:t>
      </w:r>
    </w:p>
    <w:p xmlns:wp14="http://schemas.microsoft.com/office/word/2010/wordml" w:rsidP="7307B6CA" wp14:paraId="3592C455" wp14:textId="39795F78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6: OUTCOME ASSESSMENT</w:t>
      </w:r>
    </w:p>
    <w:tbl>
      <w:tblPr>
        <w:tblStyle w:val="TableGrid"/>
        <w:bidiVisual w:val="0"/>
        <w:tblW w:w="0" w:type="auto"/>
        <w:tblLook w:val="06A0" w:firstRow="1" w:lastRow="0" w:firstColumn="1" w:lastColumn="0" w:noHBand="1" w:noVBand="1"/>
      </w:tblPr>
      <w:tblGrid>
        <w:gridCol w:w="3120"/>
        <w:gridCol w:w="3120"/>
        <w:gridCol w:w="3120"/>
      </w:tblGrid>
      <w:tr w:rsidR="7307B6CA" w:rsidTr="7307B6CA" w14:paraId="78423640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47A5F452" w14:textId="39C3E8B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Outcome</w:t>
            </w:r>
          </w:p>
        </w:tc>
        <w:tc>
          <w:tcPr>
            <w:tcW w:w="3120" w:type="dxa"/>
            <w:tcMar/>
          </w:tcPr>
          <w:p w:rsidR="7307B6CA" w:rsidP="7307B6CA" w:rsidRDefault="7307B6CA" w14:paraId="2A615F5B" w14:textId="27CD16E0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AHI Result</w:t>
            </w:r>
          </w:p>
        </w:tc>
        <w:tc>
          <w:tcPr>
            <w:tcW w:w="3120" w:type="dxa"/>
            <w:tcMar/>
          </w:tcPr>
          <w:p w:rsidR="7307B6CA" w:rsidP="7307B6CA" w:rsidRDefault="7307B6CA" w14:paraId="17D5C35C" w14:textId="5A4610B6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Action</w:t>
            </w:r>
          </w:p>
        </w:tc>
      </w:tr>
      <w:tr w:rsidR="7307B6CA" w:rsidTr="7307B6CA" w14:paraId="381104F9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05F0E944" w14:textId="1826FD6E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Success</w:t>
            </w:r>
          </w:p>
        </w:tc>
        <w:tc>
          <w:tcPr>
            <w:tcW w:w="3120" w:type="dxa"/>
            <w:tcMar/>
          </w:tcPr>
          <w:p w:rsidR="7307B6CA" w:rsidP="7307B6CA" w:rsidRDefault="7307B6CA" w14:paraId="7F097B9D" w14:textId="5040F888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AHI &lt; 5</w:t>
            </w:r>
          </w:p>
        </w:tc>
        <w:tc>
          <w:tcPr>
            <w:tcW w:w="3120" w:type="dxa"/>
            <w:tcMar/>
          </w:tcPr>
          <w:p w:rsidR="7307B6CA" w:rsidP="7307B6CA" w:rsidRDefault="7307B6CA" w14:paraId="0E2BC487" w14:textId="6ED69650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Continue Monitoring (annual follow-up)</w:t>
            </w:r>
          </w:p>
        </w:tc>
      </w:tr>
      <w:tr w:rsidR="7307B6CA" w:rsidTr="7307B6CA" w14:paraId="59B24FAC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20B706D5" w14:textId="1F350E8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Residual OSA</w:t>
            </w:r>
          </w:p>
        </w:tc>
        <w:tc>
          <w:tcPr>
            <w:tcW w:w="3120" w:type="dxa"/>
            <w:tcMar/>
          </w:tcPr>
          <w:p w:rsidR="7307B6CA" w:rsidP="7307B6CA" w:rsidRDefault="7307B6CA" w14:paraId="2E9AB64B" w14:textId="36BB502E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AHI ≥ 5</w:t>
            </w:r>
          </w:p>
        </w:tc>
        <w:tc>
          <w:tcPr>
            <w:tcW w:w="3120" w:type="dxa"/>
            <w:tcMar/>
          </w:tcPr>
          <w:p w:rsidR="7307B6CA" w:rsidP="7307B6CA" w:rsidRDefault="7307B6CA" w14:paraId="1B8F5C95" w14:textId="43E2F316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Re-assess Phenotype &amp; Escalate Treatment</w:t>
            </w:r>
          </w:p>
        </w:tc>
      </w:tr>
    </w:tbl>
    <w:p xmlns:wp14="http://schemas.microsoft.com/office/word/2010/wordml" w:rsidP="7307B6CA" wp14:paraId="60731F8D" wp14:textId="0BE043FE">
      <w:pPr>
        <w:pStyle w:val="Normal"/>
        <w:suppressLineNumbers w:val="0"/>
        <w:shd w:val="clear" w:color="auto" w:fill="FFFFFF" w:themeFill="background1"/>
        <w:bidi w:val="0"/>
        <w:spacing w:before="240" w:beforeAutospacing="off" w:after="240" w:afterAutospacing="off" w:line="279" w:lineRule="auto"/>
        <w:ind w:left="0" w:right="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↓</w:t>
      </w:r>
    </w:p>
    <w:p xmlns:wp14="http://schemas.microsoft.com/office/word/2010/wordml" w:rsidP="7307B6CA" wp14:paraId="7C1C814E" wp14:textId="1328EB3E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Step 7: ESCALATION OPTIONS (for Residual OSA)</w:t>
      </w:r>
    </w:p>
    <w:p xmlns:wp14="http://schemas.microsoft.com/office/word/2010/wordml" w:rsidP="7307B6CA" wp14:paraId="4A6806C6" wp14:textId="396A0735">
      <w:p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☐ Add nasal steroids</w:t>
      </w:r>
      <w:r>
        <w:br/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☐ Evaluate for CPAP therapy</w:t>
      </w:r>
      <w:r>
        <w:br/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☐ Re-assess treatment compliance/technique</w:t>
      </w:r>
      <w:r>
        <w:br/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☐ Consider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additional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orthodontic intervention</w:t>
      </w:r>
    </w:p>
    <w:p xmlns:wp14="http://schemas.microsoft.com/office/word/2010/wordml" w:rsidP="7307B6CA" wp14:paraId="51A147D4" wp14:textId="47D2B15F">
      <w:pPr>
        <w:bidi w:val="0"/>
        <w:jc w:val="center"/>
        <w:rPr>
          <w:rFonts w:ascii="Times New Roman" w:hAnsi="Times New Roman" w:eastAsia="Times New Roman" w:cs="Times New Roman"/>
        </w:rPr>
      </w:pPr>
    </w:p>
    <w:p xmlns:wp14="http://schemas.microsoft.com/office/word/2010/wordml" w:rsidP="7307B6CA" wp14:paraId="340028C1" wp14:textId="73966F9B">
      <w:p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KEY NOTES</w:t>
      </w:r>
    </w:p>
    <w:p xmlns:wp14="http://schemas.microsoft.com/office/word/2010/wordml" w:rsidP="7307B6CA" wp14:paraId="2F3997AF" wp14:textId="732ABFB4">
      <w:pPr>
        <w:pStyle w:val="ListParagraph"/>
        <w:numPr>
          <w:ilvl w:val="0"/>
          <w:numId w:val="1"/>
        </w:num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Phenotype determination requires input from:</w:t>
      </w:r>
    </w:p>
    <w:p xmlns:wp14="http://schemas.microsoft.com/office/word/2010/wordml" w:rsidP="7307B6CA" wp14:paraId="6557D09C" wp14:textId="11DDEF7D">
      <w:pPr>
        <w:pStyle w:val="ListParagraph"/>
        <w:numPr>
          <w:ilvl w:val="1"/>
          <w:numId w:val="1"/>
        </w:num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Otolaryngology: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tonsil size via fiberoptic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nasopharyngolaryngoscopy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(FNLP)</w:t>
      </w:r>
    </w:p>
    <w:p xmlns:wp14="http://schemas.microsoft.com/office/word/2010/wordml" w:rsidP="7307B6CA" wp14:paraId="44D61EEF" wp14:textId="04285565">
      <w:pPr>
        <w:pStyle w:val="ListParagraph"/>
        <w:numPr>
          <w:ilvl w:val="1"/>
          <w:numId w:val="1"/>
        </w:num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Orthodontics: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maxillary constriction assessment (posterior crossbite, arch form, palatal height)</w:t>
      </w:r>
    </w:p>
    <w:p xmlns:wp14="http://schemas.microsoft.com/office/word/2010/wordml" w:rsidP="7307B6CA" wp14:paraId="79C03A3C" wp14:textId="4BE77449">
      <w:pPr>
        <w:pStyle w:val="ListParagraph"/>
        <w:numPr>
          <w:ilvl w:val="0"/>
          <w:numId w:val="1"/>
        </w:num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Combined AT+RME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is based on Level I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evidence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(Magalhães et al. 2024) showing superior efficacy for Phenotype A</w:t>
      </w:r>
    </w:p>
    <w:p xmlns:wp14="http://schemas.microsoft.com/office/word/2010/wordml" w:rsidP="7307B6CA" wp14:paraId="22AF6AB6" wp14:textId="44457B43">
      <w:pPr>
        <w:pStyle w:val="ListParagraph"/>
        <w:numPr>
          <w:ilvl w:val="0"/>
          <w:numId w:val="1"/>
        </w:num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Objective follow-up PSG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is critical for all patients—clinical symptoms alone are insufficient to assess resolution</w:t>
      </w:r>
    </w:p>
    <w:p xmlns:wp14="http://schemas.microsoft.com/office/word/2010/wordml" w:rsidP="7307B6CA" wp14:paraId="138AB30D" wp14:textId="40613AE5">
      <w:pPr>
        <w:pStyle w:val="ListParagraph"/>
        <w:numPr>
          <w:ilvl w:val="0"/>
          <w:numId w:val="1"/>
        </w:num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Persistent disease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triggers return to multidisciplinary team for re-evaluation and phenotype reassessment</w:t>
      </w:r>
    </w:p>
    <w:p xmlns:wp14="http://schemas.microsoft.com/office/word/2010/wordml" w:rsidP="7307B6CA" wp14:paraId="102FF5CB" wp14:textId="61C7141C">
      <w:pPr>
        <w:bidi w:val="0"/>
        <w:jc w:val="center"/>
        <w:rPr>
          <w:rFonts w:ascii="Times New Roman" w:hAnsi="Times New Roman" w:eastAsia="Times New Roman" w:cs="Times New Roman"/>
        </w:rPr>
      </w:pPr>
    </w:p>
    <w:p xmlns:wp14="http://schemas.microsoft.com/office/word/2010/wordml" w:rsidP="7307B6CA" wp14:paraId="75421E67" wp14:textId="6ECEBD46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ABBREVIATIONS</w:t>
      </w:r>
    </w:p>
    <w:tbl>
      <w:tblPr>
        <w:tblStyle w:val="TableGrid"/>
        <w:bidiVisual w:val="0"/>
        <w:tblW w:w="0" w:type="auto"/>
        <w:tblLook w:val="06A0" w:firstRow="1" w:lastRow="0" w:firstColumn="1" w:lastColumn="0" w:noHBand="1" w:noVBand="1"/>
      </w:tblPr>
      <w:tblGrid>
        <w:gridCol w:w="4680"/>
        <w:gridCol w:w="4680"/>
      </w:tblGrid>
      <w:tr w:rsidR="7307B6CA" w:rsidTr="7307B6CA" w14:paraId="70879C04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3F6DF147" w14:textId="296251BD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Abbreviation</w:t>
            </w:r>
          </w:p>
        </w:tc>
        <w:tc>
          <w:tcPr>
            <w:tcW w:w="4680" w:type="dxa"/>
            <w:tcMar/>
          </w:tcPr>
          <w:p w:rsidR="7307B6CA" w:rsidP="7307B6CA" w:rsidRDefault="7307B6CA" w14:paraId="36BC8207" w14:textId="48DAB92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Full Term</w:t>
            </w:r>
          </w:p>
        </w:tc>
      </w:tr>
      <w:tr w:rsidR="7307B6CA" w:rsidTr="7307B6CA" w14:paraId="59DF4FA9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50B94ACE" w14:textId="55ED5C7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PSG</w:t>
            </w:r>
          </w:p>
        </w:tc>
        <w:tc>
          <w:tcPr>
            <w:tcW w:w="4680" w:type="dxa"/>
            <w:tcMar/>
          </w:tcPr>
          <w:p w:rsidR="7307B6CA" w:rsidP="7307B6CA" w:rsidRDefault="7307B6CA" w14:paraId="587D3FCE" w14:textId="6AFDCB05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Polysomnography</w:t>
            </w:r>
          </w:p>
        </w:tc>
      </w:tr>
      <w:tr w:rsidR="7307B6CA" w:rsidTr="7307B6CA" w14:paraId="67B0BFFB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7E427D55" w14:textId="5EEC08E5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AHI</w:t>
            </w:r>
          </w:p>
        </w:tc>
        <w:tc>
          <w:tcPr>
            <w:tcW w:w="4680" w:type="dxa"/>
            <w:tcMar/>
          </w:tcPr>
          <w:p w:rsidR="7307B6CA" w:rsidP="7307B6CA" w:rsidRDefault="7307B6CA" w14:paraId="327D846D" w14:textId="159E1B9E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Apnea-Hypopnea Index</w:t>
            </w:r>
          </w:p>
        </w:tc>
      </w:tr>
      <w:tr w:rsidR="7307B6CA" w:rsidTr="7307B6CA" w14:paraId="6FB193BC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4356F3D0" w14:textId="13AB65B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ENT</w:t>
            </w:r>
          </w:p>
        </w:tc>
        <w:tc>
          <w:tcPr>
            <w:tcW w:w="4680" w:type="dxa"/>
            <w:tcMar/>
          </w:tcPr>
          <w:p w:rsidR="7307B6CA" w:rsidP="7307B6CA" w:rsidRDefault="7307B6CA" w14:paraId="3026A7E3" w14:textId="28E73AE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Otorhinolaryngology</w:t>
            </w:r>
          </w:p>
        </w:tc>
      </w:tr>
      <w:tr w:rsidR="7307B6CA" w:rsidTr="7307B6CA" w14:paraId="3F5CAB4F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65FC0917" w14:textId="5EEB176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Ortho</w:t>
            </w:r>
          </w:p>
        </w:tc>
        <w:tc>
          <w:tcPr>
            <w:tcW w:w="4680" w:type="dxa"/>
            <w:tcMar/>
          </w:tcPr>
          <w:p w:rsidR="7307B6CA" w:rsidP="7307B6CA" w:rsidRDefault="7307B6CA" w14:paraId="007E0298" w14:textId="15223675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Orthodontics</w:t>
            </w:r>
          </w:p>
        </w:tc>
      </w:tr>
      <w:tr w:rsidR="7307B6CA" w:rsidTr="7307B6CA" w14:paraId="744B8BB5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68B613C1" w14:textId="165CF43C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RME</w:t>
            </w:r>
          </w:p>
        </w:tc>
        <w:tc>
          <w:tcPr>
            <w:tcW w:w="4680" w:type="dxa"/>
            <w:tcMar/>
          </w:tcPr>
          <w:p w:rsidR="7307B6CA" w:rsidP="7307B6CA" w:rsidRDefault="7307B6CA" w14:paraId="4D9F9454" w14:textId="78A18BD7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Rapid Maxillary Expansion</w:t>
            </w:r>
          </w:p>
        </w:tc>
      </w:tr>
      <w:tr w:rsidR="7307B6CA" w:rsidTr="7307B6CA" w14:paraId="15208541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7F505099" w14:textId="2AAADDB8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AT</w:t>
            </w:r>
          </w:p>
        </w:tc>
        <w:tc>
          <w:tcPr>
            <w:tcW w:w="4680" w:type="dxa"/>
            <w:tcMar/>
          </w:tcPr>
          <w:p w:rsidR="7307B6CA" w:rsidP="7307B6CA" w:rsidRDefault="7307B6CA" w14:paraId="76DF3B2B" w14:textId="3D60E21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Adenotonsillectomy</w:t>
            </w:r>
          </w:p>
        </w:tc>
      </w:tr>
      <w:tr w:rsidR="7307B6CA" w:rsidTr="7307B6CA" w14:paraId="60C76080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0C04FDA1" w14:textId="1AA4E22C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CPAP</w:t>
            </w:r>
          </w:p>
        </w:tc>
        <w:tc>
          <w:tcPr>
            <w:tcW w:w="4680" w:type="dxa"/>
            <w:tcMar/>
          </w:tcPr>
          <w:p w:rsidR="7307B6CA" w:rsidP="7307B6CA" w:rsidRDefault="7307B6CA" w14:paraId="232A08CB" w14:textId="194FFE89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Continuous Positive Airway Pressure</w:t>
            </w:r>
          </w:p>
        </w:tc>
      </w:tr>
      <w:tr w:rsidR="7307B6CA" w:rsidTr="7307B6CA" w14:paraId="2CAED9BE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61292101" w14:textId="645F0369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FNLP</w:t>
            </w:r>
          </w:p>
        </w:tc>
        <w:tc>
          <w:tcPr>
            <w:tcW w:w="4680" w:type="dxa"/>
            <w:tcMar/>
          </w:tcPr>
          <w:p w:rsidR="7307B6CA" w:rsidP="7307B6CA" w:rsidRDefault="7307B6CA" w14:paraId="592E34B1" w14:textId="3ABBD6A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 xml:space="preserve">Fiberoptic </w:t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Nasopharyngolaryngoscopy</w:t>
            </w:r>
          </w:p>
        </w:tc>
      </w:tr>
      <w:tr w:rsidR="7307B6CA" w:rsidTr="7307B6CA" w14:paraId="3CEA97DE">
        <w:trPr>
          <w:trHeight w:val="300"/>
        </w:trPr>
        <w:tc>
          <w:tcPr>
            <w:tcW w:w="4680" w:type="dxa"/>
            <w:tcMar/>
          </w:tcPr>
          <w:p w:rsidR="7307B6CA" w:rsidP="7307B6CA" w:rsidRDefault="7307B6CA" w14:paraId="0BACF5D3" w14:textId="77172B1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MMA</w:t>
            </w:r>
          </w:p>
        </w:tc>
        <w:tc>
          <w:tcPr>
            <w:tcW w:w="4680" w:type="dxa"/>
            <w:tcMar/>
          </w:tcPr>
          <w:p w:rsidR="7307B6CA" w:rsidP="7307B6CA" w:rsidRDefault="7307B6CA" w14:paraId="5DDFE0C0" w14:textId="072ADBD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Maxillomandibular Advancement</w:t>
            </w:r>
          </w:p>
        </w:tc>
      </w:tr>
    </w:tbl>
    <w:p xmlns:wp14="http://schemas.microsoft.com/office/word/2010/wordml" w:rsidP="7307B6CA" wp14:paraId="29A5AA93" wp14:textId="4526A87D">
      <w:pPr>
        <w:pStyle w:val="Normal"/>
        <w:suppressLineNumbers w:val="0"/>
        <w:shd w:val="clear" w:color="auto" w:fill="FFFFFF" w:themeFill="background1"/>
        <w:bidi w:val="0"/>
        <w:spacing w:before="240" w:beforeAutospacing="off" w:after="240" w:afterAutospacing="off" w:line="27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</w:p>
    <w:p xmlns:wp14="http://schemas.microsoft.com/office/word/2010/wordml" w:rsidP="7307B6CA" wp14:paraId="7402BC88" wp14:textId="035865BD">
      <w:pPr>
        <w:pStyle w:val="Normal"/>
        <w:suppressLineNumbers w:val="0"/>
        <w:shd w:val="clear" w:color="auto" w:fill="FFFFFF" w:themeFill="background1"/>
        <w:bidi w:val="0"/>
        <w:spacing w:before="240" w:beforeAutospacing="off" w:after="240" w:afterAutospacing="off" w:line="27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</w:p>
    <w:p xmlns:wp14="http://schemas.microsoft.com/office/word/2010/wordml" w:rsidP="7307B6CA" wp14:paraId="1A88CF66" wp14:textId="140A1208">
      <w:pPr>
        <w:pStyle w:val="Normal"/>
        <w:suppressLineNumbers w:val="0"/>
        <w:shd w:val="clear" w:color="auto" w:fill="FFFFFF" w:themeFill="background1"/>
        <w:bidi w:val="0"/>
        <w:spacing w:before="240" w:beforeAutospacing="off" w:after="240" w:afterAutospacing="off" w:line="279" w:lineRule="auto"/>
        <w:ind w:left="0" w:right="0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</w:p>
    <w:p xmlns:wp14="http://schemas.microsoft.com/office/word/2010/wordml" w:rsidP="7307B6CA" wp14:paraId="3C0B4049" wp14:textId="60890B7C">
      <w:p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REFERENCE</w:t>
      </w:r>
    </w:p>
    <w:p xmlns:wp14="http://schemas.microsoft.com/office/word/2010/wordml" w:rsidP="7307B6CA" wp14:paraId="020276E7" wp14:textId="0944B0B7">
      <w:pPr>
        <w:shd w:val="clear" w:color="auto" w:fill="FFFFFF" w:themeFill="background1"/>
        <w:bidi w:val="0"/>
        <w:spacing w:before="240" w:beforeAutospacing="off" w:after="240" w:afterAutospacing="off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Magalhães MC, Normando D, Soares CJ, et al.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Impact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of adenotonsillectomy and palatal expansion on the apnea-hypopnea index and minimum oxygen saturation in nonobese pediatric obstructive sleep apnea with balanced maxillomandibular relationship: a cross-over randomized controlled trial.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Pediatr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Pulmonol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 xml:space="preserve">. 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2024;59:3507</w:t>
      </w:r>
      <w:r w:rsidRPr="7307B6CA" w:rsidR="4A9ACE1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-3517. DOI: 10.1002/ppul.27033</w:t>
      </w:r>
    </w:p>
    <w:p xmlns:wp14="http://schemas.microsoft.com/office/word/2010/wordml" w:rsidP="7307B6CA" wp14:paraId="0142A1F4" wp14:textId="05E0BAEC">
      <w:pPr>
        <w:bidi w:val="0"/>
        <w:jc w:val="center"/>
        <w:rPr>
          <w:rFonts w:ascii="Times New Roman" w:hAnsi="Times New Roman" w:eastAsia="Times New Roman" w:cs="Times New Roman"/>
        </w:rPr>
      </w:pPr>
    </w:p>
    <w:p xmlns:wp14="http://schemas.microsoft.com/office/word/2010/wordml" w:rsidP="7307B6CA" wp14:paraId="3D3FAA48" wp14:textId="769F330B">
      <w:pPr>
        <w:pStyle w:val="Heading2"/>
        <w:shd w:val="clear" w:color="auto" w:fill="FFFFFF" w:themeFill="background1"/>
        <w:bidi w:val="0"/>
        <w:spacing w:before="480" w:beforeAutospacing="off" w:after="240" w:afterAutospacing="off" w:line="480" w:lineRule="auto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33"/>
          <w:szCs w:val="33"/>
          <w:lang w:val="en-US"/>
        </w:rPr>
      </w:pPr>
    </w:p>
    <w:p xmlns:wp14="http://schemas.microsoft.com/office/word/2010/wordml" w:rsidP="7307B6CA" wp14:paraId="2878012E" wp14:textId="60128F2E">
      <w:pPr>
        <w:pStyle w:val="Normal"/>
        <w:bidi w:val="0"/>
        <w:rPr>
          <w:noProof w:val="0"/>
          <w:lang w:val="en-US"/>
        </w:rPr>
      </w:pPr>
    </w:p>
    <w:p xmlns:wp14="http://schemas.microsoft.com/office/word/2010/wordml" w:rsidP="7307B6CA" wp14:paraId="7B36EF44" wp14:textId="4583A145">
      <w:pPr>
        <w:pStyle w:val="Normal"/>
        <w:bidi w:val="0"/>
        <w:rPr>
          <w:noProof w:val="0"/>
          <w:lang w:val="en-US"/>
        </w:rPr>
      </w:pPr>
    </w:p>
    <w:p xmlns:wp14="http://schemas.microsoft.com/office/word/2010/wordml" w:rsidP="7307B6CA" wp14:paraId="7980C907" wp14:textId="0A0D10BA">
      <w:pPr>
        <w:pStyle w:val="Heading2"/>
        <w:shd w:val="clear" w:color="auto" w:fill="FFFFFF" w:themeFill="background1"/>
        <w:bidi w:val="0"/>
        <w:spacing w:before="480" w:beforeAutospacing="off" w:after="240" w:afterAutospacing="off" w:line="480" w:lineRule="auto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33"/>
          <w:szCs w:val="33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33"/>
          <w:szCs w:val="33"/>
          <w:lang w:val="en-US"/>
        </w:rPr>
        <w:t>Visual Representation (Alternative Format - Table Style)</w:t>
      </w:r>
    </w:p>
    <w:p xmlns:wp14="http://schemas.microsoft.com/office/word/2010/wordml" w:rsidP="7307B6CA" wp14:paraId="5A7DD539" wp14:textId="42165556">
      <w:pPr>
        <w:shd w:val="clear" w:color="auto" w:fill="FFFFFF" w:themeFill="background1"/>
        <w:bidi w:val="0"/>
        <w:spacing w:before="240" w:beforeAutospacing="off" w:after="240" w:afterAutospacing="off"/>
        <w:jc w:val="center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</w:pPr>
      <w:r w:rsidRPr="7307B6CA" w:rsidR="4A9ACE10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F1115"/>
          <w:sz w:val="24"/>
          <w:szCs w:val="24"/>
          <w:lang w:val="en-US"/>
        </w:rPr>
        <w:t>PEDIATRIC OSA TREATMENT DECISION ALGORITHM</w:t>
      </w:r>
    </w:p>
    <w:tbl>
      <w:tblPr>
        <w:tblStyle w:val="TableGrid"/>
        <w:bidiVisual w:val="0"/>
        <w:tblW w:w="0" w:type="auto"/>
        <w:tblLook w:val="06A0" w:firstRow="1" w:lastRow="0" w:firstColumn="1" w:lastColumn="0" w:noHBand="1" w:noVBand="1"/>
      </w:tblPr>
      <w:tblGrid>
        <w:gridCol w:w="3120"/>
        <w:gridCol w:w="3120"/>
        <w:gridCol w:w="3120"/>
      </w:tblGrid>
      <w:tr w:rsidR="7307B6CA" w:rsidTr="7307B6CA" w14:paraId="7F638B11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6FD4CA65" w14:textId="3836C866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Step</w:t>
            </w:r>
          </w:p>
        </w:tc>
        <w:tc>
          <w:tcPr>
            <w:tcW w:w="3120" w:type="dxa"/>
            <w:tcMar/>
          </w:tcPr>
          <w:p w:rsidR="7307B6CA" w:rsidP="7307B6CA" w:rsidRDefault="7307B6CA" w14:paraId="5706B68E" w14:textId="3558024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Action</w:t>
            </w:r>
          </w:p>
        </w:tc>
        <w:tc>
          <w:tcPr>
            <w:tcW w:w="3120" w:type="dxa"/>
            <w:tcMar/>
          </w:tcPr>
          <w:p w:rsidR="7307B6CA" w:rsidP="7307B6CA" w:rsidRDefault="7307B6CA" w14:paraId="0C3938D0" w14:textId="5AA51EF7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Details</w:t>
            </w:r>
          </w:p>
        </w:tc>
      </w:tr>
      <w:tr w:rsidR="7307B6CA" w:rsidTr="7307B6CA" w14:paraId="1E62CBDD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17EB5FB1" w14:textId="2F249F4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1</w:t>
            </w:r>
          </w:p>
        </w:tc>
        <w:tc>
          <w:tcPr>
            <w:tcW w:w="3120" w:type="dxa"/>
            <w:tcMar/>
          </w:tcPr>
          <w:p w:rsidR="7307B6CA" w:rsidP="7307B6CA" w:rsidRDefault="7307B6CA" w14:paraId="4CA49433" w14:textId="25E0E29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START</w:t>
            </w:r>
          </w:p>
        </w:tc>
        <w:tc>
          <w:tcPr>
            <w:tcW w:w="3120" w:type="dxa"/>
            <w:tcMar/>
          </w:tcPr>
          <w:p w:rsidR="7307B6CA" w:rsidP="7307B6CA" w:rsidRDefault="7307B6CA" w14:paraId="157ADF85" w14:textId="3B23AB3D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Child with PSG-confirmed OSA (AHI ≥ 5)</w:t>
            </w:r>
          </w:p>
        </w:tc>
      </w:tr>
      <w:tr w:rsidR="7307B6CA" w:rsidTr="7307B6CA" w14:paraId="02ACE8B7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0982CF90" w14:textId="337E9548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2</w:t>
            </w:r>
          </w:p>
        </w:tc>
        <w:tc>
          <w:tcPr>
            <w:tcW w:w="3120" w:type="dxa"/>
            <w:tcMar/>
          </w:tcPr>
          <w:p w:rsidR="7307B6CA" w:rsidP="7307B6CA" w:rsidRDefault="7307B6CA" w14:paraId="255BA28B" w14:textId="7AF8F2EB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Multidisciplinary Phenotyping</w:t>
            </w:r>
          </w:p>
        </w:tc>
        <w:tc>
          <w:tcPr>
            <w:tcW w:w="3120" w:type="dxa"/>
            <w:tcMar/>
          </w:tcPr>
          <w:p w:rsidR="7307B6CA" w:rsidP="7307B6CA" w:rsidRDefault="7307B6CA" w14:paraId="69BB500C" w14:textId="7EED245B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Sleep Medicine + ENT + Orthodontics</w:t>
            </w:r>
          </w:p>
        </w:tc>
      </w:tr>
      <w:tr w:rsidR="7307B6CA" w:rsidTr="7307B6CA" w14:paraId="07E57AC7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06321704" w14:textId="5B68581A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3</w:t>
            </w:r>
          </w:p>
        </w:tc>
        <w:tc>
          <w:tcPr>
            <w:tcW w:w="3120" w:type="dxa"/>
            <w:tcMar/>
          </w:tcPr>
          <w:p w:rsidR="7307B6CA" w:rsidP="7307B6CA" w:rsidRDefault="7307B6CA" w14:paraId="784E7688" w14:textId="39AAA61A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 A</w:t>
            </w:r>
          </w:p>
        </w:tc>
        <w:tc>
          <w:tcPr>
            <w:tcW w:w="3120" w:type="dxa"/>
            <w:tcMar/>
          </w:tcPr>
          <w:p w:rsidR="7307B6CA" w:rsidP="7307B6CA" w:rsidRDefault="7307B6CA" w14:paraId="41D789D7" w14:textId="74B8E2BC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Adenotonsillar</w:t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 xml:space="preserve"> Hypertrophy + Maxillary Constriction</w:t>
            </w:r>
          </w:p>
        </w:tc>
      </w:tr>
      <w:tr w:rsidR="7307B6CA" w:rsidTr="7307B6CA" w14:paraId="14677423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541161CA" w14:textId="4764E501">
            <w:pPr>
              <w:bidi w:val="0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120" w:type="dxa"/>
            <w:tcMar/>
          </w:tcPr>
          <w:p w:rsidR="7307B6CA" w:rsidP="7307B6CA" w:rsidRDefault="7307B6CA" w14:paraId="1F0C38A5" w14:textId="7130F8E8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 B</w:t>
            </w:r>
          </w:p>
        </w:tc>
        <w:tc>
          <w:tcPr>
            <w:tcW w:w="3120" w:type="dxa"/>
            <w:tcMar/>
          </w:tcPr>
          <w:p w:rsidR="7307B6CA" w:rsidP="7307B6CA" w:rsidRDefault="7307B6CA" w14:paraId="5FBDC640" w14:textId="052F8C55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Isolated Adenotonsillar Hypertrophy</w:t>
            </w:r>
          </w:p>
        </w:tc>
      </w:tr>
      <w:tr w:rsidR="7307B6CA" w:rsidTr="7307B6CA" w14:paraId="074F2CFC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4444A176" w14:textId="293E3EA9">
            <w:pPr>
              <w:bidi w:val="0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120" w:type="dxa"/>
            <w:tcMar/>
          </w:tcPr>
          <w:p w:rsidR="7307B6CA" w:rsidP="7307B6CA" w:rsidRDefault="7307B6CA" w14:paraId="0F33CD5F" w14:textId="693ADE28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 C</w:t>
            </w:r>
          </w:p>
        </w:tc>
        <w:tc>
          <w:tcPr>
            <w:tcW w:w="3120" w:type="dxa"/>
            <w:tcMar/>
          </w:tcPr>
          <w:p w:rsidR="7307B6CA" w:rsidP="7307B6CA" w:rsidRDefault="7307B6CA" w14:paraId="3C563DA8" w14:textId="64587C43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Primary Craniofacial Syndrome/Severe Retrognathia</w:t>
            </w:r>
          </w:p>
        </w:tc>
      </w:tr>
      <w:tr w:rsidR="7307B6CA" w:rsidTr="7307B6CA" w14:paraId="22748CA1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5E65DD12" w14:textId="5CC768E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4</w:t>
            </w:r>
          </w:p>
        </w:tc>
        <w:tc>
          <w:tcPr>
            <w:tcW w:w="3120" w:type="dxa"/>
            <w:tcMar/>
          </w:tcPr>
          <w:p w:rsidR="7307B6CA" w:rsidP="7307B6CA" w:rsidRDefault="7307B6CA" w14:paraId="43F5D890" w14:textId="3C5820ED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 A Therapy</w:t>
            </w:r>
          </w:p>
        </w:tc>
        <w:tc>
          <w:tcPr>
            <w:tcW w:w="3120" w:type="dxa"/>
            <w:tcMar/>
          </w:tcPr>
          <w:p w:rsidR="7307B6CA" w:rsidP="7307B6CA" w:rsidRDefault="7307B6CA" w14:paraId="178F31E9" w14:textId="3B178CA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Combined AT + RME</w:t>
            </w:r>
          </w:p>
        </w:tc>
      </w:tr>
      <w:tr w:rsidR="7307B6CA" w:rsidTr="7307B6CA" w14:paraId="6003C888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0C880B6B" w14:textId="07092E79">
            <w:pPr>
              <w:bidi w:val="0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120" w:type="dxa"/>
            <w:tcMar/>
          </w:tcPr>
          <w:p w:rsidR="7307B6CA" w:rsidP="7307B6CA" w:rsidRDefault="7307B6CA" w14:paraId="7D6487CB" w14:textId="7145BD29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 B Therapy</w:t>
            </w:r>
          </w:p>
        </w:tc>
        <w:tc>
          <w:tcPr>
            <w:tcW w:w="3120" w:type="dxa"/>
            <w:tcMar/>
          </w:tcPr>
          <w:p w:rsidR="7307B6CA" w:rsidP="7307B6CA" w:rsidRDefault="7307B6CA" w14:paraId="711026A4" w14:textId="21B2C38B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AT Alone</w:t>
            </w:r>
          </w:p>
        </w:tc>
      </w:tr>
      <w:tr w:rsidR="7307B6CA" w:rsidTr="7307B6CA" w14:paraId="4BD3BB63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1578BFD2" w14:textId="2E1309BC">
            <w:pPr>
              <w:bidi w:val="0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120" w:type="dxa"/>
            <w:tcMar/>
          </w:tcPr>
          <w:p w:rsidR="7307B6CA" w:rsidP="7307B6CA" w:rsidRDefault="7307B6CA" w14:paraId="574DC8BA" w14:textId="3722A30C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Phenotype C Therapy</w:t>
            </w:r>
          </w:p>
        </w:tc>
        <w:tc>
          <w:tcPr>
            <w:tcW w:w="3120" w:type="dxa"/>
            <w:tcMar/>
          </w:tcPr>
          <w:p w:rsidR="7307B6CA" w:rsidP="7307B6CA" w:rsidRDefault="7307B6CA" w14:paraId="124C0F8A" w14:textId="64D11544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Refer to Craniofacial Team</w:t>
            </w:r>
          </w:p>
        </w:tc>
      </w:tr>
      <w:tr w:rsidR="7307B6CA" w:rsidTr="7307B6CA" w14:paraId="6964CF03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62C2FC81" w14:textId="4B484D3C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5</w:t>
            </w:r>
          </w:p>
        </w:tc>
        <w:tc>
          <w:tcPr>
            <w:tcW w:w="3120" w:type="dxa"/>
            <w:tcMar/>
          </w:tcPr>
          <w:p w:rsidR="7307B6CA" w:rsidP="7307B6CA" w:rsidRDefault="7307B6CA" w14:paraId="79DB5C57" w14:textId="1D92E077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Follow-Up</w:t>
            </w:r>
          </w:p>
        </w:tc>
        <w:tc>
          <w:tcPr>
            <w:tcW w:w="3120" w:type="dxa"/>
            <w:tcMar/>
          </w:tcPr>
          <w:p w:rsidR="7307B6CA" w:rsidP="7307B6CA" w:rsidRDefault="7307B6CA" w14:paraId="16A20B57" w14:textId="7DBD576D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Repeat PSG at 6-12 months</w:t>
            </w:r>
          </w:p>
        </w:tc>
      </w:tr>
      <w:tr w:rsidR="7307B6CA" w:rsidTr="7307B6CA" w14:paraId="17BB03F5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0D695AA9" w14:textId="47850DAE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6</w:t>
            </w:r>
          </w:p>
        </w:tc>
        <w:tc>
          <w:tcPr>
            <w:tcW w:w="3120" w:type="dxa"/>
            <w:tcMar/>
          </w:tcPr>
          <w:p w:rsidR="7307B6CA" w:rsidP="7307B6CA" w:rsidRDefault="7307B6CA" w14:paraId="01F89607" w14:textId="66328D85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If AHI &lt; 5</w:t>
            </w:r>
          </w:p>
        </w:tc>
        <w:tc>
          <w:tcPr>
            <w:tcW w:w="3120" w:type="dxa"/>
            <w:tcMar/>
          </w:tcPr>
          <w:p w:rsidR="7307B6CA" w:rsidP="7307B6CA" w:rsidRDefault="7307B6CA" w14:paraId="4FF0E5B6" w14:textId="12DB33FD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Continue Monitoring (Success)</w:t>
            </w:r>
          </w:p>
        </w:tc>
      </w:tr>
      <w:tr w:rsidR="7307B6CA" w:rsidTr="7307B6CA" w14:paraId="13E22115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2670DA40" w14:textId="24ACA303">
            <w:pPr>
              <w:bidi w:val="0"/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120" w:type="dxa"/>
            <w:tcMar/>
          </w:tcPr>
          <w:p w:rsidR="7307B6CA" w:rsidP="7307B6CA" w:rsidRDefault="7307B6CA" w14:paraId="2666AAEA" w14:textId="11DFA802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If AHI ≥ 5</w:t>
            </w:r>
          </w:p>
        </w:tc>
        <w:tc>
          <w:tcPr>
            <w:tcW w:w="3120" w:type="dxa"/>
            <w:tcMar/>
          </w:tcPr>
          <w:p w:rsidR="7307B6CA" w:rsidP="7307B6CA" w:rsidRDefault="7307B6CA" w14:paraId="494071AF" w14:textId="4A83E40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Re-assess Phenotype &amp; Escalate Treatment</w:t>
            </w:r>
          </w:p>
        </w:tc>
      </w:tr>
      <w:tr w:rsidR="7307B6CA" w:rsidTr="7307B6CA" w14:paraId="547060AF">
        <w:trPr>
          <w:trHeight w:val="300"/>
        </w:trPr>
        <w:tc>
          <w:tcPr>
            <w:tcW w:w="3120" w:type="dxa"/>
            <w:tcMar/>
          </w:tcPr>
          <w:p w:rsidR="7307B6CA" w:rsidP="7307B6CA" w:rsidRDefault="7307B6CA" w14:paraId="593F9D0F" w14:textId="7DCD540F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sz w:val="22"/>
                <w:szCs w:val="22"/>
              </w:rPr>
              <w:t>7</w:t>
            </w:r>
          </w:p>
        </w:tc>
        <w:tc>
          <w:tcPr>
            <w:tcW w:w="3120" w:type="dxa"/>
            <w:tcMar/>
          </w:tcPr>
          <w:p w:rsidR="7307B6CA" w:rsidP="7307B6CA" w:rsidRDefault="7307B6CA" w14:paraId="7A2973A3" w14:textId="70815085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Escalation Options</w:t>
            </w:r>
          </w:p>
        </w:tc>
        <w:tc>
          <w:tcPr>
            <w:tcW w:w="3120" w:type="dxa"/>
            <w:tcMar/>
          </w:tcPr>
          <w:p w:rsidR="7307B6CA" w:rsidP="7307B6CA" w:rsidRDefault="7307B6CA" w14:paraId="7547AC70" w14:textId="128F3AD1">
            <w:pPr>
              <w:shd w:val="clear" w:color="auto" w:fill="FFFFFF" w:themeFill="background1"/>
              <w:bidi w:val="0"/>
              <w:spacing w:before="0" w:beforeAutospacing="off" w:after="0" w:afterAutospacing="off" w:line="375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</w:pP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• Nasal steroids</w:t>
            </w:r>
            <w:r>
              <w:br/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• CPAP evaluation</w:t>
            </w:r>
            <w:r>
              <w:br/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• Compliance review</w:t>
            </w:r>
            <w:r>
              <w:br/>
            </w:r>
            <w:r w:rsidRPr="7307B6CA" w:rsidR="7307B6CA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2"/>
                <w:szCs w:val="22"/>
              </w:rPr>
              <w:t>• Additional orthodontics</w:t>
            </w:r>
          </w:p>
        </w:tc>
      </w:tr>
    </w:tbl>
    <w:p xmlns:wp14="http://schemas.microsoft.com/office/word/2010/wordml" w:rsidP="7307B6CA" wp14:paraId="796D2FD2" wp14:textId="6D6AEC4E">
      <w:pPr>
        <w:pStyle w:val="Normal"/>
      </w:pPr>
    </w:p>
    <w:p xmlns:wp14="http://schemas.microsoft.com/office/word/2010/wordml" w:rsidP="7307B6CA" wp14:paraId="2C078E63" wp14:textId="1A8A84D3">
      <w:pPr>
        <w:jc w:val="center"/>
        <w:rPr>
          <w:rFonts w:ascii="Times New Roman" w:hAnsi="Times New Roman" w:eastAsia="Times New Roman" w:cs="Times New Roman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5fdba4f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430983"/>
    <w:rsid w:val="028B7651"/>
    <w:rsid w:val="11C57F83"/>
    <w:rsid w:val="1313B69B"/>
    <w:rsid w:val="13C63F02"/>
    <w:rsid w:val="1452B24C"/>
    <w:rsid w:val="14AF879E"/>
    <w:rsid w:val="14AF879E"/>
    <w:rsid w:val="389D3178"/>
    <w:rsid w:val="39F6EE5C"/>
    <w:rsid w:val="3E562368"/>
    <w:rsid w:val="43A495DD"/>
    <w:rsid w:val="4A9ACE10"/>
    <w:rsid w:val="55C33FE2"/>
    <w:rsid w:val="570BDDB2"/>
    <w:rsid w:val="64F7286C"/>
    <w:rsid w:val="64F7286C"/>
    <w:rsid w:val="7307B6CA"/>
    <w:rsid w:val="77BDE1F7"/>
    <w:rsid w:val="77BDE1F7"/>
    <w:rsid w:val="7F43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30983"/>
  <w15:chartTrackingRefBased/>
  <w15:docId w15:val="{48452EBA-57B3-48CD-B930-E7401B7313D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7307B6CA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7307B6CA"/>
    <w:pPr>
      <w:spacing/>
      <w:ind w:left="72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d18b2a56d8b4fa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ola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2026-02-15T14:59:35.9477489Z</dcterms:created>
  <dcterms:modified xsi:type="dcterms:W3CDTF">2026-02-15T15:09:33.0243804Z</dcterms:modified>
  <dc:creator>Maen Mahfouz</dc:creator>
  <lastModifiedBy>Maen Mahfouz</lastModifiedBy>
</coreProperties>
</file>