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5E4371" w14:textId="77777777" w:rsidR="00B15AC4" w:rsidRPr="00AA07FF" w:rsidRDefault="00B15AC4" w:rsidP="00B15AC4">
      <w:pPr>
        <w:spacing w:line="480" w:lineRule="auto"/>
        <w:jc w:val="both"/>
        <w:rPr>
          <w:rFonts w:ascii="Arial" w:hAnsi="Arial" w:cs="Arial"/>
          <w:b/>
          <w:bCs/>
          <w:color w:val="000000" w:themeColor="text1"/>
          <w:sz w:val="24"/>
          <w:szCs w:val="24"/>
          <w:lang w:val="en-GB"/>
        </w:rPr>
      </w:pPr>
      <w:r w:rsidRPr="00AA07FF">
        <w:rPr>
          <w:rFonts w:ascii="Arial" w:hAnsi="Arial" w:cs="Arial"/>
          <w:b/>
          <w:bCs/>
          <w:color w:val="000000" w:themeColor="text1"/>
          <w:sz w:val="24"/>
          <w:szCs w:val="24"/>
          <w:lang w:val="en-GB"/>
        </w:rPr>
        <w:t>Supplementary Data</w:t>
      </w:r>
    </w:p>
    <w:p w14:paraId="724E000B" w14:textId="77777777" w:rsidR="00B15AC4" w:rsidRPr="00CE5295" w:rsidRDefault="00B15AC4" w:rsidP="00B15AC4">
      <w:pPr>
        <w:spacing w:line="480" w:lineRule="auto"/>
        <w:jc w:val="both"/>
        <w:rPr>
          <w:rFonts w:ascii="Arial" w:hAnsi="Arial" w:cs="Arial"/>
          <w:color w:val="000000" w:themeColor="text1"/>
          <w:sz w:val="24"/>
          <w:szCs w:val="24"/>
          <w:lang w:val="en-US"/>
        </w:rPr>
      </w:pPr>
      <w:r w:rsidRPr="00D531B1">
        <w:rPr>
          <w:rFonts w:ascii="Arial" w:hAnsi="Arial" w:cs="Arial"/>
          <w:b/>
          <w:bCs/>
          <w:color w:val="000000" w:themeColor="text1"/>
          <w:sz w:val="24"/>
          <w:szCs w:val="24"/>
          <w:lang w:val="en-GB"/>
        </w:rPr>
        <w:t>Supplementary Table 1:</w:t>
      </w:r>
      <w:r w:rsidRPr="00D531B1">
        <w:rPr>
          <w:rFonts w:ascii="Arial" w:hAnsi="Arial" w:cs="Arial"/>
          <w:color w:val="000000" w:themeColor="text1"/>
          <w:sz w:val="24"/>
          <w:szCs w:val="24"/>
          <w:lang w:val="en-GB"/>
        </w:rPr>
        <w:t xml:space="preserve"> </w:t>
      </w:r>
      <w:r w:rsidRPr="00CE5295">
        <w:rPr>
          <w:rFonts w:ascii="Arial" w:hAnsi="Arial" w:cs="Arial"/>
          <w:color w:val="000000" w:themeColor="text1"/>
          <w:sz w:val="24"/>
          <w:szCs w:val="24"/>
          <w:lang w:val="en-US"/>
        </w:rPr>
        <w:t>Patient characteristics by CDA occurrence in those with longitudinal IL-6 data over 12 months</w:t>
      </w:r>
      <w:r>
        <w:rPr>
          <w:rFonts w:ascii="Arial" w:hAnsi="Arial" w:cs="Arial"/>
          <w:color w:val="000000" w:themeColor="text1"/>
          <w:sz w:val="24"/>
          <w:szCs w:val="24"/>
          <w:lang w:val="en-US"/>
        </w:rPr>
        <w:t xml:space="preserve">. </w:t>
      </w:r>
      <w:r w:rsidRPr="00404062">
        <w:rPr>
          <w:rFonts w:ascii="Arial" w:hAnsi="Arial" w:cs="Arial"/>
          <w:color w:val="000000" w:themeColor="text1"/>
          <w:sz w:val="24"/>
          <w:szCs w:val="24"/>
          <w:lang w:val="en-US"/>
        </w:rPr>
        <w:t>This subgroup includes patients with available serum samples at baseline, 6 months (V6), and 12 months (V12). No significant differences in baseline or longitudinal IL-6 levels were found between those who experienced CDA and those who did not.</w:t>
      </w:r>
    </w:p>
    <w:tbl>
      <w:tblPr>
        <w:tblStyle w:val="PlainTable2"/>
        <w:tblW w:w="0" w:type="auto"/>
        <w:tblLook w:val="04A0" w:firstRow="1" w:lastRow="0" w:firstColumn="1" w:lastColumn="0" w:noHBand="0" w:noVBand="1"/>
      </w:tblPr>
      <w:tblGrid>
        <w:gridCol w:w="2998"/>
        <w:gridCol w:w="2689"/>
        <w:gridCol w:w="2489"/>
        <w:gridCol w:w="1184"/>
      </w:tblGrid>
      <w:tr w:rsidR="00B15AC4" w:rsidRPr="00B20A7F" w14:paraId="719A280C" w14:textId="77777777" w:rsidTr="00AC676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5649677" w14:textId="77777777" w:rsidR="00B15AC4" w:rsidRPr="00B20A7F" w:rsidRDefault="00B15AC4" w:rsidP="00AC6765">
            <w:pPr>
              <w:spacing w:after="160"/>
              <w:jc w:val="both"/>
              <w:rPr>
                <w:rFonts w:ascii="Arial" w:hAnsi="Arial" w:cs="Arial"/>
                <w:color w:val="000000" w:themeColor="text1"/>
                <w:lang w:val="en-US"/>
              </w:rPr>
            </w:pPr>
          </w:p>
        </w:tc>
        <w:tc>
          <w:tcPr>
            <w:tcW w:w="0" w:type="auto"/>
            <w:hideMark/>
          </w:tcPr>
          <w:p w14:paraId="6EED1F6E" w14:textId="77777777" w:rsidR="00B15AC4" w:rsidRPr="00B20A7F" w:rsidRDefault="00B15AC4" w:rsidP="00AC6765">
            <w:pPr>
              <w:spacing w:after="160"/>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Patients without CDA (n=13)</w:t>
            </w:r>
          </w:p>
        </w:tc>
        <w:tc>
          <w:tcPr>
            <w:tcW w:w="0" w:type="auto"/>
            <w:hideMark/>
          </w:tcPr>
          <w:p w14:paraId="19DBB4C0" w14:textId="77777777" w:rsidR="00B15AC4" w:rsidRPr="00B20A7F" w:rsidRDefault="00B15AC4" w:rsidP="00AC6765">
            <w:pPr>
              <w:spacing w:after="160"/>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Patients with CDA (n=12)</w:t>
            </w:r>
          </w:p>
        </w:tc>
        <w:tc>
          <w:tcPr>
            <w:tcW w:w="0" w:type="auto"/>
            <w:hideMark/>
          </w:tcPr>
          <w:p w14:paraId="1CB1F1E9" w14:textId="77777777" w:rsidR="00B15AC4" w:rsidRPr="00B20A7F" w:rsidRDefault="00B15AC4" w:rsidP="00AC6765">
            <w:pPr>
              <w:spacing w:after="160"/>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p-value</w:t>
            </w:r>
          </w:p>
        </w:tc>
      </w:tr>
      <w:tr w:rsidR="00B15AC4" w:rsidRPr="00B20A7F" w14:paraId="59BE3DD1" w14:textId="77777777" w:rsidTr="00AC67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1FF3B3C" w14:textId="77777777" w:rsidR="00B15AC4" w:rsidRPr="00B20A7F" w:rsidRDefault="00B15AC4" w:rsidP="00AC6765">
            <w:pPr>
              <w:spacing w:after="160"/>
              <w:jc w:val="both"/>
              <w:rPr>
                <w:rFonts w:ascii="Arial" w:hAnsi="Arial" w:cs="Arial"/>
                <w:color w:val="000000" w:themeColor="text1"/>
                <w:lang w:val="en-US"/>
              </w:rPr>
            </w:pPr>
            <w:r w:rsidRPr="00B20A7F">
              <w:rPr>
                <w:rFonts w:ascii="Arial" w:hAnsi="Arial" w:cs="Arial"/>
                <w:color w:val="000000" w:themeColor="text1"/>
                <w:lang w:val="en-US"/>
              </w:rPr>
              <w:t>Age at BL (years, mean ± SD)</w:t>
            </w:r>
          </w:p>
        </w:tc>
        <w:tc>
          <w:tcPr>
            <w:tcW w:w="0" w:type="auto"/>
            <w:hideMark/>
          </w:tcPr>
          <w:p w14:paraId="779055C5" w14:textId="77777777" w:rsidR="00B15AC4" w:rsidRPr="00B20A7F" w:rsidRDefault="00B15AC4" w:rsidP="00AC6765">
            <w:pPr>
              <w:spacing w:after="1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56.1 ± 8.41</w:t>
            </w:r>
          </w:p>
        </w:tc>
        <w:tc>
          <w:tcPr>
            <w:tcW w:w="0" w:type="auto"/>
            <w:hideMark/>
          </w:tcPr>
          <w:p w14:paraId="773752C3" w14:textId="77777777" w:rsidR="00B15AC4" w:rsidRPr="00B20A7F" w:rsidRDefault="00B15AC4" w:rsidP="00AC6765">
            <w:pPr>
              <w:spacing w:after="1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54.6 ± 12.8</w:t>
            </w:r>
          </w:p>
        </w:tc>
        <w:tc>
          <w:tcPr>
            <w:tcW w:w="0" w:type="auto"/>
            <w:hideMark/>
          </w:tcPr>
          <w:p w14:paraId="206EE7C5" w14:textId="77777777" w:rsidR="00B15AC4" w:rsidRPr="00B20A7F" w:rsidRDefault="00B15AC4" w:rsidP="00AC6765">
            <w:pPr>
              <w:spacing w:after="1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0.73</w:t>
            </w:r>
          </w:p>
        </w:tc>
      </w:tr>
      <w:tr w:rsidR="00B15AC4" w:rsidRPr="00B20A7F" w14:paraId="170898C5" w14:textId="77777777" w:rsidTr="00AC6765">
        <w:tc>
          <w:tcPr>
            <w:cnfStyle w:val="001000000000" w:firstRow="0" w:lastRow="0" w:firstColumn="1" w:lastColumn="0" w:oddVBand="0" w:evenVBand="0" w:oddHBand="0" w:evenHBand="0" w:firstRowFirstColumn="0" w:firstRowLastColumn="0" w:lastRowFirstColumn="0" w:lastRowLastColumn="0"/>
            <w:tcW w:w="0" w:type="auto"/>
            <w:hideMark/>
          </w:tcPr>
          <w:p w14:paraId="72565F2D" w14:textId="77777777" w:rsidR="00B15AC4" w:rsidRPr="00B20A7F" w:rsidRDefault="00B15AC4" w:rsidP="00AC6765">
            <w:pPr>
              <w:spacing w:after="160"/>
              <w:jc w:val="both"/>
              <w:rPr>
                <w:rFonts w:ascii="Arial" w:hAnsi="Arial" w:cs="Arial"/>
                <w:color w:val="000000" w:themeColor="text1"/>
              </w:rPr>
            </w:pPr>
            <w:r w:rsidRPr="00B20A7F">
              <w:rPr>
                <w:rFonts w:ascii="Arial" w:hAnsi="Arial" w:cs="Arial"/>
                <w:color w:val="000000" w:themeColor="text1"/>
              </w:rPr>
              <w:t>Female sex (n, %)</w:t>
            </w:r>
          </w:p>
        </w:tc>
        <w:tc>
          <w:tcPr>
            <w:tcW w:w="0" w:type="auto"/>
            <w:hideMark/>
          </w:tcPr>
          <w:p w14:paraId="768E42E5" w14:textId="77777777" w:rsidR="00B15AC4" w:rsidRPr="00B20A7F" w:rsidRDefault="00B15AC4" w:rsidP="00AC6765">
            <w:pPr>
              <w:spacing w:after="1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7 (28%)</w:t>
            </w:r>
          </w:p>
        </w:tc>
        <w:tc>
          <w:tcPr>
            <w:tcW w:w="0" w:type="auto"/>
            <w:hideMark/>
          </w:tcPr>
          <w:p w14:paraId="4AA94DA4" w14:textId="77777777" w:rsidR="00B15AC4" w:rsidRPr="00B20A7F" w:rsidRDefault="00B15AC4" w:rsidP="00AC6765">
            <w:pPr>
              <w:spacing w:after="1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6 (24%)</w:t>
            </w:r>
          </w:p>
        </w:tc>
        <w:tc>
          <w:tcPr>
            <w:tcW w:w="0" w:type="auto"/>
            <w:hideMark/>
          </w:tcPr>
          <w:p w14:paraId="5C146F8F" w14:textId="77777777" w:rsidR="00B15AC4" w:rsidRPr="00B20A7F" w:rsidRDefault="00B15AC4" w:rsidP="00AC6765">
            <w:pPr>
              <w:spacing w:after="1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1.0</w:t>
            </w:r>
          </w:p>
        </w:tc>
      </w:tr>
      <w:tr w:rsidR="00B15AC4" w:rsidRPr="00B20A7F" w14:paraId="5E828B89" w14:textId="77777777" w:rsidTr="00AC67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FD96C8C" w14:textId="77777777" w:rsidR="00B15AC4" w:rsidRPr="00B20A7F" w:rsidRDefault="00B15AC4" w:rsidP="00AC6765">
            <w:pPr>
              <w:spacing w:after="160"/>
              <w:jc w:val="both"/>
              <w:rPr>
                <w:rFonts w:ascii="Arial" w:hAnsi="Arial" w:cs="Arial"/>
                <w:color w:val="000000" w:themeColor="text1"/>
                <w:lang w:val="en-US"/>
              </w:rPr>
            </w:pPr>
            <w:r w:rsidRPr="00B20A7F">
              <w:rPr>
                <w:rFonts w:ascii="Arial" w:hAnsi="Arial" w:cs="Arial"/>
                <w:color w:val="000000" w:themeColor="text1"/>
                <w:lang w:val="en-US"/>
              </w:rPr>
              <w:t>EDSS at BL (median; IQR)</w:t>
            </w:r>
          </w:p>
        </w:tc>
        <w:tc>
          <w:tcPr>
            <w:tcW w:w="0" w:type="auto"/>
            <w:hideMark/>
          </w:tcPr>
          <w:p w14:paraId="13260C6E" w14:textId="77777777" w:rsidR="00B15AC4" w:rsidRPr="00B20A7F" w:rsidRDefault="00B15AC4" w:rsidP="00AC6765">
            <w:pPr>
              <w:spacing w:after="1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3.00 (IQR 2.5)</w:t>
            </w:r>
          </w:p>
        </w:tc>
        <w:tc>
          <w:tcPr>
            <w:tcW w:w="0" w:type="auto"/>
            <w:hideMark/>
          </w:tcPr>
          <w:p w14:paraId="35B79C12" w14:textId="77777777" w:rsidR="00B15AC4" w:rsidRPr="00B20A7F" w:rsidRDefault="00B15AC4" w:rsidP="00AC6765">
            <w:pPr>
              <w:spacing w:after="1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3.50 (IQR 2.5)</w:t>
            </w:r>
          </w:p>
        </w:tc>
        <w:tc>
          <w:tcPr>
            <w:tcW w:w="0" w:type="auto"/>
            <w:hideMark/>
          </w:tcPr>
          <w:p w14:paraId="5FEB3CA6" w14:textId="77777777" w:rsidR="00B15AC4" w:rsidRPr="00B20A7F" w:rsidRDefault="00B15AC4" w:rsidP="00AC6765">
            <w:pPr>
              <w:spacing w:after="1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0.56</w:t>
            </w:r>
          </w:p>
        </w:tc>
      </w:tr>
      <w:tr w:rsidR="00B15AC4" w:rsidRPr="00B20A7F" w14:paraId="259E2286" w14:textId="77777777" w:rsidTr="00AC6765">
        <w:tc>
          <w:tcPr>
            <w:cnfStyle w:val="001000000000" w:firstRow="0" w:lastRow="0" w:firstColumn="1" w:lastColumn="0" w:oddVBand="0" w:evenVBand="0" w:oddHBand="0" w:evenHBand="0" w:firstRowFirstColumn="0" w:firstRowLastColumn="0" w:lastRowFirstColumn="0" w:lastRowLastColumn="0"/>
            <w:tcW w:w="0" w:type="auto"/>
            <w:hideMark/>
          </w:tcPr>
          <w:p w14:paraId="513001CD" w14:textId="77777777" w:rsidR="00B15AC4" w:rsidRPr="00B20A7F" w:rsidRDefault="00B15AC4" w:rsidP="00AC6765">
            <w:pPr>
              <w:spacing w:after="160"/>
              <w:jc w:val="both"/>
              <w:rPr>
                <w:rFonts w:ascii="Arial" w:hAnsi="Arial" w:cs="Arial"/>
                <w:color w:val="000000" w:themeColor="text1"/>
              </w:rPr>
            </w:pPr>
            <w:r w:rsidRPr="00B20A7F">
              <w:rPr>
                <w:rFonts w:ascii="Arial" w:hAnsi="Arial" w:cs="Arial"/>
                <w:color w:val="000000" w:themeColor="text1"/>
              </w:rPr>
              <w:t>No. RRMS patients</w:t>
            </w:r>
          </w:p>
        </w:tc>
        <w:tc>
          <w:tcPr>
            <w:tcW w:w="0" w:type="auto"/>
            <w:hideMark/>
          </w:tcPr>
          <w:p w14:paraId="39C1F90E" w14:textId="77777777" w:rsidR="00B15AC4" w:rsidRPr="00B20A7F" w:rsidRDefault="00B15AC4" w:rsidP="00AC6765">
            <w:pPr>
              <w:spacing w:after="1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6 (24%)</w:t>
            </w:r>
          </w:p>
        </w:tc>
        <w:tc>
          <w:tcPr>
            <w:tcW w:w="0" w:type="auto"/>
            <w:hideMark/>
          </w:tcPr>
          <w:p w14:paraId="617C50EC" w14:textId="77777777" w:rsidR="00B15AC4" w:rsidRPr="00B20A7F" w:rsidRDefault="00B15AC4" w:rsidP="00AC6765">
            <w:pPr>
              <w:spacing w:after="1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3 (12%)</w:t>
            </w:r>
          </w:p>
        </w:tc>
        <w:tc>
          <w:tcPr>
            <w:tcW w:w="0" w:type="auto"/>
            <w:hideMark/>
          </w:tcPr>
          <w:p w14:paraId="79394878" w14:textId="77777777" w:rsidR="00B15AC4" w:rsidRPr="00B20A7F" w:rsidRDefault="00B15AC4" w:rsidP="00AC6765">
            <w:pPr>
              <w:spacing w:after="1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0.41</w:t>
            </w:r>
          </w:p>
        </w:tc>
      </w:tr>
      <w:tr w:rsidR="00B15AC4" w:rsidRPr="00B20A7F" w14:paraId="322F0610" w14:textId="77777777" w:rsidTr="00AC67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E9F3D21" w14:textId="77777777" w:rsidR="00B15AC4" w:rsidRPr="00B20A7F" w:rsidRDefault="00B15AC4" w:rsidP="00AC6765">
            <w:pPr>
              <w:spacing w:after="160"/>
              <w:jc w:val="both"/>
              <w:rPr>
                <w:rFonts w:ascii="Arial" w:hAnsi="Arial" w:cs="Arial"/>
                <w:color w:val="000000" w:themeColor="text1"/>
              </w:rPr>
            </w:pPr>
            <w:r w:rsidRPr="00B20A7F">
              <w:rPr>
                <w:rFonts w:ascii="Arial" w:hAnsi="Arial" w:cs="Arial"/>
                <w:color w:val="000000" w:themeColor="text1"/>
              </w:rPr>
              <w:t>No. PPMS patients</w:t>
            </w:r>
          </w:p>
        </w:tc>
        <w:tc>
          <w:tcPr>
            <w:tcW w:w="0" w:type="auto"/>
            <w:hideMark/>
          </w:tcPr>
          <w:p w14:paraId="7DF8FBA4" w14:textId="77777777" w:rsidR="00B15AC4" w:rsidRPr="00B20A7F" w:rsidRDefault="00B15AC4" w:rsidP="00AC6765">
            <w:pPr>
              <w:spacing w:after="1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7 (28%)</w:t>
            </w:r>
          </w:p>
        </w:tc>
        <w:tc>
          <w:tcPr>
            <w:tcW w:w="0" w:type="auto"/>
            <w:hideMark/>
          </w:tcPr>
          <w:p w14:paraId="53DACEEB" w14:textId="77777777" w:rsidR="00B15AC4" w:rsidRPr="00B20A7F" w:rsidRDefault="00B15AC4" w:rsidP="00AC6765">
            <w:pPr>
              <w:spacing w:after="1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9 (36%)</w:t>
            </w:r>
          </w:p>
        </w:tc>
        <w:tc>
          <w:tcPr>
            <w:tcW w:w="0" w:type="auto"/>
            <w:hideMark/>
          </w:tcPr>
          <w:p w14:paraId="0C40EF75" w14:textId="77777777" w:rsidR="00B15AC4" w:rsidRPr="00B20A7F" w:rsidRDefault="00B15AC4" w:rsidP="00AC6765">
            <w:pPr>
              <w:spacing w:after="1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0.41</w:t>
            </w:r>
          </w:p>
        </w:tc>
      </w:tr>
      <w:tr w:rsidR="00B15AC4" w:rsidRPr="00B20A7F" w14:paraId="23FE0D83" w14:textId="77777777" w:rsidTr="00AC6765">
        <w:tc>
          <w:tcPr>
            <w:cnfStyle w:val="001000000000" w:firstRow="0" w:lastRow="0" w:firstColumn="1" w:lastColumn="0" w:oddVBand="0" w:evenVBand="0" w:oddHBand="0" w:evenHBand="0" w:firstRowFirstColumn="0" w:firstRowLastColumn="0" w:lastRowFirstColumn="0" w:lastRowLastColumn="0"/>
            <w:tcW w:w="0" w:type="auto"/>
            <w:hideMark/>
          </w:tcPr>
          <w:p w14:paraId="5108743F" w14:textId="77777777" w:rsidR="00B15AC4" w:rsidRPr="00B20A7F" w:rsidRDefault="00B15AC4" w:rsidP="00AC6765">
            <w:pPr>
              <w:spacing w:after="160"/>
              <w:jc w:val="both"/>
              <w:rPr>
                <w:rFonts w:ascii="Arial" w:hAnsi="Arial" w:cs="Arial"/>
                <w:color w:val="000000" w:themeColor="text1"/>
              </w:rPr>
            </w:pPr>
            <w:r w:rsidRPr="00B20A7F">
              <w:rPr>
                <w:rFonts w:ascii="Arial" w:hAnsi="Arial" w:cs="Arial"/>
                <w:color w:val="000000" w:themeColor="text1"/>
              </w:rPr>
              <w:t>Relapse within 12M (n, %)</w:t>
            </w:r>
          </w:p>
        </w:tc>
        <w:tc>
          <w:tcPr>
            <w:tcW w:w="0" w:type="auto"/>
            <w:hideMark/>
          </w:tcPr>
          <w:p w14:paraId="4C6065F5" w14:textId="77777777" w:rsidR="00B15AC4" w:rsidRPr="00B20A7F" w:rsidRDefault="00B15AC4" w:rsidP="00AC6765">
            <w:pPr>
              <w:spacing w:after="1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NA</w:t>
            </w:r>
          </w:p>
        </w:tc>
        <w:tc>
          <w:tcPr>
            <w:tcW w:w="0" w:type="auto"/>
            <w:hideMark/>
          </w:tcPr>
          <w:p w14:paraId="29345660" w14:textId="77777777" w:rsidR="00B15AC4" w:rsidRPr="00B20A7F" w:rsidRDefault="00B15AC4" w:rsidP="00AC6765">
            <w:pPr>
              <w:spacing w:after="1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2 (8%)</w:t>
            </w:r>
          </w:p>
        </w:tc>
        <w:tc>
          <w:tcPr>
            <w:tcW w:w="0" w:type="auto"/>
            <w:hideMark/>
          </w:tcPr>
          <w:p w14:paraId="57E269B4" w14:textId="77777777" w:rsidR="00B15AC4" w:rsidRPr="00B20A7F" w:rsidRDefault="00B15AC4" w:rsidP="00AC6765">
            <w:pPr>
              <w:spacing w:after="1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NA</w:t>
            </w:r>
          </w:p>
        </w:tc>
      </w:tr>
      <w:tr w:rsidR="00B15AC4" w:rsidRPr="00B20A7F" w14:paraId="36525121" w14:textId="77777777" w:rsidTr="00AC67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4591C60" w14:textId="77777777" w:rsidR="00B15AC4" w:rsidRPr="00B20A7F" w:rsidRDefault="00B15AC4" w:rsidP="00AC6765">
            <w:pPr>
              <w:spacing w:after="160"/>
              <w:jc w:val="both"/>
              <w:rPr>
                <w:rFonts w:ascii="Arial" w:hAnsi="Arial" w:cs="Arial"/>
                <w:color w:val="000000" w:themeColor="text1"/>
              </w:rPr>
            </w:pPr>
            <w:r w:rsidRPr="00B20A7F">
              <w:rPr>
                <w:rFonts w:ascii="Arial" w:hAnsi="Arial" w:cs="Arial"/>
                <w:color w:val="000000" w:themeColor="text1"/>
              </w:rPr>
              <w:t>PIRA within 12M (n, %)</w:t>
            </w:r>
          </w:p>
        </w:tc>
        <w:tc>
          <w:tcPr>
            <w:tcW w:w="0" w:type="auto"/>
            <w:hideMark/>
          </w:tcPr>
          <w:p w14:paraId="49A27B25" w14:textId="77777777" w:rsidR="00B15AC4" w:rsidRPr="00B20A7F" w:rsidRDefault="00B15AC4" w:rsidP="00AC6765">
            <w:pPr>
              <w:spacing w:after="1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NA</w:t>
            </w:r>
          </w:p>
        </w:tc>
        <w:tc>
          <w:tcPr>
            <w:tcW w:w="0" w:type="auto"/>
            <w:hideMark/>
          </w:tcPr>
          <w:p w14:paraId="795B2656" w14:textId="77777777" w:rsidR="00B15AC4" w:rsidRPr="00B20A7F" w:rsidRDefault="00B15AC4" w:rsidP="00AC6765">
            <w:pPr>
              <w:spacing w:after="1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10 (40%)</w:t>
            </w:r>
          </w:p>
        </w:tc>
        <w:tc>
          <w:tcPr>
            <w:tcW w:w="0" w:type="auto"/>
            <w:hideMark/>
          </w:tcPr>
          <w:p w14:paraId="38DAA0A9" w14:textId="77777777" w:rsidR="00B15AC4" w:rsidRPr="00B20A7F" w:rsidRDefault="00B15AC4" w:rsidP="00AC6765">
            <w:pPr>
              <w:spacing w:after="1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NA</w:t>
            </w:r>
          </w:p>
        </w:tc>
      </w:tr>
      <w:tr w:rsidR="00B15AC4" w:rsidRPr="00B20A7F" w14:paraId="07D31CB1" w14:textId="77777777" w:rsidTr="00AC6765">
        <w:tc>
          <w:tcPr>
            <w:cnfStyle w:val="001000000000" w:firstRow="0" w:lastRow="0" w:firstColumn="1" w:lastColumn="0" w:oddVBand="0" w:evenVBand="0" w:oddHBand="0" w:evenHBand="0" w:firstRowFirstColumn="0" w:firstRowLastColumn="0" w:lastRowFirstColumn="0" w:lastRowLastColumn="0"/>
            <w:tcW w:w="0" w:type="auto"/>
            <w:hideMark/>
          </w:tcPr>
          <w:p w14:paraId="0EFF41BF" w14:textId="77777777" w:rsidR="00B15AC4" w:rsidRPr="00B20A7F" w:rsidRDefault="00B15AC4" w:rsidP="00AC6765">
            <w:pPr>
              <w:spacing w:after="160"/>
              <w:jc w:val="both"/>
              <w:rPr>
                <w:rFonts w:ascii="Arial" w:hAnsi="Arial" w:cs="Arial"/>
                <w:color w:val="000000" w:themeColor="text1"/>
              </w:rPr>
            </w:pPr>
            <w:r w:rsidRPr="00B20A7F">
              <w:rPr>
                <w:rFonts w:ascii="Arial" w:hAnsi="Arial" w:cs="Arial"/>
                <w:color w:val="000000" w:themeColor="text1"/>
              </w:rPr>
              <w:t>RAW within 12M (n, %)</w:t>
            </w:r>
          </w:p>
        </w:tc>
        <w:tc>
          <w:tcPr>
            <w:tcW w:w="0" w:type="auto"/>
            <w:hideMark/>
          </w:tcPr>
          <w:p w14:paraId="7189FF4C" w14:textId="77777777" w:rsidR="00B15AC4" w:rsidRPr="00B20A7F" w:rsidRDefault="00B15AC4" w:rsidP="00AC6765">
            <w:pPr>
              <w:spacing w:after="1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NA</w:t>
            </w:r>
          </w:p>
        </w:tc>
        <w:tc>
          <w:tcPr>
            <w:tcW w:w="0" w:type="auto"/>
            <w:hideMark/>
          </w:tcPr>
          <w:p w14:paraId="5613E851" w14:textId="77777777" w:rsidR="00B15AC4" w:rsidRPr="00B20A7F" w:rsidRDefault="00B15AC4" w:rsidP="00AC6765">
            <w:pPr>
              <w:spacing w:after="1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2 (8%)</w:t>
            </w:r>
          </w:p>
        </w:tc>
        <w:tc>
          <w:tcPr>
            <w:tcW w:w="0" w:type="auto"/>
            <w:hideMark/>
          </w:tcPr>
          <w:p w14:paraId="54C43FDE" w14:textId="77777777" w:rsidR="00B15AC4" w:rsidRPr="00B20A7F" w:rsidRDefault="00B15AC4" w:rsidP="00AC6765">
            <w:pPr>
              <w:spacing w:after="1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NA</w:t>
            </w:r>
          </w:p>
        </w:tc>
      </w:tr>
      <w:tr w:rsidR="00B15AC4" w:rsidRPr="00B20A7F" w14:paraId="79C300C3" w14:textId="77777777" w:rsidTr="00AC67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9005B23" w14:textId="77777777" w:rsidR="00B15AC4" w:rsidRPr="00B20A7F" w:rsidRDefault="00B15AC4" w:rsidP="00AC6765">
            <w:pPr>
              <w:spacing w:after="160"/>
              <w:jc w:val="both"/>
              <w:rPr>
                <w:rFonts w:ascii="Arial" w:hAnsi="Arial" w:cs="Arial"/>
                <w:color w:val="000000" w:themeColor="text1"/>
                <w:lang w:val="en-US"/>
              </w:rPr>
            </w:pPr>
            <w:r w:rsidRPr="00B20A7F">
              <w:rPr>
                <w:rFonts w:ascii="Arial" w:hAnsi="Arial" w:cs="Arial"/>
                <w:color w:val="000000" w:themeColor="text1"/>
                <w:lang w:val="en-US"/>
              </w:rPr>
              <w:t>IL-6 at BL [pg/ml] (median; IQR)</w:t>
            </w:r>
          </w:p>
        </w:tc>
        <w:tc>
          <w:tcPr>
            <w:tcW w:w="0" w:type="auto"/>
            <w:hideMark/>
          </w:tcPr>
          <w:p w14:paraId="2DB52755" w14:textId="77777777" w:rsidR="00B15AC4" w:rsidRPr="00B20A7F" w:rsidRDefault="00B15AC4" w:rsidP="00AC6765">
            <w:pPr>
              <w:spacing w:after="1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2.2 (IQR 2.1)</w:t>
            </w:r>
          </w:p>
        </w:tc>
        <w:tc>
          <w:tcPr>
            <w:tcW w:w="0" w:type="auto"/>
            <w:hideMark/>
          </w:tcPr>
          <w:p w14:paraId="19B2A4A6" w14:textId="77777777" w:rsidR="00B15AC4" w:rsidRPr="00B20A7F" w:rsidRDefault="00B15AC4" w:rsidP="00AC6765">
            <w:pPr>
              <w:spacing w:after="1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1.9 (IQR 1.5)</w:t>
            </w:r>
          </w:p>
        </w:tc>
        <w:tc>
          <w:tcPr>
            <w:tcW w:w="0" w:type="auto"/>
            <w:hideMark/>
          </w:tcPr>
          <w:p w14:paraId="756333B1" w14:textId="77777777" w:rsidR="00B15AC4" w:rsidRPr="00B20A7F" w:rsidRDefault="00B15AC4" w:rsidP="00AC6765">
            <w:pPr>
              <w:spacing w:after="1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0.91</w:t>
            </w:r>
          </w:p>
        </w:tc>
      </w:tr>
      <w:tr w:rsidR="00B15AC4" w:rsidRPr="00B20A7F" w14:paraId="398CEAE8" w14:textId="77777777" w:rsidTr="00AC6765">
        <w:tc>
          <w:tcPr>
            <w:cnfStyle w:val="001000000000" w:firstRow="0" w:lastRow="0" w:firstColumn="1" w:lastColumn="0" w:oddVBand="0" w:evenVBand="0" w:oddHBand="0" w:evenHBand="0" w:firstRowFirstColumn="0" w:firstRowLastColumn="0" w:lastRowFirstColumn="0" w:lastRowLastColumn="0"/>
            <w:tcW w:w="0" w:type="auto"/>
            <w:hideMark/>
          </w:tcPr>
          <w:p w14:paraId="49013598" w14:textId="77777777" w:rsidR="00B15AC4" w:rsidRPr="00B20A7F" w:rsidRDefault="00B15AC4" w:rsidP="00AC6765">
            <w:pPr>
              <w:spacing w:after="160"/>
              <w:jc w:val="both"/>
              <w:rPr>
                <w:rFonts w:ascii="Arial" w:hAnsi="Arial" w:cs="Arial"/>
                <w:color w:val="000000" w:themeColor="text1"/>
                <w:lang w:val="en-US"/>
              </w:rPr>
            </w:pPr>
            <w:r w:rsidRPr="00B20A7F">
              <w:rPr>
                <w:rFonts w:ascii="Arial" w:hAnsi="Arial" w:cs="Arial"/>
                <w:color w:val="000000" w:themeColor="text1"/>
                <w:lang w:val="en-US"/>
              </w:rPr>
              <w:t>IL-6 at V6 [pg/ml] (median; IQR)</w:t>
            </w:r>
          </w:p>
        </w:tc>
        <w:tc>
          <w:tcPr>
            <w:tcW w:w="0" w:type="auto"/>
            <w:hideMark/>
          </w:tcPr>
          <w:p w14:paraId="4E71F2B1" w14:textId="77777777" w:rsidR="00B15AC4" w:rsidRPr="00B20A7F" w:rsidRDefault="00B15AC4" w:rsidP="00AC6765">
            <w:pPr>
              <w:spacing w:after="1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1.9 (IQR 0.802)</w:t>
            </w:r>
          </w:p>
        </w:tc>
        <w:tc>
          <w:tcPr>
            <w:tcW w:w="0" w:type="auto"/>
            <w:hideMark/>
          </w:tcPr>
          <w:p w14:paraId="04784E6A" w14:textId="77777777" w:rsidR="00B15AC4" w:rsidRPr="00B20A7F" w:rsidRDefault="00B15AC4" w:rsidP="00AC6765">
            <w:pPr>
              <w:spacing w:after="1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2.64 (IQR 1.32)</w:t>
            </w:r>
          </w:p>
        </w:tc>
        <w:tc>
          <w:tcPr>
            <w:tcW w:w="0" w:type="auto"/>
            <w:hideMark/>
          </w:tcPr>
          <w:p w14:paraId="1664F162" w14:textId="77777777" w:rsidR="00B15AC4" w:rsidRPr="00B20A7F" w:rsidRDefault="00B15AC4" w:rsidP="00AC6765">
            <w:pPr>
              <w:spacing w:after="1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0.65</w:t>
            </w:r>
          </w:p>
        </w:tc>
      </w:tr>
      <w:tr w:rsidR="00B15AC4" w:rsidRPr="00B20A7F" w14:paraId="632CDF20" w14:textId="77777777" w:rsidTr="00AC67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E1CA9DC" w14:textId="77777777" w:rsidR="00B15AC4" w:rsidRPr="00B20A7F" w:rsidRDefault="00B15AC4" w:rsidP="00AC6765">
            <w:pPr>
              <w:spacing w:after="160"/>
              <w:jc w:val="both"/>
              <w:rPr>
                <w:rFonts w:ascii="Arial" w:hAnsi="Arial" w:cs="Arial"/>
                <w:color w:val="000000" w:themeColor="text1"/>
                <w:lang w:val="en-US"/>
              </w:rPr>
            </w:pPr>
            <w:r w:rsidRPr="00B20A7F">
              <w:rPr>
                <w:rFonts w:ascii="Arial" w:hAnsi="Arial" w:cs="Arial"/>
                <w:color w:val="000000" w:themeColor="text1"/>
                <w:lang w:val="en-US"/>
              </w:rPr>
              <w:t>IL-6 at V12 [pg/ml] (median; IQR)</w:t>
            </w:r>
          </w:p>
        </w:tc>
        <w:tc>
          <w:tcPr>
            <w:tcW w:w="0" w:type="auto"/>
            <w:hideMark/>
          </w:tcPr>
          <w:p w14:paraId="5CAD461F" w14:textId="77777777" w:rsidR="00B15AC4" w:rsidRPr="00B20A7F" w:rsidRDefault="00B15AC4" w:rsidP="00AC6765">
            <w:pPr>
              <w:spacing w:after="1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1.59 (IQR 0.51)</w:t>
            </w:r>
          </w:p>
        </w:tc>
        <w:tc>
          <w:tcPr>
            <w:tcW w:w="0" w:type="auto"/>
            <w:hideMark/>
          </w:tcPr>
          <w:p w14:paraId="7E67EDFF" w14:textId="77777777" w:rsidR="00B15AC4" w:rsidRPr="00B20A7F" w:rsidRDefault="00B15AC4" w:rsidP="00AC6765">
            <w:pPr>
              <w:spacing w:after="1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2.33 (IQR 0.893)</w:t>
            </w:r>
          </w:p>
        </w:tc>
        <w:tc>
          <w:tcPr>
            <w:tcW w:w="0" w:type="auto"/>
            <w:hideMark/>
          </w:tcPr>
          <w:p w14:paraId="74224E90" w14:textId="77777777" w:rsidR="00B15AC4" w:rsidRPr="00B20A7F" w:rsidRDefault="00B15AC4" w:rsidP="00AC6765">
            <w:pPr>
              <w:spacing w:after="1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rPr>
            </w:pPr>
            <w:r w:rsidRPr="00B20A7F">
              <w:rPr>
                <w:rFonts w:ascii="Arial" w:hAnsi="Arial" w:cs="Arial"/>
                <w:color w:val="000000" w:themeColor="text1"/>
              </w:rPr>
              <w:t>0.23</w:t>
            </w:r>
          </w:p>
        </w:tc>
      </w:tr>
      <w:tr w:rsidR="00B15AC4" w:rsidRPr="005D68F7" w14:paraId="6FEC2300" w14:textId="77777777" w:rsidTr="00AC6765">
        <w:tc>
          <w:tcPr>
            <w:cnfStyle w:val="001000000000" w:firstRow="0" w:lastRow="0" w:firstColumn="1" w:lastColumn="0" w:oddVBand="0" w:evenVBand="0" w:oddHBand="0" w:evenHBand="0" w:firstRowFirstColumn="0" w:firstRowLastColumn="0" w:lastRowFirstColumn="0" w:lastRowLastColumn="0"/>
            <w:tcW w:w="0" w:type="auto"/>
            <w:gridSpan w:val="4"/>
          </w:tcPr>
          <w:p w14:paraId="4B78AF5B" w14:textId="77777777" w:rsidR="00B15AC4" w:rsidRPr="00B20A7F" w:rsidRDefault="00B15AC4" w:rsidP="00AC6765">
            <w:pPr>
              <w:jc w:val="both"/>
              <w:rPr>
                <w:rFonts w:ascii="Arial" w:hAnsi="Arial" w:cs="Arial"/>
                <w:b w:val="0"/>
                <w:bCs w:val="0"/>
                <w:color w:val="000000" w:themeColor="text1"/>
                <w:sz w:val="18"/>
                <w:szCs w:val="18"/>
                <w:lang w:val="en-US"/>
              </w:rPr>
            </w:pPr>
            <w:r w:rsidRPr="00B20A7F">
              <w:rPr>
                <w:rFonts w:ascii="Arial" w:hAnsi="Arial" w:cs="Arial"/>
                <w:b w:val="0"/>
                <w:bCs w:val="0"/>
                <w:i/>
                <w:iCs/>
                <w:color w:val="000000" w:themeColor="text1"/>
                <w:sz w:val="18"/>
                <w:szCs w:val="18"/>
                <w:lang w:val="en-US"/>
              </w:rPr>
              <w:t>Abbreviations:</w:t>
            </w:r>
            <w:r w:rsidRPr="00B20A7F">
              <w:rPr>
                <w:rFonts w:ascii="Arial" w:hAnsi="Arial" w:cs="Arial"/>
                <w:b w:val="0"/>
                <w:bCs w:val="0"/>
                <w:color w:val="000000" w:themeColor="text1"/>
                <w:sz w:val="18"/>
                <w:szCs w:val="18"/>
                <w:lang w:val="en-US"/>
              </w:rPr>
              <w:t xml:space="preserve"> BL: Baseline; CDA: Confirmed Disability Accumulation; EDSS: Expanded Disability Status Scale; IQR: Interquartile Range; PIRA: Progression Independent of Relapse Activity; PPMS: Primary Progressive Multiple Sclerosis; RAW: Relapse-Associated Worsening; RRMS: Relapsing-Remitting Multiple Sclerosis; SD: Standard Deviation.</w:t>
            </w:r>
          </w:p>
        </w:tc>
      </w:tr>
    </w:tbl>
    <w:p w14:paraId="5107BB3F" w14:textId="77777777" w:rsidR="00B15AC4" w:rsidRPr="00D531B1" w:rsidRDefault="00B15AC4" w:rsidP="00B15AC4">
      <w:pPr>
        <w:spacing w:line="480" w:lineRule="auto"/>
        <w:jc w:val="both"/>
        <w:rPr>
          <w:rFonts w:ascii="Arial" w:hAnsi="Arial" w:cs="Arial"/>
          <w:color w:val="000000" w:themeColor="text1"/>
          <w:sz w:val="24"/>
          <w:szCs w:val="24"/>
          <w:lang w:val="en-GB"/>
        </w:rPr>
      </w:pPr>
    </w:p>
    <w:p w14:paraId="30A750A8" w14:textId="77777777" w:rsidR="00B15AC4" w:rsidRDefault="00B15AC4" w:rsidP="00B15AC4">
      <w:pPr>
        <w:spacing w:line="480" w:lineRule="auto"/>
        <w:jc w:val="both"/>
        <w:rPr>
          <w:rFonts w:ascii="Arial" w:hAnsi="Arial" w:cs="Arial"/>
          <w:color w:val="000000" w:themeColor="text1"/>
          <w:sz w:val="24"/>
          <w:szCs w:val="24"/>
          <w:lang w:val="en-US"/>
        </w:rPr>
      </w:pPr>
      <w:r w:rsidRPr="00D531B1">
        <w:rPr>
          <w:rFonts w:ascii="Arial" w:hAnsi="Arial" w:cs="Arial"/>
          <w:b/>
          <w:bCs/>
          <w:color w:val="000000" w:themeColor="text1"/>
          <w:sz w:val="24"/>
          <w:szCs w:val="24"/>
          <w:lang w:val="en-GB"/>
        </w:rPr>
        <w:lastRenderedPageBreak/>
        <w:t xml:space="preserve">Supplementary Figure 1: </w:t>
      </w:r>
      <w:r w:rsidRPr="00D531B1">
        <w:rPr>
          <w:rFonts w:ascii="Arial" w:hAnsi="Arial" w:cs="Arial"/>
          <w:color w:val="000000" w:themeColor="text1"/>
          <w:sz w:val="24"/>
          <w:szCs w:val="24"/>
          <w:lang w:val="en-GB"/>
        </w:rPr>
        <w:t>Comparison of Baseline sNfL Z-scores Between RRMS and PPMS</w:t>
      </w:r>
      <w:r>
        <w:rPr>
          <w:rFonts w:ascii="Arial" w:hAnsi="Arial" w:cs="Arial"/>
          <w:color w:val="000000" w:themeColor="text1"/>
          <w:sz w:val="24"/>
          <w:szCs w:val="24"/>
          <w:lang w:val="en-GB"/>
        </w:rPr>
        <w:t xml:space="preserve">. </w:t>
      </w:r>
      <w:r w:rsidRPr="00CE5295">
        <w:rPr>
          <w:rFonts w:ascii="Arial" w:hAnsi="Arial" w:cs="Arial"/>
          <w:color w:val="000000" w:themeColor="text1"/>
          <w:sz w:val="24"/>
          <w:szCs w:val="24"/>
          <w:lang w:val="en-US"/>
        </w:rPr>
        <w:t xml:space="preserve">Median baseline sNfL z-scores were significantly elevated in RRMS (2.12; IQR 1.9) compared with PPMS (-0.41; IQR 1.6; p = 0.00002). </w:t>
      </w:r>
    </w:p>
    <w:p w14:paraId="1DCDFEAC" w14:textId="77777777" w:rsidR="00B15AC4" w:rsidRPr="00CE5295" w:rsidRDefault="00B15AC4" w:rsidP="00B15AC4">
      <w:pPr>
        <w:spacing w:line="480" w:lineRule="auto"/>
        <w:jc w:val="both"/>
        <w:rPr>
          <w:rFonts w:ascii="Arial" w:hAnsi="Arial" w:cs="Arial"/>
          <w:color w:val="000000" w:themeColor="text1"/>
          <w:sz w:val="24"/>
          <w:szCs w:val="24"/>
          <w:lang w:val="en-US"/>
        </w:rPr>
      </w:pPr>
      <w:r w:rsidRPr="000A6584">
        <w:rPr>
          <w:rFonts w:ascii="Arial" w:hAnsi="Arial" w:cs="Arial"/>
          <w:noProof/>
          <w:color w:val="000000" w:themeColor="text1"/>
          <w:sz w:val="24"/>
          <w:szCs w:val="24"/>
        </w:rPr>
        <w:drawing>
          <wp:inline distT="0" distB="0" distL="0" distR="0" wp14:anchorId="22F0F2F9" wp14:editId="10A5FE92">
            <wp:extent cx="5758843" cy="3840049"/>
            <wp:effectExtent l="0" t="0" r="0" b="8255"/>
            <wp:docPr id="320114179" name="Grafik 3">
              <a:extLst xmlns:a="http://schemas.openxmlformats.org/drawingml/2006/main">
                <a:ext uri="{FF2B5EF4-FFF2-40B4-BE49-F238E27FC236}">
                  <a16:creationId xmlns:a16="http://schemas.microsoft.com/office/drawing/2014/main" id="{C2E5F5FB-283E-A427-1FEA-A41C08EDEE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3">
                      <a:extLst>
                        <a:ext uri="{FF2B5EF4-FFF2-40B4-BE49-F238E27FC236}">
                          <a16:creationId xmlns:a16="http://schemas.microsoft.com/office/drawing/2014/main" id="{C2E5F5FB-283E-A427-1FEA-A41C08EDEE0D}"/>
                        </a:ext>
                      </a:extLst>
                    </pic:cNvPr>
                    <pic:cNvPicPr>
                      <a:picLocks noChangeAspect="1"/>
                    </pic:cNvPicPr>
                  </pic:nvPicPr>
                  <pic:blipFill rotWithShape="1">
                    <a:blip r:embed="rId4"/>
                    <a:srcRect t="5801" b="4626"/>
                    <a:stretch>
                      <a:fillRect/>
                    </a:stretch>
                  </pic:blipFill>
                  <pic:spPr bwMode="auto">
                    <a:xfrm>
                      <a:off x="0" y="0"/>
                      <a:ext cx="5759450" cy="3840454"/>
                    </a:xfrm>
                    <a:prstGeom prst="rect">
                      <a:avLst/>
                    </a:prstGeom>
                    <a:ln>
                      <a:noFill/>
                    </a:ln>
                    <a:extLst>
                      <a:ext uri="{53640926-AAD7-44D8-BBD7-CCE9431645EC}">
                        <a14:shadowObscured xmlns:a14="http://schemas.microsoft.com/office/drawing/2010/main"/>
                      </a:ext>
                    </a:extLst>
                  </pic:spPr>
                </pic:pic>
              </a:graphicData>
            </a:graphic>
          </wp:inline>
        </w:drawing>
      </w:r>
    </w:p>
    <w:p w14:paraId="02AFC476" w14:textId="77777777" w:rsidR="00B15AC4" w:rsidRPr="00FB71FC" w:rsidRDefault="00B15AC4" w:rsidP="00B15AC4">
      <w:pPr>
        <w:spacing w:line="480" w:lineRule="auto"/>
        <w:jc w:val="both"/>
        <w:rPr>
          <w:rFonts w:ascii="Arial" w:hAnsi="Arial" w:cs="Arial"/>
          <w:color w:val="000000" w:themeColor="text1"/>
          <w:sz w:val="24"/>
          <w:szCs w:val="24"/>
          <w:lang w:val="en-US"/>
        </w:rPr>
      </w:pPr>
      <w:r w:rsidRPr="00884A10">
        <w:rPr>
          <w:rFonts w:ascii="Arial" w:hAnsi="Arial" w:cs="Arial"/>
          <w:i/>
          <w:iCs/>
          <w:color w:val="000000" w:themeColor="text1"/>
          <w:sz w:val="24"/>
          <w:szCs w:val="24"/>
          <w:lang w:val="en-US"/>
        </w:rPr>
        <w:t>Abbreviations:</w:t>
      </w:r>
      <w:r w:rsidRPr="00FB71FC">
        <w:rPr>
          <w:rFonts w:ascii="Arial" w:hAnsi="Arial" w:cs="Arial"/>
          <w:color w:val="000000" w:themeColor="text1"/>
          <w:sz w:val="24"/>
          <w:szCs w:val="24"/>
          <w:lang w:val="en-US"/>
        </w:rPr>
        <w:t xml:space="preserve"> IQR: Interquartile Range; PPMS: Primary Progressive Multiple Sclerosis; RRMS: Relapsing-Remitting Multiple Sclerosis; sNfL: Serum Neurofilament Light Chain.</w:t>
      </w:r>
    </w:p>
    <w:p w14:paraId="2C108A48" w14:textId="77777777" w:rsidR="00B15AC4" w:rsidRDefault="00B15AC4" w:rsidP="00B15AC4">
      <w:pPr>
        <w:spacing w:line="480" w:lineRule="auto"/>
        <w:jc w:val="both"/>
        <w:rPr>
          <w:rFonts w:ascii="Arial" w:hAnsi="Arial" w:cs="Arial"/>
          <w:color w:val="000000" w:themeColor="text1"/>
          <w:sz w:val="24"/>
          <w:szCs w:val="24"/>
          <w:lang w:val="en-US"/>
        </w:rPr>
      </w:pPr>
      <w:r w:rsidRPr="00D531B1">
        <w:rPr>
          <w:rFonts w:ascii="Arial" w:hAnsi="Arial" w:cs="Arial"/>
          <w:b/>
          <w:bCs/>
          <w:color w:val="000000" w:themeColor="text1"/>
          <w:sz w:val="24"/>
          <w:szCs w:val="24"/>
          <w:lang w:val="en-GB"/>
        </w:rPr>
        <w:t>Supplementary Figure 2:</w:t>
      </w:r>
      <w:r w:rsidRPr="00D531B1">
        <w:rPr>
          <w:rFonts w:ascii="Arial" w:hAnsi="Arial" w:cs="Arial"/>
          <w:color w:val="000000" w:themeColor="text1"/>
          <w:sz w:val="24"/>
          <w:szCs w:val="24"/>
          <w:lang w:val="en-GB"/>
        </w:rPr>
        <w:t xml:space="preserve"> </w:t>
      </w:r>
      <w:r w:rsidRPr="00547EB2">
        <w:rPr>
          <w:rFonts w:ascii="Arial" w:hAnsi="Arial" w:cs="Arial"/>
          <w:color w:val="000000" w:themeColor="text1"/>
          <w:sz w:val="24"/>
          <w:szCs w:val="24"/>
          <w:lang w:val="en-US"/>
        </w:rPr>
        <w:t>Comparison of baseline C-reactive protein (CRP) levels. Comparison of CRP levels across RRMS, PPMS, and HC. While PPMS patients showed slightly higher levels compared to HC, all values remained below the clinical threshold for acute infection, minimizing confounding of IL-6 measurements.</w:t>
      </w:r>
    </w:p>
    <w:p w14:paraId="1195B478" w14:textId="77777777" w:rsidR="00B15AC4" w:rsidRPr="00547EB2" w:rsidRDefault="00B15AC4" w:rsidP="00B15AC4">
      <w:pPr>
        <w:spacing w:line="480" w:lineRule="auto"/>
        <w:jc w:val="both"/>
        <w:rPr>
          <w:rFonts w:ascii="Arial" w:hAnsi="Arial" w:cs="Arial"/>
          <w:color w:val="000000" w:themeColor="text1"/>
          <w:sz w:val="24"/>
          <w:szCs w:val="24"/>
          <w:lang w:val="en-US"/>
        </w:rPr>
      </w:pPr>
      <w:r w:rsidRPr="00914FA9">
        <w:rPr>
          <w:rFonts w:ascii="Arial" w:hAnsi="Arial" w:cs="Arial"/>
          <w:noProof/>
          <w:color w:val="000000" w:themeColor="text1"/>
          <w:sz w:val="24"/>
          <w:szCs w:val="24"/>
        </w:rPr>
        <w:drawing>
          <wp:inline distT="0" distB="0" distL="0" distR="0" wp14:anchorId="4B23DEC9" wp14:editId="3A26A441">
            <wp:extent cx="5759117" cy="3745382"/>
            <wp:effectExtent l="0" t="0" r="0" b="7620"/>
            <wp:docPr id="2136215924" name="Grafik 3">
              <a:extLst xmlns:a="http://schemas.openxmlformats.org/drawingml/2006/main">
                <a:ext uri="{FF2B5EF4-FFF2-40B4-BE49-F238E27FC236}">
                  <a16:creationId xmlns:a16="http://schemas.microsoft.com/office/drawing/2014/main" id="{D1049381-FEF0-3EA0-DE6D-2C468E3A40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3">
                      <a:extLst>
                        <a:ext uri="{FF2B5EF4-FFF2-40B4-BE49-F238E27FC236}">
                          <a16:creationId xmlns:a16="http://schemas.microsoft.com/office/drawing/2014/main" id="{D1049381-FEF0-3EA0-DE6D-2C468E3A401C}"/>
                        </a:ext>
                      </a:extLst>
                    </pic:cNvPr>
                    <pic:cNvPicPr>
                      <a:picLocks noChangeAspect="1"/>
                    </pic:cNvPicPr>
                  </pic:nvPicPr>
                  <pic:blipFill rotWithShape="1">
                    <a:blip r:embed="rId5"/>
                    <a:srcRect t="5582" b="5114"/>
                    <a:stretch>
                      <a:fillRect/>
                    </a:stretch>
                  </pic:blipFill>
                  <pic:spPr bwMode="auto">
                    <a:xfrm>
                      <a:off x="0" y="0"/>
                      <a:ext cx="5759450" cy="3745599"/>
                    </a:xfrm>
                    <a:prstGeom prst="rect">
                      <a:avLst/>
                    </a:prstGeom>
                    <a:ln>
                      <a:noFill/>
                    </a:ln>
                    <a:extLst>
                      <a:ext uri="{53640926-AAD7-44D8-BBD7-CCE9431645EC}">
                        <a14:shadowObscured xmlns:a14="http://schemas.microsoft.com/office/drawing/2010/main"/>
                      </a:ext>
                    </a:extLst>
                  </pic:spPr>
                </pic:pic>
              </a:graphicData>
            </a:graphic>
          </wp:inline>
        </w:drawing>
      </w:r>
    </w:p>
    <w:p w14:paraId="37390E93" w14:textId="77777777" w:rsidR="00B15AC4" w:rsidRDefault="00B15AC4" w:rsidP="00B15AC4">
      <w:pPr>
        <w:spacing w:line="480" w:lineRule="auto"/>
        <w:jc w:val="both"/>
        <w:rPr>
          <w:rFonts w:ascii="Arial" w:eastAsia="Times New Roman" w:hAnsi="Arial" w:cs="Arial"/>
          <w:color w:val="000000" w:themeColor="text1"/>
          <w:sz w:val="24"/>
          <w:szCs w:val="24"/>
          <w:lang w:val="en-GB" w:eastAsia="de-DE"/>
        </w:rPr>
      </w:pPr>
      <w:r w:rsidRPr="00884A10">
        <w:rPr>
          <w:rFonts w:ascii="Arial" w:eastAsia="Times New Roman" w:hAnsi="Arial" w:cs="Arial"/>
          <w:i/>
          <w:iCs/>
          <w:color w:val="000000" w:themeColor="text1"/>
          <w:sz w:val="24"/>
          <w:szCs w:val="24"/>
          <w:lang w:val="en-GB" w:eastAsia="de-DE"/>
        </w:rPr>
        <w:t>Abbreviations:</w:t>
      </w:r>
      <w:r w:rsidRPr="00036B52">
        <w:rPr>
          <w:rFonts w:ascii="Arial" w:eastAsia="Times New Roman" w:hAnsi="Arial" w:cs="Arial"/>
          <w:color w:val="000000" w:themeColor="text1"/>
          <w:sz w:val="24"/>
          <w:szCs w:val="24"/>
          <w:lang w:val="en-GB" w:eastAsia="de-DE"/>
        </w:rPr>
        <w:t xml:space="preserve"> CRP: C-reactive Protein; HC: Healthy Controls; PPMS: Primary Progressive Multiple Sclerosis; RRMS: Relapsing-Remitting Multiple Sclerosis.</w:t>
      </w:r>
    </w:p>
    <w:p w14:paraId="4C5FABA2"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5AC4"/>
    <w:rsid w:val="002978F5"/>
    <w:rsid w:val="003852CF"/>
    <w:rsid w:val="004E780C"/>
    <w:rsid w:val="006F3293"/>
    <w:rsid w:val="00B15AC4"/>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E64F4"/>
  <w15:chartTrackingRefBased/>
  <w15:docId w15:val="{5E9A5174-57CA-4E81-B9AA-6F3650810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5AC4"/>
    <w:pPr>
      <w:spacing w:line="259" w:lineRule="auto"/>
    </w:pPr>
    <w:rPr>
      <w:kern w:val="0"/>
      <w:sz w:val="22"/>
      <w:szCs w:val="22"/>
      <w:lang w:val="de-DE"/>
      <w14:ligatures w14:val="none"/>
    </w:rPr>
  </w:style>
  <w:style w:type="paragraph" w:styleId="Heading1">
    <w:name w:val="heading 1"/>
    <w:basedOn w:val="Normal"/>
    <w:next w:val="Normal"/>
    <w:link w:val="Heading1Char"/>
    <w:uiPriority w:val="9"/>
    <w:qFormat/>
    <w:rsid w:val="00B15AC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B15AC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B15AC4"/>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B15AC4"/>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B15AC4"/>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B15AC4"/>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B15AC4"/>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B15AC4"/>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B15AC4"/>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5A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15A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15A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15A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15A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15A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5A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5A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5AC4"/>
    <w:rPr>
      <w:rFonts w:eastAsiaTheme="majorEastAsia" w:cstheme="majorBidi"/>
      <w:color w:val="272727" w:themeColor="text1" w:themeTint="D8"/>
    </w:rPr>
  </w:style>
  <w:style w:type="paragraph" w:styleId="Title">
    <w:name w:val="Title"/>
    <w:basedOn w:val="Normal"/>
    <w:next w:val="Normal"/>
    <w:link w:val="TitleChar"/>
    <w:uiPriority w:val="10"/>
    <w:qFormat/>
    <w:rsid w:val="00B15AC4"/>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B15A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5AC4"/>
    <w:pPr>
      <w:numPr>
        <w:ilvl w:val="1"/>
      </w:numPr>
      <w:spacing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B15A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5AC4"/>
    <w:pPr>
      <w:spacing w:before="160" w:line="278" w:lineRule="auto"/>
      <w:jc w:val="center"/>
    </w:pPr>
    <w:rPr>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B15AC4"/>
    <w:rPr>
      <w:i/>
      <w:iCs/>
      <w:color w:val="404040" w:themeColor="text1" w:themeTint="BF"/>
    </w:rPr>
  </w:style>
  <w:style w:type="paragraph" w:styleId="ListParagraph">
    <w:name w:val="List Paragraph"/>
    <w:basedOn w:val="Normal"/>
    <w:uiPriority w:val="34"/>
    <w:qFormat/>
    <w:rsid w:val="00B15AC4"/>
    <w:pPr>
      <w:spacing w:line="278" w:lineRule="auto"/>
      <w:ind w:left="720"/>
      <w:contextualSpacing/>
    </w:pPr>
    <w:rPr>
      <w:kern w:val="2"/>
      <w:sz w:val="24"/>
      <w:szCs w:val="24"/>
      <w:lang w:val="en-US"/>
      <w14:ligatures w14:val="standardContextual"/>
    </w:rPr>
  </w:style>
  <w:style w:type="character" w:styleId="IntenseEmphasis">
    <w:name w:val="Intense Emphasis"/>
    <w:basedOn w:val="DefaultParagraphFont"/>
    <w:uiPriority w:val="21"/>
    <w:qFormat/>
    <w:rsid w:val="00B15AC4"/>
    <w:rPr>
      <w:i/>
      <w:iCs/>
      <w:color w:val="0F4761" w:themeColor="accent1" w:themeShade="BF"/>
    </w:rPr>
  </w:style>
  <w:style w:type="paragraph" w:styleId="IntenseQuote">
    <w:name w:val="Intense Quote"/>
    <w:basedOn w:val="Normal"/>
    <w:next w:val="Normal"/>
    <w:link w:val="IntenseQuoteChar"/>
    <w:uiPriority w:val="30"/>
    <w:qFormat/>
    <w:rsid w:val="00B15AC4"/>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B15AC4"/>
    <w:rPr>
      <w:i/>
      <w:iCs/>
      <w:color w:val="0F4761" w:themeColor="accent1" w:themeShade="BF"/>
    </w:rPr>
  </w:style>
  <w:style w:type="character" w:styleId="IntenseReference">
    <w:name w:val="Intense Reference"/>
    <w:basedOn w:val="DefaultParagraphFont"/>
    <w:uiPriority w:val="32"/>
    <w:qFormat/>
    <w:rsid w:val="00B15AC4"/>
    <w:rPr>
      <w:b/>
      <w:bCs/>
      <w:smallCaps/>
      <w:color w:val="0F4761" w:themeColor="accent1" w:themeShade="BF"/>
      <w:spacing w:val="5"/>
    </w:rPr>
  </w:style>
  <w:style w:type="table" w:styleId="PlainTable2">
    <w:name w:val="Plain Table 2"/>
    <w:basedOn w:val="TableNormal"/>
    <w:uiPriority w:val="42"/>
    <w:rsid w:val="00B15AC4"/>
    <w:pPr>
      <w:spacing w:after="0" w:line="240" w:lineRule="auto"/>
    </w:pPr>
    <w:rPr>
      <w:kern w:val="0"/>
      <w:sz w:val="22"/>
      <w:szCs w:val="22"/>
      <w:lang w:val="de-DE"/>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308</Words>
  <Characters>1902</Characters>
  <Application>Microsoft Office Word</Application>
  <DocSecurity>0</DocSecurity>
  <Lines>41</Lines>
  <Paragraphs>20</Paragraphs>
  <ScaleCrop>false</ScaleCrop>
  <Company/>
  <LinksUpToDate>false</LinksUpToDate>
  <CharactersWithSpaces>2190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2026-02-23T18:21:00Z</dcterms:created>
  <dcterms:modified xsi:type="dcterms:W3CDTF">2026-02-23T18:21:00Z</dcterms:modified>
</cp:coreProperties>
</file>