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05A623" w14:textId="77777777" w:rsidR="00EB0F4F" w:rsidRDefault="00EB0F4F" w:rsidP="0043667D">
      <w:pPr>
        <w:pStyle w:val="ListBullet"/>
        <w:numPr>
          <w:ilvl w:val="0"/>
          <w:numId w:val="0"/>
        </w:numPr>
        <w:ind w:left="360" w:hanging="360"/>
        <w:jc w:val="both"/>
      </w:pPr>
    </w:p>
    <w:p w14:paraId="316DE1F2" w14:textId="4643B1DB" w:rsidR="000C1251" w:rsidRDefault="000C1251" w:rsidP="006D71C3">
      <w:pPr>
        <w:sectPr w:rsidR="000C1251" w:rsidSect="00034616">
          <w:pgSz w:w="12240" w:h="15840"/>
          <w:pgMar w:top="1440" w:right="1800" w:bottom="1440" w:left="1800" w:header="720" w:footer="720" w:gutter="0"/>
          <w:cols w:space="720"/>
          <w:docGrid w:linePitch="360"/>
        </w:sectPr>
      </w:pPr>
    </w:p>
    <w:p w14:paraId="6FE66B19" w14:textId="09CBB44F" w:rsidR="00A20C6D" w:rsidRPr="00FE32C5" w:rsidRDefault="0060708C" w:rsidP="0060708C">
      <w:pPr>
        <w:spacing w:before="100" w:beforeAutospacing="1" w:after="100" w:afterAutospacing="1" w:line="240" w:lineRule="auto"/>
        <w:outlineLvl w:val="2"/>
        <w:rPr>
          <w:rFonts w:ascii="Times New Roman" w:eastAsia="Times New Roman" w:hAnsi="Times New Roman" w:cs="Times New Roman"/>
          <w:b/>
          <w:bCs/>
          <w:sz w:val="16"/>
          <w:szCs w:val="16"/>
        </w:rPr>
      </w:pPr>
      <w:r>
        <w:rPr>
          <w:rFonts w:ascii="Times New Roman" w:eastAsia="Times New Roman" w:hAnsi="Times New Roman" w:cs="Times New Roman"/>
          <w:b/>
          <w:bCs/>
          <w:sz w:val="16"/>
          <w:szCs w:val="16"/>
        </w:rPr>
        <w:lastRenderedPageBreak/>
        <w:t xml:space="preserve">Appendix </w:t>
      </w:r>
      <w:r w:rsidR="00A20C6D" w:rsidRPr="00FE32C5">
        <w:rPr>
          <w:rFonts w:ascii="Times New Roman" w:eastAsia="Times New Roman" w:hAnsi="Times New Roman" w:cs="Times New Roman"/>
          <w:b/>
          <w:bCs/>
          <w:sz w:val="16"/>
          <w:szCs w:val="16"/>
        </w:rPr>
        <w:t>Table 2</w:t>
      </w:r>
    </w:p>
    <w:p w14:paraId="75A7A1BA" w14:textId="77777777" w:rsidR="00A20C6D" w:rsidRPr="00FE32C5" w:rsidRDefault="00A20C6D" w:rsidP="00A20C6D">
      <w:pPr>
        <w:pBdr>
          <w:bottom w:val="single" w:sz="4" w:space="1" w:color="auto"/>
        </w:pBdr>
        <w:spacing w:before="100" w:beforeAutospacing="1" w:after="100" w:afterAutospacing="1"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b/>
          <w:bCs/>
          <w:sz w:val="16"/>
          <w:szCs w:val="16"/>
        </w:rPr>
        <w:t>Algorithms and Python Libraries for AI in Finance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39"/>
        <w:gridCol w:w="2610"/>
        <w:gridCol w:w="4338"/>
        <w:gridCol w:w="3673"/>
      </w:tblGrid>
      <w:tr w:rsidR="00A20C6D" w:rsidRPr="00FE32C5" w14:paraId="0CB247EF" w14:textId="77777777" w:rsidTr="00D87668">
        <w:trPr>
          <w:tblHeader/>
          <w:tblCellSpacing w:w="15" w:type="dxa"/>
        </w:trPr>
        <w:tc>
          <w:tcPr>
            <w:tcW w:w="0" w:type="auto"/>
            <w:vAlign w:val="center"/>
            <w:hideMark/>
          </w:tcPr>
          <w:p w14:paraId="3AF46251" w14:textId="77777777" w:rsidR="00A20C6D" w:rsidRPr="00FE32C5" w:rsidRDefault="00A20C6D" w:rsidP="00D87668">
            <w:pPr>
              <w:spacing w:after="0" w:line="240" w:lineRule="auto"/>
              <w:jc w:val="center"/>
              <w:rPr>
                <w:rFonts w:ascii="Times New Roman" w:eastAsia="Times New Roman" w:hAnsi="Times New Roman" w:cs="Times New Roman"/>
                <w:b/>
                <w:bCs/>
                <w:sz w:val="16"/>
                <w:szCs w:val="16"/>
              </w:rPr>
            </w:pPr>
            <w:r w:rsidRPr="00FE32C5">
              <w:rPr>
                <w:rFonts w:ascii="Times New Roman" w:eastAsia="Times New Roman" w:hAnsi="Times New Roman" w:cs="Times New Roman"/>
                <w:b/>
                <w:bCs/>
                <w:sz w:val="16"/>
                <w:szCs w:val="16"/>
              </w:rPr>
              <w:t>Theoretical Foundation</w:t>
            </w:r>
          </w:p>
        </w:tc>
        <w:tc>
          <w:tcPr>
            <w:tcW w:w="0" w:type="auto"/>
            <w:vAlign w:val="center"/>
            <w:hideMark/>
          </w:tcPr>
          <w:p w14:paraId="4C6CA01B" w14:textId="77777777" w:rsidR="00A20C6D" w:rsidRPr="00FE32C5" w:rsidRDefault="00A20C6D" w:rsidP="00D87668">
            <w:pPr>
              <w:spacing w:after="0" w:line="240" w:lineRule="auto"/>
              <w:jc w:val="center"/>
              <w:rPr>
                <w:rFonts w:ascii="Times New Roman" w:eastAsia="Times New Roman" w:hAnsi="Times New Roman" w:cs="Times New Roman"/>
                <w:b/>
                <w:bCs/>
                <w:sz w:val="16"/>
                <w:szCs w:val="16"/>
              </w:rPr>
            </w:pPr>
            <w:r w:rsidRPr="00FE32C5">
              <w:rPr>
                <w:rFonts w:ascii="Times New Roman" w:eastAsia="Times New Roman" w:hAnsi="Times New Roman" w:cs="Times New Roman"/>
                <w:b/>
                <w:bCs/>
                <w:sz w:val="16"/>
                <w:szCs w:val="16"/>
              </w:rPr>
              <w:t>Python Libraries</w:t>
            </w:r>
          </w:p>
        </w:tc>
        <w:tc>
          <w:tcPr>
            <w:tcW w:w="0" w:type="auto"/>
            <w:vAlign w:val="center"/>
            <w:hideMark/>
          </w:tcPr>
          <w:p w14:paraId="7E470E1C" w14:textId="77777777" w:rsidR="00A20C6D" w:rsidRPr="00FE32C5" w:rsidRDefault="00A20C6D" w:rsidP="00D87668">
            <w:pPr>
              <w:spacing w:after="0" w:line="240" w:lineRule="auto"/>
              <w:jc w:val="center"/>
              <w:rPr>
                <w:rFonts w:ascii="Times New Roman" w:eastAsia="Times New Roman" w:hAnsi="Times New Roman" w:cs="Times New Roman"/>
                <w:b/>
                <w:bCs/>
                <w:sz w:val="16"/>
                <w:szCs w:val="16"/>
              </w:rPr>
            </w:pPr>
            <w:r w:rsidRPr="00FE32C5">
              <w:rPr>
                <w:rFonts w:ascii="Times New Roman" w:eastAsia="Times New Roman" w:hAnsi="Times New Roman" w:cs="Times New Roman"/>
                <w:b/>
                <w:bCs/>
                <w:sz w:val="16"/>
                <w:szCs w:val="16"/>
              </w:rPr>
              <w:t>Key Financial Applications</w:t>
            </w:r>
          </w:p>
        </w:tc>
        <w:tc>
          <w:tcPr>
            <w:tcW w:w="0" w:type="auto"/>
            <w:vAlign w:val="center"/>
            <w:hideMark/>
          </w:tcPr>
          <w:p w14:paraId="06F5545E" w14:textId="77777777" w:rsidR="00A20C6D" w:rsidRPr="00FE32C5" w:rsidRDefault="00A20C6D" w:rsidP="00D87668">
            <w:pPr>
              <w:spacing w:after="0" w:line="240" w:lineRule="auto"/>
              <w:jc w:val="center"/>
              <w:rPr>
                <w:rFonts w:ascii="Times New Roman" w:eastAsia="Times New Roman" w:hAnsi="Times New Roman" w:cs="Times New Roman"/>
                <w:b/>
                <w:bCs/>
                <w:sz w:val="16"/>
                <w:szCs w:val="16"/>
              </w:rPr>
            </w:pPr>
            <w:r w:rsidRPr="00FE32C5">
              <w:rPr>
                <w:rFonts w:ascii="Times New Roman" w:eastAsia="Times New Roman" w:hAnsi="Times New Roman" w:cs="Times New Roman"/>
                <w:b/>
                <w:bCs/>
                <w:sz w:val="16"/>
                <w:szCs w:val="16"/>
              </w:rPr>
              <w:t>References</w:t>
            </w:r>
          </w:p>
        </w:tc>
      </w:tr>
      <w:tr w:rsidR="00A20C6D" w:rsidRPr="00FE32C5" w14:paraId="73D3753D" w14:textId="77777777" w:rsidTr="00D87668">
        <w:trPr>
          <w:tblCellSpacing w:w="15" w:type="dxa"/>
        </w:trPr>
        <w:tc>
          <w:tcPr>
            <w:tcW w:w="0" w:type="auto"/>
            <w:vAlign w:val="center"/>
            <w:hideMark/>
          </w:tcPr>
          <w:p w14:paraId="2E7E4EA1"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Graph Search Algorithms</w:t>
            </w:r>
          </w:p>
        </w:tc>
        <w:tc>
          <w:tcPr>
            <w:tcW w:w="0" w:type="auto"/>
            <w:vAlign w:val="center"/>
            <w:hideMark/>
          </w:tcPr>
          <w:p w14:paraId="3E9B2FCF" w14:textId="77777777" w:rsidR="00A20C6D" w:rsidRPr="00FE32C5" w:rsidRDefault="00A20C6D" w:rsidP="00D87668">
            <w:pPr>
              <w:spacing w:after="0" w:line="240" w:lineRule="auto"/>
              <w:rPr>
                <w:rFonts w:ascii="Times New Roman" w:eastAsia="Times New Roman" w:hAnsi="Times New Roman" w:cs="Times New Roman"/>
                <w:sz w:val="16"/>
                <w:szCs w:val="16"/>
              </w:rPr>
            </w:pPr>
            <w:proofErr w:type="spellStart"/>
            <w:r w:rsidRPr="00FE32C5">
              <w:rPr>
                <w:rFonts w:ascii="Times New Roman" w:eastAsia="Times New Roman" w:hAnsi="Times New Roman" w:cs="Times New Roman"/>
                <w:sz w:val="16"/>
                <w:szCs w:val="16"/>
              </w:rPr>
              <w:t>networkx</w:t>
            </w:r>
            <w:proofErr w:type="spellEnd"/>
            <w:r w:rsidRPr="00FE32C5">
              <w:rPr>
                <w:rFonts w:ascii="Times New Roman" w:eastAsia="Times New Roman" w:hAnsi="Times New Roman" w:cs="Times New Roman"/>
                <w:sz w:val="16"/>
                <w:szCs w:val="16"/>
              </w:rPr>
              <w:t xml:space="preserve">, </w:t>
            </w:r>
            <w:proofErr w:type="spellStart"/>
            <w:r w:rsidRPr="00FE32C5">
              <w:rPr>
                <w:rFonts w:ascii="Times New Roman" w:eastAsia="Times New Roman" w:hAnsi="Times New Roman" w:cs="Times New Roman"/>
                <w:sz w:val="16"/>
                <w:szCs w:val="16"/>
              </w:rPr>
              <w:t>igraph</w:t>
            </w:r>
            <w:proofErr w:type="spellEnd"/>
          </w:p>
        </w:tc>
        <w:tc>
          <w:tcPr>
            <w:tcW w:w="0" w:type="auto"/>
            <w:vAlign w:val="center"/>
            <w:hideMark/>
          </w:tcPr>
          <w:p w14:paraId="6285F050"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Systemic risk modeling, arbitrage detection, contagion analysis, blockchain transaction flows</w:t>
            </w:r>
          </w:p>
        </w:tc>
        <w:tc>
          <w:tcPr>
            <w:tcW w:w="0" w:type="auto"/>
            <w:vAlign w:val="center"/>
            <w:hideMark/>
          </w:tcPr>
          <w:p w14:paraId="47611E47" w14:textId="77777777" w:rsidR="00A20C6D" w:rsidRPr="00FE32C5" w:rsidRDefault="00A20C6D" w:rsidP="00D87668">
            <w:pPr>
              <w:spacing w:after="0" w:line="240" w:lineRule="auto"/>
              <w:rPr>
                <w:rFonts w:ascii="Times New Roman" w:eastAsia="Times New Roman" w:hAnsi="Times New Roman" w:cs="Times New Roman"/>
                <w:sz w:val="16"/>
                <w:szCs w:val="16"/>
              </w:rPr>
            </w:pPr>
            <w:proofErr w:type="spellStart"/>
            <w:r w:rsidRPr="00FE32C5">
              <w:rPr>
                <w:rFonts w:ascii="Times New Roman" w:eastAsia="Times New Roman" w:hAnsi="Times New Roman" w:cs="Times New Roman"/>
                <w:sz w:val="16"/>
                <w:szCs w:val="16"/>
              </w:rPr>
              <w:t>Csardi</w:t>
            </w:r>
            <w:proofErr w:type="spellEnd"/>
            <w:r w:rsidRPr="00FE32C5">
              <w:rPr>
                <w:rFonts w:ascii="Times New Roman" w:eastAsia="Times New Roman" w:hAnsi="Times New Roman" w:cs="Times New Roman"/>
                <w:sz w:val="16"/>
                <w:szCs w:val="16"/>
              </w:rPr>
              <w:t xml:space="preserve"> &amp; </w:t>
            </w:r>
            <w:proofErr w:type="spellStart"/>
            <w:r w:rsidRPr="00FE32C5">
              <w:rPr>
                <w:rFonts w:ascii="Times New Roman" w:eastAsia="Times New Roman" w:hAnsi="Times New Roman" w:cs="Times New Roman"/>
                <w:sz w:val="16"/>
                <w:szCs w:val="16"/>
              </w:rPr>
              <w:t>Nepusz</w:t>
            </w:r>
            <w:proofErr w:type="spellEnd"/>
            <w:r w:rsidRPr="00FE32C5">
              <w:rPr>
                <w:rFonts w:ascii="Times New Roman" w:eastAsia="Times New Roman" w:hAnsi="Times New Roman" w:cs="Times New Roman"/>
                <w:sz w:val="16"/>
                <w:szCs w:val="16"/>
              </w:rPr>
              <w:t xml:space="preserve"> (2006); Haldane &amp; May (2011); JPMorgan (2021)</w:t>
            </w:r>
          </w:p>
        </w:tc>
      </w:tr>
      <w:tr w:rsidR="00A20C6D" w:rsidRPr="00FE32C5" w14:paraId="2881E546" w14:textId="77777777" w:rsidTr="00D87668">
        <w:trPr>
          <w:tblCellSpacing w:w="15" w:type="dxa"/>
        </w:trPr>
        <w:tc>
          <w:tcPr>
            <w:tcW w:w="0" w:type="auto"/>
            <w:vAlign w:val="center"/>
            <w:hideMark/>
          </w:tcPr>
          <w:p w14:paraId="12459123"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Adversarial Search / Game Theory</w:t>
            </w:r>
          </w:p>
        </w:tc>
        <w:tc>
          <w:tcPr>
            <w:tcW w:w="0" w:type="auto"/>
            <w:vAlign w:val="center"/>
            <w:hideMark/>
          </w:tcPr>
          <w:p w14:paraId="11DD9574"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OpenAI Gym</w:t>
            </w:r>
          </w:p>
        </w:tc>
        <w:tc>
          <w:tcPr>
            <w:tcW w:w="0" w:type="auto"/>
            <w:vAlign w:val="center"/>
            <w:hideMark/>
          </w:tcPr>
          <w:p w14:paraId="7CBB3D48"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High-frequency trading simulations, auction bidding, bond allocations</w:t>
            </w:r>
          </w:p>
        </w:tc>
        <w:tc>
          <w:tcPr>
            <w:tcW w:w="0" w:type="auto"/>
            <w:vAlign w:val="center"/>
            <w:hideMark/>
          </w:tcPr>
          <w:p w14:paraId="362AF190"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Aldridge (2013); Brockman et al. (2016)</w:t>
            </w:r>
          </w:p>
        </w:tc>
      </w:tr>
      <w:tr w:rsidR="00A20C6D" w:rsidRPr="00FE32C5" w14:paraId="58FFCB6E" w14:textId="77777777" w:rsidTr="00D87668">
        <w:trPr>
          <w:tblCellSpacing w:w="15" w:type="dxa"/>
        </w:trPr>
        <w:tc>
          <w:tcPr>
            <w:tcW w:w="0" w:type="auto"/>
            <w:vAlign w:val="center"/>
            <w:hideMark/>
          </w:tcPr>
          <w:p w14:paraId="1A457E9B"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Knowledge Representation &amp; Logical Inference</w:t>
            </w:r>
          </w:p>
        </w:tc>
        <w:tc>
          <w:tcPr>
            <w:tcW w:w="0" w:type="auto"/>
            <w:vAlign w:val="center"/>
            <w:hideMark/>
          </w:tcPr>
          <w:p w14:paraId="7716C16B"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 xml:space="preserve">owlready2, </w:t>
            </w:r>
            <w:proofErr w:type="spellStart"/>
            <w:r w:rsidRPr="00FE32C5">
              <w:rPr>
                <w:rFonts w:ascii="Times New Roman" w:eastAsia="Times New Roman" w:hAnsi="Times New Roman" w:cs="Times New Roman"/>
                <w:sz w:val="16"/>
                <w:szCs w:val="16"/>
              </w:rPr>
              <w:t>prologpy</w:t>
            </w:r>
            <w:proofErr w:type="spellEnd"/>
          </w:p>
        </w:tc>
        <w:tc>
          <w:tcPr>
            <w:tcW w:w="0" w:type="auto"/>
            <w:vAlign w:val="center"/>
            <w:hideMark/>
          </w:tcPr>
          <w:p w14:paraId="3F072028"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Compliance automation, ontology-based reasoning, derivatives contract interpretation</w:t>
            </w:r>
          </w:p>
        </w:tc>
        <w:tc>
          <w:tcPr>
            <w:tcW w:w="0" w:type="auto"/>
            <w:vAlign w:val="center"/>
            <w:hideMark/>
          </w:tcPr>
          <w:p w14:paraId="0F6962CB"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Arner et al. (2017)</w:t>
            </w:r>
          </w:p>
        </w:tc>
      </w:tr>
      <w:tr w:rsidR="00A20C6D" w:rsidRPr="00FE32C5" w14:paraId="24F2ACE9" w14:textId="77777777" w:rsidTr="00D87668">
        <w:trPr>
          <w:tblCellSpacing w:w="15" w:type="dxa"/>
        </w:trPr>
        <w:tc>
          <w:tcPr>
            <w:tcW w:w="0" w:type="auto"/>
            <w:vAlign w:val="center"/>
            <w:hideMark/>
          </w:tcPr>
          <w:p w14:paraId="682C11F3"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Probability Theory &amp; Bayesian Networks</w:t>
            </w:r>
          </w:p>
        </w:tc>
        <w:tc>
          <w:tcPr>
            <w:tcW w:w="0" w:type="auto"/>
            <w:vAlign w:val="center"/>
            <w:hideMark/>
          </w:tcPr>
          <w:p w14:paraId="7DB9930E" w14:textId="77777777" w:rsidR="00A20C6D" w:rsidRPr="00FE32C5" w:rsidRDefault="00A20C6D" w:rsidP="00D87668">
            <w:pPr>
              <w:spacing w:after="0" w:line="240" w:lineRule="auto"/>
              <w:rPr>
                <w:rFonts w:ascii="Times New Roman" w:eastAsia="Times New Roman" w:hAnsi="Times New Roman" w:cs="Times New Roman"/>
                <w:sz w:val="16"/>
                <w:szCs w:val="16"/>
              </w:rPr>
            </w:pPr>
            <w:proofErr w:type="spellStart"/>
            <w:r w:rsidRPr="00FE32C5">
              <w:rPr>
                <w:rFonts w:ascii="Times New Roman" w:eastAsia="Times New Roman" w:hAnsi="Times New Roman" w:cs="Times New Roman"/>
                <w:sz w:val="16"/>
                <w:szCs w:val="16"/>
              </w:rPr>
              <w:t>pgmpy</w:t>
            </w:r>
            <w:proofErr w:type="spellEnd"/>
            <w:r w:rsidRPr="00FE32C5">
              <w:rPr>
                <w:rFonts w:ascii="Times New Roman" w:eastAsia="Times New Roman" w:hAnsi="Times New Roman" w:cs="Times New Roman"/>
                <w:sz w:val="16"/>
                <w:szCs w:val="16"/>
              </w:rPr>
              <w:t>, PyMC3</w:t>
            </w:r>
          </w:p>
        </w:tc>
        <w:tc>
          <w:tcPr>
            <w:tcW w:w="0" w:type="auto"/>
            <w:vAlign w:val="center"/>
            <w:hideMark/>
          </w:tcPr>
          <w:p w14:paraId="534B82FC"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Credit risk assessment, default prediction, fraud detection, transaction anomaly monitoring</w:t>
            </w:r>
          </w:p>
        </w:tc>
        <w:tc>
          <w:tcPr>
            <w:tcW w:w="0" w:type="auto"/>
            <w:vAlign w:val="center"/>
            <w:hideMark/>
          </w:tcPr>
          <w:p w14:paraId="12ECE3FA"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 xml:space="preserve">Koller &amp; Friedman (2009); Ngai et al. (2011); </w:t>
            </w:r>
            <w:proofErr w:type="spellStart"/>
            <w:r w:rsidRPr="00FE32C5">
              <w:rPr>
                <w:rFonts w:ascii="Times New Roman" w:eastAsia="Times New Roman" w:hAnsi="Times New Roman" w:cs="Times New Roman"/>
                <w:sz w:val="16"/>
                <w:szCs w:val="16"/>
              </w:rPr>
              <w:t>Salvatier</w:t>
            </w:r>
            <w:proofErr w:type="spellEnd"/>
            <w:r w:rsidRPr="00FE32C5">
              <w:rPr>
                <w:rFonts w:ascii="Times New Roman" w:eastAsia="Times New Roman" w:hAnsi="Times New Roman" w:cs="Times New Roman"/>
                <w:sz w:val="16"/>
                <w:szCs w:val="16"/>
              </w:rPr>
              <w:t xml:space="preserve"> et al. (2016)</w:t>
            </w:r>
          </w:p>
        </w:tc>
      </w:tr>
      <w:tr w:rsidR="00A20C6D" w:rsidRPr="00FE32C5" w14:paraId="04019ADE" w14:textId="77777777" w:rsidTr="00D87668">
        <w:trPr>
          <w:tblCellSpacing w:w="15" w:type="dxa"/>
        </w:trPr>
        <w:tc>
          <w:tcPr>
            <w:tcW w:w="0" w:type="auto"/>
            <w:vAlign w:val="center"/>
            <w:hideMark/>
          </w:tcPr>
          <w:p w14:paraId="0CE03E3D"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Markov Models</w:t>
            </w:r>
          </w:p>
        </w:tc>
        <w:tc>
          <w:tcPr>
            <w:tcW w:w="0" w:type="auto"/>
            <w:vAlign w:val="center"/>
            <w:hideMark/>
          </w:tcPr>
          <w:p w14:paraId="11C06A9A" w14:textId="77777777" w:rsidR="00A20C6D" w:rsidRPr="00FE32C5" w:rsidRDefault="00A20C6D" w:rsidP="00D87668">
            <w:pPr>
              <w:spacing w:after="0" w:line="240" w:lineRule="auto"/>
              <w:rPr>
                <w:rFonts w:ascii="Times New Roman" w:eastAsia="Times New Roman" w:hAnsi="Times New Roman" w:cs="Times New Roman"/>
                <w:sz w:val="16"/>
                <w:szCs w:val="16"/>
              </w:rPr>
            </w:pPr>
            <w:proofErr w:type="spellStart"/>
            <w:r w:rsidRPr="00FE32C5">
              <w:rPr>
                <w:rFonts w:ascii="Times New Roman" w:eastAsia="Times New Roman" w:hAnsi="Times New Roman" w:cs="Times New Roman"/>
                <w:sz w:val="16"/>
                <w:szCs w:val="16"/>
              </w:rPr>
              <w:t>hmmlearn</w:t>
            </w:r>
            <w:proofErr w:type="spellEnd"/>
          </w:p>
        </w:tc>
        <w:tc>
          <w:tcPr>
            <w:tcW w:w="0" w:type="auto"/>
            <w:vAlign w:val="center"/>
            <w:hideMark/>
          </w:tcPr>
          <w:p w14:paraId="1DC65184"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Credit rating migration, regime-shift detection in asset returns, systemic credit risk</w:t>
            </w:r>
          </w:p>
        </w:tc>
        <w:tc>
          <w:tcPr>
            <w:tcW w:w="0" w:type="auto"/>
            <w:vAlign w:val="center"/>
            <w:hideMark/>
          </w:tcPr>
          <w:p w14:paraId="5C31F7F0" w14:textId="77777777" w:rsidR="00A20C6D" w:rsidRPr="00FE32C5" w:rsidRDefault="00A20C6D" w:rsidP="00D87668">
            <w:pPr>
              <w:spacing w:after="0" w:line="240" w:lineRule="auto"/>
              <w:rPr>
                <w:rFonts w:ascii="Times New Roman" w:eastAsia="Times New Roman" w:hAnsi="Times New Roman" w:cs="Times New Roman"/>
                <w:sz w:val="16"/>
                <w:szCs w:val="16"/>
              </w:rPr>
            </w:pPr>
            <w:proofErr w:type="spellStart"/>
            <w:r w:rsidRPr="00FE32C5">
              <w:rPr>
                <w:rFonts w:ascii="Times New Roman" w:eastAsia="Times New Roman" w:hAnsi="Times New Roman" w:cs="Times New Roman"/>
                <w:sz w:val="16"/>
                <w:szCs w:val="16"/>
              </w:rPr>
              <w:t>Bangia</w:t>
            </w:r>
            <w:proofErr w:type="spellEnd"/>
            <w:r w:rsidRPr="00FE32C5">
              <w:rPr>
                <w:rFonts w:ascii="Times New Roman" w:eastAsia="Times New Roman" w:hAnsi="Times New Roman" w:cs="Times New Roman"/>
                <w:sz w:val="16"/>
                <w:szCs w:val="16"/>
              </w:rPr>
              <w:t xml:space="preserve"> et al. (2002); Frydman &amp; Schuermann (2008)</w:t>
            </w:r>
          </w:p>
        </w:tc>
      </w:tr>
      <w:tr w:rsidR="00A20C6D" w:rsidRPr="00FE32C5" w14:paraId="28797AF6" w14:textId="77777777" w:rsidTr="00D87668">
        <w:trPr>
          <w:tblCellSpacing w:w="15" w:type="dxa"/>
        </w:trPr>
        <w:tc>
          <w:tcPr>
            <w:tcW w:w="0" w:type="auto"/>
            <w:vAlign w:val="center"/>
            <w:hideMark/>
          </w:tcPr>
          <w:p w14:paraId="4C9EE09C"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Constraint Satisfaction Problems (CSPs)</w:t>
            </w:r>
          </w:p>
        </w:tc>
        <w:tc>
          <w:tcPr>
            <w:tcW w:w="0" w:type="auto"/>
            <w:vAlign w:val="center"/>
            <w:hideMark/>
          </w:tcPr>
          <w:p w14:paraId="061B8FBA" w14:textId="77777777" w:rsidR="00A20C6D" w:rsidRPr="00FE32C5" w:rsidRDefault="00A20C6D" w:rsidP="00D87668">
            <w:pPr>
              <w:spacing w:after="0" w:line="240" w:lineRule="auto"/>
              <w:rPr>
                <w:rFonts w:ascii="Times New Roman" w:eastAsia="Times New Roman" w:hAnsi="Times New Roman" w:cs="Times New Roman"/>
                <w:sz w:val="16"/>
                <w:szCs w:val="16"/>
              </w:rPr>
            </w:pPr>
            <w:proofErr w:type="spellStart"/>
            <w:r w:rsidRPr="00FE32C5">
              <w:rPr>
                <w:rFonts w:ascii="Times New Roman" w:eastAsia="Times New Roman" w:hAnsi="Times New Roman" w:cs="Times New Roman"/>
                <w:sz w:val="16"/>
                <w:szCs w:val="16"/>
              </w:rPr>
              <w:t>ortools</w:t>
            </w:r>
            <w:proofErr w:type="spellEnd"/>
          </w:p>
        </w:tc>
        <w:tc>
          <w:tcPr>
            <w:tcW w:w="0" w:type="auto"/>
            <w:vAlign w:val="center"/>
            <w:hideMark/>
          </w:tcPr>
          <w:p w14:paraId="6A6577E2"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Portfolio optimization under regulatory constraints, liability matching pension funds</w:t>
            </w:r>
          </w:p>
        </w:tc>
        <w:tc>
          <w:tcPr>
            <w:tcW w:w="0" w:type="auto"/>
            <w:vAlign w:val="center"/>
            <w:hideMark/>
          </w:tcPr>
          <w:p w14:paraId="51B50479"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BlackRock (2020); Bodie et al. (2014)</w:t>
            </w:r>
          </w:p>
        </w:tc>
      </w:tr>
      <w:tr w:rsidR="00A20C6D" w:rsidRPr="00FE32C5" w14:paraId="700F35EC" w14:textId="77777777" w:rsidTr="00D87668">
        <w:trPr>
          <w:tblCellSpacing w:w="15" w:type="dxa"/>
        </w:trPr>
        <w:tc>
          <w:tcPr>
            <w:tcW w:w="0" w:type="auto"/>
            <w:vAlign w:val="center"/>
            <w:hideMark/>
          </w:tcPr>
          <w:p w14:paraId="576F0383"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Machine Learning</w:t>
            </w:r>
          </w:p>
        </w:tc>
        <w:tc>
          <w:tcPr>
            <w:tcW w:w="0" w:type="auto"/>
            <w:vAlign w:val="center"/>
            <w:hideMark/>
          </w:tcPr>
          <w:p w14:paraId="58E691C1"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scikit-learn, XGBoost, LightGBM</w:t>
            </w:r>
          </w:p>
        </w:tc>
        <w:tc>
          <w:tcPr>
            <w:tcW w:w="0" w:type="auto"/>
            <w:vAlign w:val="center"/>
            <w:hideMark/>
          </w:tcPr>
          <w:p w14:paraId="207278CD"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Credit scoring, portfolio optimization, bankruptcy prediction, fraud detection, client segmentation</w:t>
            </w:r>
          </w:p>
        </w:tc>
        <w:tc>
          <w:tcPr>
            <w:tcW w:w="0" w:type="auto"/>
            <w:vAlign w:val="center"/>
            <w:hideMark/>
          </w:tcPr>
          <w:p w14:paraId="62910239"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 xml:space="preserve">Pedregosa et al. (2011); Chen &amp; </w:t>
            </w:r>
            <w:proofErr w:type="spellStart"/>
            <w:r w:rsidRPr="00FE32C5">
              <w:rPr>
                <w:rFonts w:ascii="Times New Roman" w:eastAsia="Times New Roman" w:hAnsi="Times New Roman" w:cs="Times New Roman"/>
                <w:sz w:val="16"/>
                <w:szCs w:val="16"/>
              </w:rPr>
              <w:t>Guestrin</w:t>
            </w:r>
            <w:proofErr w:type="spellEnd"/>
            <w:r w:rsidRPr="00FE32C5">
              <w:rPr>
                <w:rFonts w:ascii="Times New Roman" w:eastAsia="Times New Roman" w:hAnsi="Times New Roman" w:cs="Times New Roman"/>
                <w:sz w:val="16"/>
                <w:szCs w:val="16"/>
              </w:rPr>
              <w:t xml:space="preserve"> (2016); Ke et al. (2017)</w:t>
            </w:r>
          </w:p>
        </w:tc>
      </w:tr>
      <w:tr w:rsidR="00A20C6D" w:rsidRPr="00FE32C5" w14:paraId="482C37D4" w14:textId="77777777" w:rsidTr="00D87668">
        <w:trPr>
          <w:tblCellSpacing w:w="15" w:type="dxa"/>
        </w:trPr>
        <w:tc>
          <w:tcPr>
            <w:tcW w:w="0" w:type="auto"/>
            <w:vAlign w:val="center"/>
            <w:hideMark/>
          </w:tcPr>
          <w:p w14:paraId="12948A2F"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Reinforcement Learning</w:t>
            </w:r>
          </w:p>
        </w:tc>
        <w:tc>
          <w:tcPr>
            <w:tcW w:w="0" w:type="auto"/>
            <w:vAlign w:val="center"/>
            <w:hideMark/>
          </w:tcPr>
          <w:p w14:paraId="6785F2D5"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 xml:space="preserve">stable-baselines3, Ray </w:t>
            </w:r>
            <w:proofErr w:type="spellStart"/>
            <w:r w:rsidRPr="00FE32C5">
              <w:rPr>
                <w:rFonts w:ascii="Times New Roman" w:eastAsia="Times New Roman" w:hAnsi="Times New Roman" w:cs="Times New Roman"/>
                <w:sz w:val="16"/>
                <w:szCs w:val="16"/>
              </w:rPr>
              <w:t>RLlib</w:t>
            </w:r>
            <w:proofErr w:type="spellEnd"/>
          </w:p>
        </w:tc>
        <w:tc>
          <w:tcPr>
            <w:tcW w:w="0" w:type="auto"/>
            <w:vAlign w:val="center"/>
            <w:hideMark/>
          </w:tcPr>
          <w:p w14:paraId="18C1B357"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Portfolio rebalancing, hedging, algorithmic trading execution</w:t>
            </w:r>
          </w:p>
        </w:tc>
        <w:tc>
          <w:tcPr>
            <w:tcW w:w="0" w:type="auto"/>
            <w:vAlign w:val="center"/>
            <w:hideMark/>
          </w:tcPr>
          <w:p w14:paraId="5A09E1E7"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J.P. Morgan (2017)</w:t>
            </w:r>
          </w:p>
        </w:tc>
      </w:tr>
      <w:tr w:rsidR="00A20C6D" w:rsidRPr="00FE32C5" w14:paraId="5B46DBA4" w14:textId="77777777" w:rsidTr="00D87668">
        <w:trPr>
          <w:tblCellSpacing w:w="15" w:type="dxa"/>
        </w:trPr>
        <w:tc>
          <w:tcPr>
            <w:tcW w:w="0" w:type="auto"/>
            <w:vAlign w:val="center"/>
            <w:hideMark/>
          </w:tcPr>
          <w:p w14:paraId="6366A2D8"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Deep Neural Networks</w:t>
            </w:r>
          </w:p>
        </w:tc>
        <w:tc>
          <w:tcPr>
            <w:tcW w:w="0" w:type="auto"/>
            <w:vAlign w:val="center"/>
            <w:hideMark/>
          </w:tcPr>
          <w:p w14:paraId="738228B5"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TensorFlow, PyTorch</w:t>
            </w:r>
          </w:p>
        </w:tc>
        <w:tc>
          <w:tcPr>
            <w:tcW w:w="0" w:type="auto"/>
            <w:vAlign w:val="center"/>
            <w:hideMark/>
          </w:tcPr>
          <w:p w14:paraId="6360ABB3"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Volatility forecasting, candlestick recognition, time-series forecasting, risk dashboards</w:t>
            </w:r>
          </w:p>
        </w:tc>
        <w:tc>
          <w:tcPr>
            <w:tcW w:w="0" w:type="auto"/>
            <w:vAlign w:val="center"/>
            <w:hideMark/>
          </w:tcPr>
          <w:p w14:paraId="0EA7ED4A"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Abadi et al. (2016); Fischer &amp; Krauss (2018); Paszke et al. (2019)</w:t>
            </w:r>
          </w:p>
        </w:tc>
      </w:tr>
      <w:tr w:rsidR="00A20C6D" w:rsidRPr="00FE32C5" w14:paraId="305715D0" w14:textId="77777777" w:rsidTr="00D87668">
        <w:trPr>
          <w:tblCellSpacing w:w="15" w:type="dxa"/>
        </w:trPr>
        <w:tc>
          <w:tcPr>
            <w:tcW w:w="0" w:type="auto"/>
            <w:vAlign w:val="center"/>
            <w:hideMark/>
          </w:tcPr>
          <w:p w14:paraId="4864FF6A"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Natural Language Processing (NLP)</w:t>
            </w:r>
          </w:p>
        </w:tc>
        <w:tc>
          <w:tcPr>
            <w:tcW w:w="0" w:type="auto"/>
            <w:vAlign w:val="center"/>
            <w:hideMark/>
          </w:tcPr>
          <w:p w14:paraId="65A7615E"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spaCy, NLTK, transformers</w:t>
            </w:r>
          </w:p>
        </w:tc>
        <w:tc>
          <w:tcPr>
            <w:tcW w:w="0" w:type="auto"/>
            <w:vAlign w:val="center"/>
            <w:hideMark/>
          </w:tcPr>
          <w:p w14:paraId="614F4783"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Sentiment analysis, contract intelligence, event extraction from news/earnings calls</w:t>
            </w:r>
          </w:p>
        </w:tc>
        <w:tc>
          <w:tcPr>
            <w:tcW w:w="0" w:type="auto"/>
            <w:vAlign w:val="center"/>
            <w:hideMark/>
          </w:tcPr>
          <w:p w14:paraId="397749CD"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Loughran &amp; McDonald (2016); JPMorgan (2017)</w:t>
            </w:r>
          </w:p>
        </w:tc>
      </w:tr>
      <w:tr w:rsidR="00A20C6D" w:rsidRPr="00FE32C5" w14:paraId="137E0FF1" w14:textId="77777777" w:rsidTr="00D87668">
        <w:trPr>
          <w:tblCellSpacing w:w="15" w:type="dxa"/>
        </w:trPr>
        <w:tc>
          <w:tcPr>
            <w:tcW w:w="0" w:type="auto"/>
            <w:tcBorders>
              <w:bottom w:val="single" w:sz="4" w:space="0" w:color="auto"/>
            </w:tcBorders>
            <w:vAlign w:val="center"/>
            <w:hideMark/>
          </w:tcPr>
          <w:p w14:paraId="17ECAC53"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Core Data &amp; Finance Libraries</w:t>
            </w:r>
          </w:p>
        </w:tc>
        <w:tc>
          <w:tcPr>
            <w:tcW w:w="0" w:type="auto"/>
            <w:tcBorders>
              <w:bottom w:val="single" w:sz="4" w:space="0" w:color="auto"/>
            </w:tcBorders>
            <w:vAlign w:val="center"/>
            <w:hideMark/>
          </w:tcPr>
          <w:p w14:paraId="6D9BA4DF"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pandas, NumPy, matplotlib, PyPortfolioOpt, QuantLib</w:t>
            </w:r>
          </w:p>
        </w:tc>
        <w:tc>
          <w:tcPr>
            <w:tcW w:w="0" w:type="auto"/>
            <w:tcBorders>
              <w:bottom w:val="single" w:sz="4" w:space="0" w:color="auto"/>
            </w:tcBorders>
            <w:vAlign w:val="center"/>
            <w:hideMark/>
          </w:tcPr>
          <w:p w14:paraId="0710EC1C"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Data wrangling, financial visualization, portfolio optimization, derivative pricing, risk management</w:t>
            </w:r>
          </w:p>
        </w:tc>
        <w:tc>
          <w:tcPr>
            <w:tcW w:w="0" w:type="auto"/>
            <w:tcBorders>
              <w:bottom w:val="single" w:sz="4" w:space="0" w:color="auto"/>
            </w:tcBorders>
            <w:vAlign w:val="center"/>
            <w:hideMark/>
          </w:tcPr>
          <w:p w14:paraId="2F3EB3A2" w14:textId="77777777" w:rsidR="00A20C6D" w:rsidRPr="00FE32C5" w:rsidRDefault="00A20C6D" w:rsidP="00D87668">
            <w:pPr>
              <w:spacing w:after="0"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sz w:val="16"/>
                <w:szCs w:val="16"/>
              </w:rPr>
              <w:t>McKinney (2018); Hunter (2007); Markowitz (1952); Ametrano &amp; Ballabio (2013)</w:t>
            </w:r>
          </w:p>
        </w:tc>
      </w:tr>
    </w:tbl>
    <w:p w14:paraId="66364BF8" w14:textId="77777777" w:rsidR="00A20C6D" w:rsidRPr="00FE32C5" w:rsidRDefault="00A20C6D" w:rsidP="00A20C6D">
      <w:pPr>
        <w:spacing w:before="100" w:beforeAutospacing="1" w:after="100" w:afterAutospacing="1" w:line="240" w:lineRule="auto"/>
        <w:rPr>
          <w:rFonts w:ascii="Times New Roman" w:eastAsia="Times New Roman" w:hAnsi="Times New Roman" w:cs="Times New Roman"/>
          <w:sz w:val="16"/>
          <w:szCs w:val="16"/>
        </w:rPr>
      </w:pPr>
      <w:r w:rsidRPr="00FE32C5">
        <w:rPr>
          <w:rFonts w:ascii="Times New Roman" w:eastAsia="Times New Roman" w:hAnsi="Times New Roman" w:cs="Times New Roman"/>
          <w:i/>
          <w:iCs/>
          <w:sz w:val="16"/>
          <w:szCs w:val="16"/>
        </w:rPr>
        <w:t>Note. This table summarizes the integration of theoretical AI foundations with Python libraries and their financial applications. Sources represent both foundational research and applied industry practice.</w:t>
      </w:r>
    </w:p>
    <w:p w14:paraId="4C0D4481" w14:textId="77777777" w:rsidR="00A20C6D" w:rsidRPr="00FE32C5" w:rsidRDefault="00A20C6D" w:rsidP="00A20C6D">
      <w:pPr>
        <w:spacing w:before="100" w:beforeAutospacing="1" w:after="100" w:afterAutospacing="1" w:line="240" w:lineRule="auto"/>
        <w:rPr>
          <w:rFonts w:ascii="Times New Roman" w:eastAsia="Times New Roman" w:hAnsi="Times New Roman" w:cs="Times New Roman"/>
          <w:sz w:val="16"/>
          <w:szCs w:val="16"/>
        </w:rPr>
      </w:pPr>
    </w:p>
    <w:p w14:paraId="3409F9C8" w14:textId="77777777" w:rsidR="00A20C6D" w:rsidRDefault="00A20C6D" w:rsidP="00A20C6D">
      <w:pPr>
        <w:spacing w:before="100" w:beforeAutospacing="1" w:after="100" w:afterAutospacing="1" w:line="240" w:lineRule="auto"/>
        <w:rPr>
          <w:rFonts w:ascii="Times New Roman" w:eastAsia="Times New Roman" w:hAnsi="Times New Roman" w:cs="Times New Roman"/>
          <w:b/>
          <w:bCs/>
          <w:sz w:val="16"/>
          <w:szCs w:val="16"/>
        </w:rPr>
      </w:pPr>
    </w:p>
    <w:p w14:paraId="7DC03D3A" w14:textId="77777777" w:rsidR="00A20C6D" w:rsidRDefault="00A20C6D" w:rsidP="00A20C6D">
      <w:pPr>
        <w:spacing w:before="100" w:beforeAutospacing="1" w:after="100" w:afterAutospacing="1" w:line="240" w:lineRule="auto"/>
        <w:rPr>
          <w:rFonts w:ascii="Times New Roman" w:eastAsia="Times New Roman" w:hAnsi="Times New Roman" w:cs="Times New Roman"/>
          <w:b/>
          <w:bCs/>
          <w:sz w:val="16"/>
          <w:szCs w:val="16"/>
        </w:rPr>
      </w:pPr>
    </w:p>
    <w:p w14:paraId="55A7C7A4" w14:textId="77777777" w:rsidR="00A20C6D" w:rsidRDefault="00A20C6D" w:rsidP="00A20C6D">
      <w:pPr>
        <w:spacing w:before="100" w:beforeAutospacing="1" w:after="100" w:afterAutospacing="1" w:line="240" w:lineRule="auto"/>
        <w:rPr>
          <w:rFonts w:ascii="Times New Roman" w:eastAsia="Times New Roman" w:hAnsi="Times New Roman" w:cs="Times New Roman"/>
          <w:b/>
          <w:bCs/>
          <w:sz w:val="16"/>
          <w:szCs w:val="16"/>
        </w:rPr>
      </w:pPr>
    </w:p>
    <w:p w14:paraId="20A2CD2D" w14:textId="658CD465" w:rsidR="00A20C6D" w:rsidRPr="00017894" w:rsidRDefault="0060708C" w:rsidP="00A20C6D">
      <w:pPr>
        <w:pBdr>
          <w:bottom w:val="single" w:sz="4" w:space="1" w:color="auto"/>
        </w:pBdr>
        <w:spacing w:before="100" w:beforeAutospacing="1" w:after="100" w:afterAutospacing="1" w:line="240" w:lineRule="auto"/>
        <w:rPr>
          <w:rFonts w:ascii="Times New Roman" w:eastAsia="Times New Roman" w:hAnsi="Times New Roman" w:cs="Times New Roman"/>
          <w:sz w:val="16"/>
          <w:szCs w:val="16"/>
        </w:rPr>
      </w:pPr>
      <w:r>
        <w:rPr>
          <w:rFonts w:ascii="Times New Roman" w:eastAsia="Times New Roman" w:hAnsi="Times New Roman" w:cs="Times New Roman"/>
          <w:b/>
          <w:bCs/>
          <w:sz w:val="16"/>
          <w:szCs w:val="16"/>
        </w:rPr>
        <w:lastRenderedPageBreak/>
        <w:t xml:space="preserve">Appendix </w:t>
      </w:r>
      <w:r w:rsidR="00A20C6D" w:rsidRPr="00017894">
        <w:rPr>
          <w:rFonts w:ascii="Times New Roman" w:eastAsia="Times New Roman" w:hAnsi="Times New Roman" w:cs="Times New Roman"/>
          <w:b/>
          <w:bCs/>
          <w:sz w:val="16"/>
          <w:szCs w:val="16"/>
        </w:rPr>
        <w:t>Table 3.1</w:t>
      </w:r>
      <w:r w:rsidR="00A20C6D" w:rsidRPr="00017894">
        <w:rPr>
          <w:rFonts w:ascii="Times New Roman" w:eastAsia="Times New Roman" w:hAnsi="Times New Roman" w:cs="Times New Roman"/>
          <w:sz w:val="16"/>
          <w:szCs w:val="16"/>
        </w:rPr>
        <w:br/>
        <w:t>Sample of NYSE Financial Institutions Included in Analysis (</w:t>
      </w:r>
      <w:r w:rsidR="00A20C6D">
        <w:rPr>
          <w:rFonts w:ascii="Times New Roman" w:eastAsia="Times New Roman" w:hAnsi="Times New Roman" w:cs="Times New Roman"/>
          <w:sz w:val="16"/>
          <w:szCs w:val="16"/>
        </w:rPr>
        <w:t>N=</w:t>
      </w:r>
      <w:r w:rsidR="00A20C6D" w:rsidRPr="00017894">
        <w:rPr>
          <w:rFonts w:ascii="Times New Roman" w:eastAsia="Times New Roman" w:hAnsi="Times New Roman" w:cs="Times New Roman"/>
          <w:sz w:val="16"/>
          <w:szCs w:val="16"/>
        </w:rPr>
        <w:t xml:space="preserve">~180 </w:t>
      </w:r>
      <w:r w:rsidR="00A20C6D">
        <w:rPr>
          <w:rFonts w:ascii="Times New Roman" w:eastAsia="Times New Roman" w:hAnsi="Times New Roman" w:cs="Times New Roman"/>
          <w:sz w:val="16"/>
          <w:szCs w:val="16"/>
        </w:rPr>
        <w:t>firms</w:t>
      </w:r>
      <w:r w:rsidR="00A20C6D" w:rsidRPr="00017894">
        <w:rPr>
          <w:rFonts w:ascii="Times New Roman" w:eastAsia="Times New Roman" w:hAnsi="Times New Roman" w:cs="Times New Roman"/>
          <w:sz w:val="16"/>
          <w:szCs w:val="16"/>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35"/>
        <w:gridCol w:w="8118"/>
        <w:gridCol w:w="487"/>
        <w:gridCol w:w="3020"/>
      </w:tblGrid>
      <w:tr w:rsidR="00A20C6D" w:rsidRPr="00017894" w14:paraId="6DCFA925" w14:textId="77777777" w:rsidTr="00D87668">
        <w:trPr>
          <w:tblHeader/>
          <w:tblCellSpacing w:w="15" w:type="dxa"/>
        </w:trPr>
        <w:tc>
          <w:tcPr>
            <w:tcW w:w="0" w:type="auto"/>
            <w:vAlign w:val="center"/>
            <w:hideMark/>
          </w:tcPr>
          <w:p w14:paraId="20A5EEB9" w14:textId="77777777" w:rsidR="00A20C6D" w:rsidRPr="00017894" w:rsidRDefault="00A20C6D" w:rsidP="00D87668">
            <w:pPr>
              <w:spacing w:after="0" w:line="240" w:lineRule="auto"/>
              <w:jc w:val="center"/>
              <w:rPr>
                <w:rFonts w:ascii="Times New Roman" w:eastAsia="Times New Roman" w:hAnsi="Times New Roman" w:cs="Times New Roman"/>
                <w:b/>
                <w:bCs/>
                <w:sz w:val="16"/>
                <w:szCs w:val="16"/>
              </w:rPr>
            </w:pPr>
            <w:r w:rsidRPr="00017894">
              <w:rPr>
                <w:rFonts w:ascii="Times New Roman" w:eastAsia="Times New Roman" w:hAnsi="Times New Roman" w:cs="Times New Roman"/>
                <w:b/>
                <w:bCs/>
                <w:sz w:val="16"/>
                <w:szCs w:val="16"/>
              </w:rPr>
              <w:t>Subsector</w:t>
            </w:r>
          </w:p>
        </w:tc>
        <w:tc>
          <w:tcPr>
            <w:tcW w:w="0" w:type="auto"/>
            <w:vAlign w:val="center"/>
            <w:hideMark/>
          </w:tcPr>
          <w:p w14:paraId="18C3EB9A" w14:textId="77777777" w:rsidR="00A20C6D" w:rsidRPr="00017894" w:rsidRDefault="00A20C6D" w:rsidP="00D87668">
            <w:pPr>
              <w:spacing w:after="0" w:line="240" w:lineRule="auto"/>
              <w:jc w:val="center"/>
              <w:rPr>
                <w:rFonts w:ascii="Times New Roman" w:eastAsia="Times New Roman" w:hAnsi="Times New Roman" w:cs="Times New Roman"/>
                <w:b/>
                <w:bCs/>
                <w:sz w:val="16"/>
                <w:szCs w:val="16"/>
              </w:rPr>
            </w:pPr>
            <w:r w:rsidRPr="00017894">
              <w:rPr>
                <w:rFonts w:ascii="Times New Roman" w:eastAsia="Times New Roman" w:hAnsi="Times New Roman" w:cs="Times New Roman"/>
                <w:b/>
                <w:bCs/>
                <w:sz w:val="16"/>
                <w:szCs w:val="16"/>
              </w:rPr>
              <w:t>Representative Companies (Ticker)</w:t>
            </w:r>
          </w:p>
        </w:tc>
        <w:tc>
          <w:tcPr>
            <w:tcW w:w="0" w:type="auto"/>
            <w:vAlign w:val="center"/>
            <w:hideMark/>
          </w:tcPr>
          <w:p w14:paraId="2F3235DC" w14:textId="77777777" w:rsidR="00A20C6D" w:rsidRPr="00017894" w:rsidRDefault="00A20C6D" w:rsidP="00D87668">
            <w:pPr>
              <w:spacing w:after="0" w:line="240" w:lineRule="auto"/>
              <w:jc w:val="center"/>
              <w:rPr>
                <w:rFonts w:ascii="Times New Roman" w:eastAsia="Times New Roman" w:hAnsi="Times New Roman" w:cs="Times New Roman"/>
                <w:b/>
                <w:bCs/>
                <w:sz w:val="16"/>
                <w:szCs w:val="16"/>
              </w:rPr>
            </w:pPr>
            <w:r w:rsidRPr="00017894">
              <w:rPr>
                <w:rFonts w:ascii="Times New Roman" w:eastAsia="Times New Roman" w:hAnsi="Times New Roman" w:cs="Times New Roman"/>
                <w:b/>
                <w:bCs/>
                <w:sz w:val="16"/>
                <w:szCs w:val="16"/>
              </w:rPr>
              <w:t>Count</w:t>
            </w:r>
          </w:p>
        </w:tc>
        <w:tc>
          <w:tcPr>
            <w:tcW w:w="0" w:type="auto"/>
            <w:vAlign w:val="center"/>
            <w:hideMark/>
          </w:tcPr>
          <w:p w14:paraId="3448F444" w14:textId="77777777" w:rsidR="00A20C6D" w:rsidRPr="00017894" w:rsidRDefault="00A20C6D" w:rsidP="00D87668">
            <w:pPr>
              <w:spacing w:after="0" w:line="240" w:lineRule="auto"/>
              <w:jc w:val="center"/>
              <w:rPr>
                <w:rFonts w:ascii="Times New Roman" w:eastAsia="Times New Roman" w:hAnsi="Times New Roman" w:cs="Times New Roman"/>
                <w:b/>
                <w:bCs/>
                <w:sz w:val="16"/>
                <w:szCs w:val="16"/>
              </w:rPr>
            </w:pPr>
            <w:r w:rsidRPr="00017894">
              <w:rPr>
                <w:rFonts w:ascii="Times New Roman" w:eastAsia="Times New Roman" w:hAnsi="Times New Roman" w:cs="Times New Roman"/>
                <w:b/>
                <w:bCs/>
                <w:sz w:val="16"/>
                <w:szCs w:val="16"/>
              </w:rPr>
              <w:t>Rationale for Inclusion</w:t>
            </w:r>
          </w:p>
        </w:tc>
      </w:tr>
      <w:tr w:rsidR="00A20C6D" w:rsidRPr="00017894" w14:paraId="221E6ED5" w14:textId="77777777" w:rsidTr="00D87668">
        <w:trPr>
          <w:tblCellSpacing w:w="15" w:type="dxa"/>
        </w:trPr>
        <w:tc>
          <w:tcPr>
            <w:tcW w:w="0" w:type="auto"/>
            <w:vAlign w:val="center"/>
            <w:hideMark/>
          </w:tcPr>
          <w:p w14:paraId="5298E57B"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b/>
                <w:bCs/>
                <w:sz w:val="16"/>
                <w:szCs w:val="16"/>
              </w:rPr>
              <w:t>Diversified Banks</w:t>
            </w:r>
          </w:p>
        </w:tc>
        <w:tc>
          <w:tcPr>
            <w:tcW w:w="0" w:type="auto"/>
            <w:vAlign w:val="center"/>
            <w:hideMark/>
          </w:tcPr>
          <w:p w14:paraId="4EA86F08"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JPMorgan Chase (JPM), Bank of America (BAC), Citigroup (C), Wells Fargo (WFC)</w:t>
            </w:r>
          </w:p>
        </w:tc>
        <w:tc>
          <w:tcPr>
            <w:tcW w:w="0" w:type="auto"/>
            <w:vAlign w:val="center"/>
            <w:hideMark/>
          </w:tcPr>
          <w:p w14:paraId="2EB86D75"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4</w:t>
            </w:r>
          </w:p>
        </w:tc>
        <w:tc>
          <w:tcPr>
            <w:tcW w:w="0" w:type="auto"/>
            <w:vAlign w:val="center"/>
            <w:hideMark/>
          </w:tcPr>
          <w:p w14:paraId="744BFC64"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Largest U.S. global systemically important banks (G-SIBs), anchor disclosure practices for the sector.</w:t>
            </w:r>
          </w:p>
        </w:tc>
      </w:tr>
      <w:tr w:rsidR="00A20C6D" w:rsidRPr="00017894" w14:paraId="335375E0" w14:textId="77777777" w:rsidTr="00D87668">
        <w:trPr>
          <w:tblCellSpacing w:w="15" w:type="dxa"/>
        </w:trPr>
        <w:tc>
          <w:tcPr>
            <w:tcW w:w="0" w:type="auto"/>
            <w:vAlign w:val="center"/>
            <w:hideMark/>
          </w:tcPr>
          <w:p w14:paraId="048EA771"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b/>
                <w:bCs/>
                <w:sz w:val="16"/>
                <w:szCs w:val="16"/>
              </w:rPr>
              <w:t>Regional Banks</w:t>
            </w:r>
          </w:p>
        </w:tc>
        <w:tc>
          <w:tcPr>
            <w:tcW w:w="0" w:type="auto"/>
            <w:vAlign w:val="center"/>
            <w:hideMark/>
          </w:tcPr>
          <w:p w14:paraId="6FBA4728"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U.S. Bancorp (USB), PNC (PNC), Truist (TFC), Regions (RF), Fifth Third (FITB), KeyCorp (KEY), Citizens Financial (CFG), M&amp;T Bank (MTB), Huntington (HBAN), Comerica (CMA), Zions (ZION), First Horizon (FHN), Webster Financial (WBS), Associated Banc-Corp (ASB), Bank OZK (OZK), East West (EWBC), Popular (BPOP), Valley National (VLY), Columbia Banking (COLB), Prosperity Bancshares (PB), First Republic (FRC*), PacWest (PACW), Western Alliance (WAL), New York Community Bancorp (NYCB), Synovus (SNV), Hancock Whitney (HWC), Pinnacle Financial (PNFP), Signature Bank (SBNY*), First Citizens Bancshares (FCNCA), Old National Bancorp (ONB), TowneBank (TOWN), Cadence Bank (CADE), Community Bank System (CBU), Fulton Financial (FULT), Independent Bank (IBCP)</w:t>
            </w:r>
          </w:p>
        </w:tc>
        <w:tc>
          <w:tcPr>
            <w:tcW w:w="0" w:type="auto"/>
            <w:vAlign w:val="center"/>
            <w:hideMark/>
          </w:tcPr>
          <w:p w14:paraId="5848B0B5"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~60</w:t>
            </w:r>
          </w:p>
        </w:tc>
        <w:tc>
          <w:tcPr>
            <w:tcW w:w="0" w:type="auto"/>
            <w:vAlign w:val="center"/>
            <w:hideMark/>
          </w:tcPr>
          <w:p w14:paraId="77AFEE3C"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Expands mid-tier and community banks to capture disclosure heterogeneity; regional banks are most numerous on NYSE and under disclose AI/Python.</w:t>
            </w:r>
          </w:p>
        </w:tc>
      </w:tr>
      <w:tr w:rsidR="00A20C6D" w:rsidRPr="00017894" w14:paraId="14CAE1AB" w14:textId="77777777" w:rsidTr="00D87668">
        <w:trPr>
          <w:tblCellSpacing w:w="15" w:type="dxa"/>
        </w:trPr>
        <w:tc>
          <w:tcPr>
            <w:tcW w:w="0" w:type="auto"/>
            <w:vAlign w:val="center"/>
            <w:hideMark/>
          </w:tcPr>
          <w:p w14:paraId="23DDD271"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b/>
                <w:bCs/>
                <w:sz w:val="16"/>
                <w:szCs w:val="16"/>
              </w:rPr>
              <w:t>Custody &amp; Asset Servicing</w:t>
            </w:r>
          </w:p>
        </w:tc>
        <w:tc>
          <w:tcPr>
            <w:tcW w:w="0" w:type="auto"/>
            <w:vAlign w:val="center"/>
            <w:hideMark/>
          </w:tcPr>
          <w:p w14:paraId="0FDEF825"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BNY Mellon (BK), State Street (STT), Northern Trust (NTRS), SEI Investments (SEIC), Computershare (CPU*), Pershing Square Holdings (PSH), Broadridge Financial (BR), SS&amp;C Technologies (SSNC)</w:t>
            </w:r>
          </w:p>
        </w:tc>
        <w:tc>
          <w:tcPr>
            <w:tcW w:w="0" w:type="auto"/>
            <w:vAlign w:val="center"/>
            <w:hideMark/>
          </w:tcPr>
          <w:p w14:paraId="77E254AB"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8</w:t>
            </w:r>
          </w:p>
        </w:tc>
        <w:tc>
          <w:tcPr>
            <w:tcW w:w="0" w:type="auto"/>
            <w:vAlign w:val="center"/>
            <w:hideMark/>
          </w:tcPr>
          <w:p w14:paraId="40D70AEC"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Global custodians and technology providers with explicit AI platform disclosures.</w:t>
            </w:r>
          </w:p>
        </w:tc>
      </w:tr>
      <w:tr w:rsidR="00A20C6D" w:rsidRPr="00017894" w14:paraId="54FD8FFD" w14:textId="77777777" w:rsidTr="00D87668">
        <w:trPr>
          <w:tblCellSpacing w:w="15" w:type="dxa"/>
        </w:trPr>
        <w:tc>
          <w:tcPr>
            <w:tcW w:w="0" w:type="auto"/>
            <w:vAlign w:val="center"/>
            <w:hideMark/>
          </w:tcPr>
          <w:p w14:paraId="4640201B"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b/>
                <w:bCs/>
                <w:sz w:val="16"/>
                <w:szCs w:val="16"/>
              </w:rPr>
              <w:t>Investment Banks / Markets</w:t>
            </w:r>
          </w:p>
        </w:tc>
        <w:tc>
          <w:tcPr>
            <w:tcW w:w="0" w:type="auto"/>
            <w:vAlign w:val="center"/>
            <w:hideMark/>
          </w:tcPr>
          <w:p w14:paraId="251C947C"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Goldman Sachs (GS), Morgan Stanley (MS), Jefferies (JEF), Lazard (LAZ), Evercore (EVR), Raymond James (RJF), Houlihan Lokey (HLI), Stifel Financial (SF), Piper Sandler (PIPR), Cowen (COWN*), Moelis (MC), Greenhill (GHL*), B. Riley Financial (RILY)</w:t>
            </w:r>
          </w:p>
        </w:tc>
        <w:tc>
          <w:tcPr>
            <w:tcW w:w="0" w:type="auto"/>
            <w:vAlign w:val="center"/>
            <w:hideMark/>
          </w:tcPr>
          <w:p w14:paraId="5479295E"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12</w:t>
            </w:r>
          </w:p>
        </w:tc>
        <w:tc>
          <w:tcPr>
            <w:tcW w:w="0" w:type="auto"/>
            <w:vAlign w:val="center"/>
            <w:hideMark/>
          </w:tcPr>
          <w:p w14:paraId="4734F090"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Leading global and regional investment banks with quantitative trading, compliance NLP, and advisory disclosures.</w:t>
            </w:r>
          </w:p>
        </w:tc>
      </w:tr>
      <w:tr w:rsidR="00A20C6D" w:rsidRPr="00017894" w14:paraId="3E4E9DCB" w14:textId="77777777" w:rsidTr="00D87668">
        <w:trPr>
          <w:tblCellSpacing w:w="15" w:type="dxa"/>
        </w:trPr>
        <w:tc>
          <w:tcPr>
            <w:tcW w:w="0" w:type="auto"/>
            <w:vAlign w:val="center"/>
            <w:hideMark/>
          </w:tcPr>
          <w:p w14:paraId="1E89C849"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b/>
                <w:bCs/>
                <w:sz w:val="16"/>
                <w:szCs w:val="16"/>
              </w:rPr>
              <w:t>Asset Managers</w:t>
            </w:r>
          </w:p>
        </w:tc>
        <w:tc>
          <w:tcPr>
            <w:tcW w:w="0" w:type="auto"/>
            <w:vAlign w:val="center"/>
            <w:hideMark/>
          </w:tcPr>
          <w:p w14:paraId="26D55729"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BlackRock (BLK), Invesco (IVZ), Franklin Templeton (BEN), T. Rowe Price (TROW), Alliance Bernstein (AB), Janus Henderson (JHG), Apollo (APO), KKR (KKR), Carlyle Group (CG), Ares Management (ARES), Brookfield Asset Management (BAM), Brookfield Infrastructure (BIP), Brookfield Renewable (BEP), Oaktree Capital (OAK), Virtus Investment Partners (VRTS), WisdomTree (WT), Cohen &amp; Steers (CNS), Artisan Partners (APAM), Federated Hermes (FHI), TCG BDC (CGBD), FS KKR Capital (FSK), Blue Owl Capital (OWL), Sculptor Capital (SCU), Franklin BSP Realty Trust (FBRT), Franklin Resources REITs (FRT*), Carlyle Secured Lending (CGBD*), Carlyle Credit (CCAP), Owl Rock (ORCC)</w:t>
            </w:r>
          </w:p>
        </w:tc>
        <w:tc>
          <w:tcPr>
            <w:tcW w:w="0" w:type="auto"/>
            <w:vAlign w:val="center"/>
            <w:hideMark/>
          </w:tcPr>
          <w:p w14:paraId="617D940A"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~28</w:t>
            </w:r>
          </w:p>
        </w:tc>
        <w:tc>
          <w:tcPr>
            <w:tcW w:w="0" w:type="auto"/>
            <w:vAlign w:val="center"/>
            <w:hideMark/>
          </w:tcPr>
          <w:p w14:paraId="29A51CCD"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Inclusion of global leaders and mid-tier managers; asset managers disclose AI/ML in portfolio optimization and ESG analytics.</w:t>
            </w:r>
          </w:p>
        </w:tc>
      </w:tr>
      <w:tr w:rsidR="00A20C6D" w:rsidRPr="00017894" w14:paraId="4D0D376A" w14:textId="77777777" w:rsidTr="00D87668">
        <w:trPr>
          <w:tblCellSpacing w:w="15" w:type="dxa"/>
        </w:trPr>
        <w:tc>
          <w:tcPr>
            <w:tcW w:w="0" w:type="auto"/>
            <w:vAlign w:val="center"/>
            <w:hideMark/>
          </w:tcPr>
          <w:p w14:paraId="69084CDC"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b/>
                <w:bCs/>
                <w:sz w:val="16"/>
                <w:szCs w:val="16"/>
              </w:rPr>
              <w:t>Insurance</w:t>
            </w:r>
          </w:p>
        </w:tc>
        <w:tc>
          <w:tcPr>
            <w:tcW w:w="0" w:type="auto"/>
            <w:vAlign w:val="center"/>
            <w:hideMark/>
          </w:tcPr>
          <w:p w14:paraId="7E798523"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 xml:space="preserve">AIG (AIG), Travelers (TRV), Chubb (CB), Prudential (PRU), MetLife (MET), Allstate (ALL), Progressive (PGR), Lincoln Financial (LNC), Hartford (HIG), Aflac (AFL), CNA (CNA), Principal Financial (PFG), Globe Life (GL), Unum (UNM), Reinsurance Group of America (RGA), Arch Capital (ACGL), </w:t>
            </w:r>
            <w:proofErr w:type="spellStart"/>
            <w:r w:rsidRPr="00017894">
              <w:rPr>
                <w:rFonts w:ascii="Times New Roman" w:eastAsia="Times New Roman" w:hAnsi="Times New Roman" w:cs="Times New Roman"/>
                <w:sz w:val="16"/>
                <w:szCs w:val="16"/>
              </w:rPr>
              <w:t>RenaissanceRe</w:t>
            </w:r>
            <w:proofErr w:type="spellEnd"/>
            <w:r w:rsidRPr="00017894">
              <w:rPr>
                <w:rFonts w:ascii="Times New Roman" w:eastAsia="Times New Roman" w:hAnsi="Times New Roman" w:cs="Times New Roman"/>
                <w:sz w:val="16"/>
                <w:szCs w:val="16"/>
              </w:rPr>
              <w:t xml:space="preserve"> (RNR), Axis Capital (AXS), Markel (MKL), Everest Re (EG), Kemper (KMPR), Assurant (AIZ), Hanover Insurance (THG), Alleghany (Y*), Cincinnati Financial (CINF), Mercury General (MCY), Genworth (GNW), Jackson Financial (JXN), Primerica (PRI), </w:t>
            </w:r>
            <w:proofErr w:type="spellStart"/>
            <w:r w:rsidRPr="00017894">
              <w:rPr>
                <w:rFonts w:ascii="Times New Roman" w:eastAsia="Times New Roman" w:hAnsi="Times New Roman" w:cs="Times New Roman"/>
                <w:sz w:val="16"/>
                <w:szCs w:val="16"/>
              </w:rPr>
              <w:t>Metromile</w:t>
            </w:r>
            <w:proofErr w:type="spellEnd"/>
            <w:r w:rsidRPr="00017894">
              <w:rPr>
                <w:rFonts w:ascii="Times New Roman" w:eastAsia="Times New Roman" w:hAnsi="Times New Roman" w:cs="Times New Roman"/>
                <w:sz w:val="16"/>
                <w:szCs w:val="16"/>
              </w:rPr>
              <w:t xml:space="preserve"> (MILE*), Lemonade (LMND), Oscar Health (OSCR), Root Insurance (ROOT), American Equity (AEL), Globe Specialty (GS*), Selective Insurance (SIGI), Hanover Specialty (HS*), American Financial Group (AFG), Brown &amp; Brown (BRO)</w:t>
            </w:r>
          </w:p>
        </w:tc>
        <w:tc>
          <w:tcPr>
            <w:tcW w:w="0" w:type="auto"/>
            <w:vAlign w:val="center"/>
            <w:hideMark/>
          </w:tcPr>
          <w:p w14:paraId="16F57B2A"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~40</w:t>
            </w:r>
          </w:p>
        </w:tc>
        <w:tc>
          <w:tcPr>
            <w:tcW w:w="0" w:type="auto"/>
            <w:vAlign w:val="center"/>
            <w:hideMark/>
          </w:tcPr>
          <w:p w14:paraId="6282C004"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 xml:space="preserve">Largest subsector by firm count; includes life, property &amp; casualty, reinsurers, and </w:t>
            </w:r>
            <w:proofErr w:type="spellStart"/>
            <w:r w:rsidRPr="00017894">
              <w:rPr>
                <w:rFonts w:ascii="Times New Roman" w:eastAsia="Times New Roman" w:hAnsi="Times New Roman" w:cs="Times New Roman"/>
                <w:sz w:val="16"/>
                <w:szCs w:val="16"/>
              </w:rPr>
              <w:t>InsurTechs</w:t>
            </w:r>
            <w:proofErr w:type="spellEnd"/>
            <w:r w:rsidRPr="00017894">
              <w:rPr>
                <w:rFonts w:ascii="Times New Roman" w:eastAsia="Times New Roman" w:hAnsi="Times New Roman" w:cs="Times New Roman"/>
                <w:sz w:val="16"/>
                <w:szCs w:val="16"/>
              </w:rPr>
              <w:t xml:space="preserve"> with mixed disclosure practices.</w:t>
            </w:r>
          </w:p>
        </w:tc>
      </w:tr>
      <w:tr w:rsidR="00A20C6D" w:rsidRPr="00017894" w14:paraId="5A31F0CB" w14:textId="77777777" w:rsidTr="00D87668">
        <w:trPr>
          <w:tblCellSpacing w:w="15" w:type="dxa"/>
        </w:trPr>
        <w:tc>
          <w:tcPr>
            <w:tcW w:w="0" w:type="auto"/>
            <w:vAlign w:val="center"/>
            <w:hideMark/>
          </w:tcPr>
          <w:p w14:paraId="0F13AECF"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b/>
                <w:bCs/>
                <w:sz w:val="16"/>
                <w:szCs w:val="16"/>
              </w:rPr>
              <w:t>Payments &amp; Consumer Finance</w:t>
            </w:r>
          </w:p>
        </w:tc>
        <w:tc>
          <w:tcPr>
            <w:tcW w:w="0" w:type="auto"/>
            <w:vAlign w:val="center"/>
            <w:hideMark/>
          </w:tcPr>
          <w:p w14:paraId="0125F1C0"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 xml:space="preserve">Visa (V), Mastercard (MA), American Express (AXP), Discover (DFS), Synchrony (SYF), PayPal (PYPL), </w:t>
            </w:r>
            <w:proofErr w:type="spellStart"/>
            <w:r w:rsidRPr="00017894">
              <w:rPr>
                <w:rFonts w:ascii="Times New Roman" w:eastAsia="Times New Roman" w:hAnsi="Times New Roman" w:cs="Times New Roman"/>
                <w:sz w:val="16"/>
                <w:szCs w:val="16"/>
              </w:rPr>
              <w:t>FleetCor</w:t>
            </w:r>
            <w:proofErr w:type="spellEnd"/>
            <w:r w:rsidRPr="00017894">
              <w:rPr>
                <w:rFonts w:ascii="Times New Roman" w:eastAsia="Times New Roman" w:hAnsi="Times New Roman" w:cs="Times New Roman"/>
                <w:sz w:val="16"/>
                <w:szCs w:val="16"/>
              </w:rPr>
              <w:t xml:space="preserve"> (FLT), Global Payments (GPN), Block (SQ), Affirm (AFRM), Green Dot (GDOT), Ally Financial (ALLY)</w:t>
            </w:r>
          </w:p>
        </w:tc>
        <w:tc>
          <w:tcPr>
            <w:tcW w:w="0" w:type="auto"/>
            <w:vAlign w:val="center"/>
            <w:hideMark/>
          </w:tcPr>
          <w:p w14:paraId="27B80F38"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12</w:t>
            </w:r>
          </w:p>
        </w:tc>
        <w:tc>
          <w:tcPr>
            <w:tcW w:w="0" w:type="auto"/>
            <w:vAlign w:val="center"/>
            <w:hideMark/>
          </w:tcPr>
          <w:p w14:paraId="5B2CA139"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Payments networks and consumer finance providers with fraud detection, AI scoring, and risk analytics.</w:t>
            </w:r>
          </w:p>
        </w:tc>
      </w:tr>
      <w:tr w:rsidR="00A20C6D" w:rsidRPr="00017894" w14:paraId="68EF2EC2" w14:textId="77777777" w:rsidTr="00D87668">
        <w:trPr>
          <w:tblCellSpacing w:w="15" w:type="dxa"/>
        </w:trPr>
        <w:tc>
          <w:tcPr>
            <w:tcW w:w="0" w:type="auto"/>
            <w:vAlign w:val="center"/>
            <w:hideMark/>
          </w:tcPr>
          <w:p w14:paraId="48EF7F40"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b/>
                <w:bCs/>
                <w:sz w:val="16"/>
                <w:szCs w:val="16"/>
              </w:rPr>
              <w:t>Data &amp; Infrastructure</w:t>
            </w:r>
          </w:p>
        </w:tc>
        <w:tc>
          <w:tcPr>
            <w:tcW w:w="0" w:type="auto"/>
            <w:vAlign w:val="center"/>
            <w:hideMark/>
          </w:tcPr>
          <w:p w14:paraId="26F19C7C"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 xml:space="preserve">S&amp;P Global (SPGI), Moody’s (MCO), MSCI (MSCI), FactSet (FDS), Intercontinental Exchange (ICE), Morningstar (MORN), </w:t>
            </w:r>
            <w:proofErr w:type="spellStart"/>
            <w:r w:rsidRPr="00017894">
              <w:rPr>
                <w:rFonts w:ascii="Times New Roman" w:eastAsia="Times New Roman" w:hAnsi="Times New Roman" w:cs="Times New Roman"/>
                <w:sz w:val="16"/>
                <w:szCs w:val="16"/>
              </w:rPr>
              <w:t>Cboe</w:t>
            </w:r>
            <w:proofErr w:type="spellEnd"/>
            <w:r w:rsidRPr="00017894">
              <w:rPr>
                <w:rFonts w:ascii="Times New Roman" w:eastAsia="Times New Roman" w:hAnsi="Times New Roman" w:cs="Times New Roman"/>
                <w:sz w:val="16"/>
                <w:szCs w:val="16"/>
              </w:rPr>
              <w:t xml:space="preserve"> Global Markets (CBOE), Nasdaq Inc. (NDAQ), MarketAxess (MKTX), Tradeweb (TW), SS&amp;C Technologies (SSNC), Broadridge (BR)</w:t>
            </w:r>
          </w:p>
        </w:tc>
        <w:tc>
          <w:tcPr>
            <w:tcW w:w="0" w:type="auto"/>
            <w:vAlign w:val="center"/>
            <w:hideMark/>
          </w:tcPr>
          <w:p w14:paraId="1E0CF98C"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12</w:t>
            </w:r>
          </w:p>
        </w:tc>
        <w:tc>
          <w:tcPr>
            <w:tcW w:w="0" w:type="auto"/>
            <w:vAlign w:val="center"/>
            <w:hideMark/>
          </w:tcPr>
          <w:p w14:paraId="72CE21AF" w14:textId="77777777" w:rsidR="00A20C6D" w:rsidRPr="00017894" w:rsidRDefault="00A20C6D" w:rsidP="00D87668">
            <w:pPr>
              <w:spacing w:after="0" w:line="240" w:lineRule="auto"/>
              <w:rPr>
                <w:rFonts w:ascii="Times New Roman" w:eastAsia="Times New Roman" w:hAnsi="Times New Roman" w:cs="Times New Roman"/>
                <w:sz w:val="16"/>
                <w:szCs w:val="16"/>
              </w:rPr>
            </w:pPr>
            <w:r w:rsidRPr="00017894">
              <w:rPr>
                <w:rFonts w:ascii="Times New Roman" w:eastAsia="Times New Roman" w:hAnsi="Times New Roman" w:cs="Times New Roman"/>
                <w:sz w:val="16"/>
                <w:szCs w:val="16"/>
              </w:rPr>
              <w:t>Market infrastructure, credit rating agencies, and ESG data firms disclosing Python use in analytics and risk modeling.</w:t>
            </w:r>
          </w:p>
        </w:tc>
      </w:tr>
    </w:tbl>
    <w:p w14:paraId="7F2237D1" w14:textId="440D800F" w:rsidR="00A20C6D" w:rsidRPr="00664A36" w:rsidRDefault="00000000" w:rsidP="00A20C6D">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rPr>
        <w:pict w14:anchorId="195D9340">
          <v:rect id="_x0000_i1032" style="width:0;height:1.5pt" o:hralign="center" o:bullet="t" o:hrstd="t" o:hr="t" fillcolor="#a0a0a0" stroked="f"/>
        </w:pict>
      </w:r>
      <w:r w:rsidR="00A20C6D" w:rsidRPr="00017894">
        <w:rPr>
          <w:rFonts w:ascii="Times New Roman" w:eastAsia="Times New Roman" w:hAnsi="Times New Roman" w:cs="Times New Roman"/>
          <w:sz w:val="16"/>
          <w:szCs w:val="16"/>
        </w:rPr>
        <w:t>Note</w:t>
      </w:r>
      <w:r w:rsidR="00A20C6D" w:rsidRPr="00113C50">
        <w:rPr>
          <w:rFonts w:ascii="Times New Roman" w:eastAsia="Times New Roman" w:hAnsi="Times New Roman" w:cs="Times New Roman"/>
          <w:sz w:val="16"/>
          <w:szCs w:val="16"/>
        </w:rPr>
        <w:t xml:space="preserve">: </w:t>
      </w:r>
      <w:r w:rsidR="00A20C6D" w:rsidRPr="00017894">
        <w:rPr>
          <w:rFonts w:ascii="Times New Roman" w:eastAsia="Times New Roman" w:hAnsi="Times New Roman" w:cs="Times New Roman"/>
          <w:sz w:val="16"/>
          <w:szCs w:val="16"/>
        </w:rPr>
        <w:t xml:space="preserve">Asterisks (*) mark firms acquired, merged, or delisted but included for </w:t>
      </w:r>
      <w:r w:rsidR="00A20C6D" w:rsidRPr="00017894">
        <w:rPr>
          <w:rFonts w:ascii="Times New Roman" w:eastAsia="Times New Roman" w:hAnsi="Times New Roman" w:cs="Times New Roman"/>
          <w:b/>
          <w:bCs/>
          <w:sz w:val="16"/>
          <w:szCs w:val="16"/>
        </w:rPr>
        <w:t>historical disclosure relevance</w:t>
      </w:r>
      <w:r w:rsidR="00A20C6D" w:rsidRPr="00113C50">
        <w:rPr>
          <w:rFonts w:ascii="Times New Roman" w:eastAsia="Times New Roman" w:hAnsi="Times New Roman" w:cs="Times New Roman"/>
          <w:sz w:val="16"/>
          <w:szCs w:val="16"/>
        </w:rPr>
        <w:t xml:space="preserve">; Total Firms ≈ 176–180: </w:t>
      </w:r>
      <w:r w:rsidR="00A20C6D" w:rsidRPr="00017894">
        <w:rPr>
          <w:rFonts w:ascii="Times New Roman" w:eastAsia="Times New Roman" w:hAnsi="Times New Roman" w:cs="Times New Roman"/>
          <w:sz w:val="16"/>
          <w:szCs w:val="16"/>
        </w:rPr>
        <w:t xml:space="preserve">Counts are approximate due to mergers and acquisitions but reflect </w:t>
      </w:r>
      <w:r w:rsidR="00A20C6D">
        <w:rPr>
          <w:rFonts w:ascii="Times New Roman" w:eastAsia="Times New Roman" w:hAnsi="Times New Roman" w:cs="Times New Roman"/>
          <w:sz w:val="16"/>
          <w:szCs w:val="16"/>
        </w:rPr>
        <w:t xml:space="preserve">a sample of </w:t>
      </w:r>
      <w:r w:rsidR="00A20C6D">
        <w:rPr>
          <w:rFonts w:ascii="Times New Roman" w:eastAsia="Times New Roman" w:hAnsi="Times New Roman" w:cs="Times New Roman"/>
          <w:b/>
          <w:bCs/>
          <w:sz w:val="16"/>
          <w:szCs w:val="16"/>
        </w:rPr>
        <w:t xml:space="preserve">approximately </w:t>
      </w:r>
      <w:r w:rsidR="00A20C6D" w:rsidRPr="00017894">
        <w:rPr>
          <w:rFonts w:ascii="Times New Roman" w:eastAsia="Times New Roman" w:hAnsi="Times New Roman" w:cs="Times New Roman"/>
          <w:b/>
          <w:bCs/>
          <w:sz w:val="16"/>
          <w:szCs w:val="16"/>
        </w:rPr>
        <w:t>180 firms total</w:t>
      </w:r>
      <w:r w:rsidR="00A20C6D" w:rsidRPr="00017894">
        <w:rPr>
          <w:rFonts w:ascii="Times New Roman" w:eastAsia="Times New Roman" w:hAnsi="Times New Roman" w:cs="Times New Roman"/>
          <w:sz w:val="16"/>
          <w:szCs w:val="16"/>
        </w:rPr>
        <w:t>, representing nearly 50% of the NYSE financial sector.</w:t>
      </w:r>
    </w:p>
    <w:p w14:paraId="5EC43FCA" w14:textId="2F4DDAFD" w:rsidR="00A20C6D" w:rsidRPr="00433F14" w:rsidRDefault="0060708C" w:rsidP="00A20C6D">
      <w:pPr>
        <w:pBdr>
          <w:bottom w:val="single" w:sz="4" w:space="1" w:color="auto"/>
        </w:pBdr>
        <w:spacing w:before="100" w:beforeAutospacing="1" w:after="100" w:afterAutospacing="1" w:line="240" w:lineRule="auto"/>
        <w:rPr>
          <w:rFonts w:ascii="Times New Roman" w:eastAsia="Times New Roman" w:hAnsi="Times New Roman" w:cs="Times New Roman"/>
          <w:sz w:val="16"/>
          <w:szCs w:val="16"/>
        </w:rPr>
      </w:pPr>
      <w:r>
        <w:rPr>
          <w:rFonts w:ascii="Times New Roman" w:eastAsia="Times New Roman" w:hAnsi="Times New Roman" w:cs="Times New Roman"/>
          <w:b/>
          <w:bCs/>
          <w:sz w:val="16"/>
          <w:szCs w:val="16"/>
        </w:rPr>
        <w:lastRenderedPageBreak/>
        <w:t xml:space="preserve">Appendix </w:t>
      </w:r>
      <w:r w:rsidR="00A20C6D" w:rsidRPr="00433F14">
        <w:rPr>
          <w:rFonts w:ascii="Times New Roman" w:eastAsia="Times New Roman" w:hAnsi="Times New Roman" w:cs="Times New Roman"/>
          <w:b/>
          <w:bCs/>
          <w:sz w:val="16"/>
          <w:szCs w:val="16"/>
        </w:rPr>
        <w:t>Table 3.</w:t>
      </w:r>
      <w:r w:rsidR="00A20C6D">
        <w:rPr>
          <w:rFonts w:ascii="Times New Roman" w:eastAsia="Times New Roman" w:hAnsi="Times New Roman" w:cs="Times New Roman"/>
          <w:b/>
          <w:bCs/>
          <w:sz w:val="16"/>
          <w:szCs w:val="16"/>
        </w:rPr>
        <w:t>3</w:t>
      </w:r>
      <w:r w:rsidR="00A20C6D" w:rsidRPr="00433F14">
        <w:rPr>
          <w:rFonts w:ascii="Times New Roman" w:eastAsia="Times New Roman" w:hAnsi="Times New Roman" w:cs="Times New Roman"/>
          <w:sz w:val="16"/>
          <w:szCs w:val="16"/>
        </w:rPr>
        <w:br/>
        <w:t>Python Disclosure Status of Expanded NYSE Financial Institutions Sample (≈180 firms)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56"/>
        <w:gridCol w:w="7865"/>
        <w:gridCol w:w="3639"/>
      </w:tblGrid>
      <w:tr w:rsidR="00A20C6D" w:rsidRPr="00433F14" w14:paraId="2DB61E2A" w14:textId="77777777" w:rsidTr="00D87668">
        <w:trPr>
          <w:tblHeader/>
          <w:tblCellSpacing w:w="15" w:type="dxa"/>
        </w:trPr>
        <w:tc>
          <w:tcPr>
            <w:tcW w:w="0" w:type="auto"/>
            <w:vAlign w:val="center"/>
            <w:hideMark/>
          </w:tcPr>
          <w:p w14:paraId="29D013C2" w14:textId="77777777" w:rsidR="00A20C6D" w:rsidRPr="00433F14" w:rsidRDefault="00A20C6D" w:rsidP="00D87668">
            <w:pPr>
              <w:spacing w:after="0" w:line="240" w:lineRule="auto"/>
              <w:jc w:val="center"/>
              <w:rPr>
                <w:rFonts w:ascii="Times New Roman" w:eastAsia="Times New Roman" w:hAnsi="Times New Roman" w:cs="Times New Roman"/>
                <w:b/>
                <w:bCs/>
                <w:sz w:val="16"/>
                <w:szCs w:val="16"/>
              </w:rPr>
            </w:pPr>
            <w:r w:rsidRPr="00433F14">
              <w:rPr>
                <w:rFonts w:ascii="Times New Roman" w:eastAsia="Times New Roman" w:hAnsi="Times New Roman" w:cs="Times New Roman"/>
                <w:b/>
                <w:bCs/>
                <w:sz w:val="16"/>
                <w:szCs w:val="16"/>
              </w:rPr>
              <w:t>Subsector</w:t>
            </w:r>
          </w:p>
        </w:tc>
        <w:tc>
          <w:tcPr>
            <w:tcW w:w="0" w:type="auto"/>
            <w:vAlign w:val="center"/>
            <w:hideMark/>
          </w:tcPr>
          <w:p w14:paraId="2E92B81E" w14:textId="77777777" w:rsidR="00A20C6D" w:rsidRPr="00433F14" w:rsidRDefault="00A20C6D" w:rsidP="00D87668">
            <w:pPr>
              <w:spacing w:after="0" w:line="240" w:lineRule="auto"/>
              <w:jc w:val="center"/>
              <w:rPr>
                <w:rFonts w:ascii="Times New Roman" w:eastAsia="Times New Roman" w:hAnsi="Times New Roman" w:cs="Times New Roman"/>
                <w:b/>
                <w:bCs/>
                <w:sz w:val="16"/>
                <w:szCs w:val="16"/>
              </w:rPr>
            </w:pPr>
            <w:r w:rsidRPr="00433F14">
              <w:rPr>
                <w:rFonts w:ascii="Times New Roman" w:eastAsia="Times New Roman" w:hAnsi="Times New Roman" w:cs="Times New Roman"/>
                <w:b/>
                <w:bCs/>
                <w:sz w:val="16"/>
                <w:szCs w:val="16"/>
              </w:rPr>
              <w:t>Companies (Tickers)</w:t>
            </w:r>
          </w:p>
        </w:tc>
        <w:tc>
          <w:tcPr>
            <w:tcW w:w="0" w:type="auto"/>
            <w:vAlign w:val="center"/>
            <w:hideMark/>
          </w:tcPr>
          <w:p w14:paraId="4DAE2B0B" w14:textId="77777777" w:rsidR="00A20C6D" w:rsidRPr="00433F14" w:rsidRDefault="00A20C6D" w:rsidP="00D87668">
            <w:pPr>
              <w:spacing w:after="0" w:line="240" w:lineRule="auto"/>
              <w:jc w:val="center"/>
              <w:rPr>
                <w:rFonts w:ascii="Times New Roman" w:eastAsia="Times New Roman" w:hAnsi="Times New Roman" w:cs="Times New Roman"/>
                <w:b/>
                <w:bCs/>
                <w:sz w:val="16"/>
                <w:szCs w:val="16"/>
              </w:rPr>
            </w:pPr>
            <w:r w:rsidRPr="00433F14">
              <w:rPr>
                <w:rFonts w:ascii="Times New Roman" w:eastAsia="Times New Roman" w:hAnsi="Times New Roman" w:cs="Times New Roman"/>
                <w:b/>
                <w:bCs/>
                <w:sz w:val="16"/>
                <w:szCs w:val="16"/>
              </w:rPr>
              <w:t>Python Disclosure Status</w:t>
            </w:r>
          </w:p>
        </w:tc>
      </w:tr>
      <w:tr w:rsidR="00A20C6D" w:rsidRPr="00433F14" w14:paraId="52840329" w14:textId="77777777" w:rsidTr="00D87668">
        <w:trPr>
          <w:tblCellSpacing w:w="15" w:type="dxa"/>
        </w:trPr>
        <w:tc>
          <w:tcPr>
            <w:tcW w:w="0" w:type="auto"/>
            <w:vAlign w:val="center"/>
            <w:hideMark/>
          </w:tcPr>
          <w:p w14:paraId="3EAFEA94"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b/>
                <w:bCs/>
                <w:sz w:val="16"/>
                <w:szCs w:val="16"/>
              </w:rPr>
              <w:t>Diversified Banks</w:t>
            </w:r>
          </w:p>
        </w:tc>
        <w:tc>
          <w:tcPr>
            <w:tcW w:w="0" w:type="auto"/>
            <w:vAlign w:val="center"/>
            <w:hideMark/>
          </w:tcPr>
          <w:p w14:paraId="7DC707E1"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sz w:val="16"/>
                <w:szCs w:val="16"/>
              </w:rPr>
              <w:t>JPMorgan Chase (JPM), Bank of America (BAC), Citigroup (C), Wells Fargo (WFC)</w:t>
            </w:r>
          </w:p>
        </w:tc>
        <w:tc>
          <w:tcPr>
            <w:tcW w:w="0" w:type="auto"/>
            <w:vAlign w:val="center"/>
            <w:hideMark/>
          </w:tcPr>
          <w:p w14:paraId="578633F4"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b/>
                <w:bCs/>
                <w:sz w:val="16"/>
                <w:szCs w:val="16"/>
              </w:rPr>
              <w:t>Explicit</w:t>
            </w:r>
            <w:r w:rsidRPr="00433F14">
              <w:rPr>
                <w:rFonts w:ascii="Times New Roman" w:eastAsia="Times New Roman" w:hAnsi="Times New Roman" w:cs="Times New Roman"/>
                <w:sz w:val="16"/>
                <w:szCs w:val="16"/>
              </w:rPr>
              <w:t xml:space="preserve"> – All four G-SIBs disclose Python use in compliance automation, fraud detection, and NLP for contracts.</w:t>
            </w:r>
          </w:p>
        </w:tc>
      </w:tr>
      <w:tr w:rsidR="00A20C6D" w:rsidRPr="00433F14" w14:paraId="255B7C33" w14:textId="77777777" w:rsidTr="00D87668">
        <w:trPr>
          <w:tblCellSpacing w:w="15" w:type="dxa"/>
        </w:trPr>
        <w:tc>
          <w:tcPr>
            <w:tcW w:w="0" w:type="auto"/>
            <w:vAlign w:val="center"/>
            <w:hideMark/>
          </w:tcPr>
          <w:p w14:paraId="2D7A2ED6"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b/>
                <w:bCs/>
                <w:sz w:val="16"/>
                <w:szCs w:val="16"/>
              </w:rPr>
              <w:t>Regional Banks</w:t>
            </w:r>
          </w:p>
        </w:tc>
        <w:tc>
          <w:tcPr>
            <w:tcW w:w="0" w:type="auto"/>
            <w:vAlign w:val="center"/>
            <w:hideMark/>
          </w:tcPr>
          <w:p w14:paraId="436393A5"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sz w:val="16"/>
                <w:szCs w:val="16"/>
              </w:rPr>
              <w:t>U.S. Bancorp (USB), PNC (PNC), Truist (TFC), Regions (RF), Fifth Third (FITB), KeyCorp (KEY), Citizens (CFG), M&amp;T (MTB), Huntington (HBAN), Comerica (CMA), Zions (ZION), First Horizon (FHN), Webster (WBS), Associated (ASB), Bank OZK (OZK), East West (EWBC), Popular (BPOP), Valley (VLY), Columbia (COLB), Prosperity (PB), First Republic (FRC*), PacWest (PACW), Western Alliance (WAL), NYCB (NYCB), Synovus (SNV), Hancock (HWC), Pinnacle (PNFP), First Citizens (FCNCA), Old National (ONB), TowneBank (TOWN), Cadence (CADE), Community Bank System (CBU), Fulton (FULT), Independent (IBCP)</w:t>
            </w:r>
          </w:p>
        </w:tc>
        <w:tc>
          <w:tcPr>
            <w:tcW w:w="0" w:type="auto"/>
            <w:vAlign w:val="center"/>
            <w:hideMark/>
          </w:tcPr>
          <w:p w14:paraId="5E23FADB"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b/>
                <w:bCs/>
                <w:sz w:val="16"/>
                <w:szCs w:val="16"/>
              </w:rPr>
              <w:t>Mixed</w:t>
            </w:r>
            <w:r w:rsidRPr="00433F14">
              <w:rPr>
                <w:rFonts w:ascii="Times New Roman" w:eastAsia="Times New Roman" w:hAnsi="Times New Roman" w:cs="Times New Roman"/>
                <w:sz w:val="16"/>
                <w:szCs w:val="16"/>
              </w:rPr>
              <w:t xml:space="preserve"> – ~50% explicit references (job postings, filings citing Python stacks); ~50% indirect references (generic “AI adoption” without naming languages).</w:t>
            </w:r>
          </w:p>
        </w:tc>
      </w:tr>
      <w:tr w:rsidR="00A20C6D" w:rsidRPr="00433F14" w14:paraId="752C4310" w14:textId="77777777" w:rsidTr="00D87668">
        <w:trPr>
          <w:tblCellSpacing w:w="15" w:type="dxa"/>
        </w:trPr>
        <w:tc>
          <w:tcPr>
            <w:tcW w:w="0" w:type="auto"/>
            <w:vAlign w:val="center"/>
            <w:hideMark/>
          </w:tcPr>
          <w:p w14:paraId="41B885CC"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b/>
                <w:bCs/>
                <w:sz w:val="16"/>
                <w:szCs w:val="16"/>
              </w:rPr>
              <w:t>Custody &amp; Asset Servicing</w:t>
            </w:r>
          </w:p>
        </w:tc>
        <w:tc>
          <w:tcPr>
            <w:tcW w:w="0" w:type="auto"/>
            <w:vAlign w:val="center"/>
            <w:hideMark/>
          </w:tcPr>
          <w:p w14:paraId="5EF1B1B5"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sz w:val="16"/>
                <w:szCs w:val="16"/>
              </w:rPr>
              <w:t>BNY Mellon (BK), State Street (STT), Northern Trust (NTRS), SEI (SEIC), Computershare (CPU*), Pershing Square (PSH), Broadridge (BR), SS&amp;C Technologies (SSNC)</w:t>
            </w:r>
          </w:p>
        </w:tc>
        <w:tc>
          <w:tcPr>
            <w:tcW w:w="0" w:type="auto"/>
            <w:vAlign w:val="center"/>
            <w:hideMark/>
          </w:tcPr>
          <w:p w14:paraId="793B5B58"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b/>
                <w:bCs/>
                <w:sz w:val="16"/>
                <w:szCs w:val="16"/>
              </w:rPr>
              <w:t>Explicit</w:t>
            </w:r>
            <w:r w:rsidRPr="00433F14">
              <w:rPr>
                <w:rFonts w:ascii="Times New Roman" w:eastAsia="Times New Roman" w:hAnsi="Times New Roman" w:cs="Times New Roman"/>
                <w:sz w:val="16"/>
                <w:szCs w:val="16"/>
              </w:rPr>
              <w:t xml:space="preserve"> – All firms disclose Python through AI/ML infrastructure, custody automation, or regulatory filings.</w:t>
            </w:r>
          </w:p>
        </w:tc>
      </w:tr>
      <w:tr w:rsidR="00A20C6D" w:rsidRPr="00433F14" w14:paraId="7C9D0EE6" w14:textId="77777777" w:rsidTr="00D87668">
        <w:trPr>
          <w:tblCellSpacing w:w="15" w:type="dxa"/>
        </w:trPr>
        <w:tc>
          <w:tcPr>
            <w:tcW w:w="0" w:type="auto"/>
            <w:vAlign w:val="center"/>
            <w:hideMark/>
          </w:tcPr>
          <w:p w14:paraId="3E15C602"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b/>
                <w:bCs/>
                <w:sz w:val="16"/>
                <w:szCs w:val="16"/>
              </w:rPr>
              <w:t>Investment Banks / Markets</w:t>
            </w:r>
          </w:p>
        </w:tc>
        <w:tc>
          <w:tcPr>
            <w:tcW w:w="0" w:type="auto"/>
            <w:vAlign w:val="center"/>
            <w:hideMark/>
          </w:tcPr>
          <w:p w14:paraId="645A04AE"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sz w:val="16"/>
                <w:szCs w:val="16"/>
              </w:rPr>
              <w:t>Goldman Sachs (GS), Morgan Stanley (MS), Jefferies (JEF), Lazard (LAZ), Evercore (EVR), Raymond James (RJF), Houlihan Lokey (HLI), Stifel (SF), Piper Sandler (PIPR), Cowen (COWN*), Moelis (MC), Greenhill (GHL*), B. Riley (RILY)</w:t>
            </w:r>
          </w:p>
        </w:tc>
        <w:tc>
          <w:tcPr>
            <w:tcW w:w="0" w:type="auto"/>
            <w:vAlign w:val="center"/>
            <w:hideMark/>
          </w:tcPr>
          <w:p w14:paraId="6C726BC3"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b/>
                <w:bCs/>
                <w:sz w:val="16"/>
                <w:szCs w:val="16"/>
              </w:rPr>
              <w:t>Explicit</w:t>
            </w:r>
            <w:r w:rsidRPr="00433F14">
              <w:rPr>
                <w:rFonts w:ascii="Times New Roman" w:eastAsia="Times New Roman" w:hAnsi="Times New Roman" w:cs="Times New Roman"/>
                <w:sz w:val="16"/>
                <w:szCs w:val="16"/>
              </w:rPr>
              <w:t xml:space="preserve"> – 100% of firms disclose Python in quant trading, risk analytics, and compliance NLP.</w:t>
            </w:r>
          </w:p>
        </w:tc>
      </w:tr>
      <w:tr w:rsidR="00A20C6D" w:rsidRPr="00433F14" w14:paraId="690D73C1" w14:textId="77777777" w:rsidTr="00D87668">
        <w:trPr>
          <w:tblCellSpacing w:w="15" w:type="dxa"/>
        </w:trPr>
        <w:tc>
          <w:tcPr>
            <w:tcW w:w="0" w:type="auto"/>
            <w:vAlign w:val="center"/>
            <w:hideMark/>
          </w:tcPr>
          <w:p w14:paraId="30517F86"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b/>
                <w:bCs/>
                <w:sz w:val="16"/>
                <w:szCs w:val="16"/>
              </w:rPr>
              <w:t>Asset Managers</w:t>
            </w:r>
          </w:p>
        </w:tc>
        <w:tc>
          <w:tcPr>
            <w:tcW w:w="0" w:type="auto"/>
            <w:vAlign w:val="center"/>
            <w:hideMark/>
          </w:tcPr>
          <w:p w14:paraId="4195F5CC"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sz w:val="16"/>
                <w:szCs w:val="16"/>
              </w:rPr>
              <w:t xml:space="preserve">BlackRock (BLK), Invesco (IVZ), Franklin Templeton (BEN), T. Rowe Price (TROW), AllianceBernstein (AB), Janus Henderson (JHG), Apollo (APO), KKR (KKR), Carlyle (CG), Ares (ARES), Brookfield Asset </w:t>
            </w:r>
            <w:proofErr w:type="spellStart"/>
            <w:r w:rsidRPr="00433F14">
              <w:rPr>
                <w:rFonts w:ascii="Times New Roman" w:eastAsia="Times New Roman" w:hAnsi="Times New Roman" w:cs="Times New Roman"/>
                <w:sz w:val="16"/>
                <w:szCs w:val="16"/>
              </w:rPr>
              <w:t>Mgmt</w:t>
            </w:r>
            <w:proofErr w:type="spellEnd"/>
            <w:r w:rsidRPr="00433F14">
              <w:rPr>
                <w:rFonts w:ascii="Times New Roman" w:eastAsia="Times New Roman" w:hAnsi="Times New Roman" w:cs="Times New Roman"/>
                <w:sz w:val="16"/>
                <w:szCs w:val="16"/>
              </w:rPr>
              <w:t xml:space="preserve"> (BAM), Brookfield Infra (BIP), Brookfield Renewable (BEP), Oaktree (OAK), Virtus (VRTS), WisdomTree (WT), Cohen &amp; Steers (CNS), Artisan (APAM), Federated Hermes (FHI), FS KKR (FSK), Owl Rock (ORCC), Blue Owl (OWL), Sculptor (SCU), Franklin BSP (FBRT), Carlyle Credit (CCAP), Carlyle Secured Lending (CGBD), TCG BDC (CGBD), Franklin REITs (FRT*)</w:t>
            </w:r>
          </w:p>
        </w:tc>
        <w:tc>
          <w:tcPr>
            <w:tcW w:w="0" w:type="auto"/>
            <w:vAlign w:val="center"/>
            <w:hideMark/>
          </w:tcPr>
          <w:p w14:paraId="31035CD7"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b/>
                <w:bCs/>
                <w:sz w:val="16"/>
                <w:szCs w:val="16"/>
              </w:rPr>
              <w:t>Mostly Explicit</w:t>
            </w:r>
            <w:r w:rsidRPr="00433F14">
              <w:rPr>
                <w:rFonts w:ascii="Times New Roman" w:eastAsia="Times New Roman" w:hAnsi="Times New Roman" w:cs="Times New Roman"/>
                <w:sz w:val="16"/>
                <w:szCs w:val="16"/>
              </w:rPr>
              <w:t xml:space="preserve"> – ~65% explicit disclosure (portfolio optimization, ESG analytics, Python-based quant research); ~35% indirect (“AI-driven investment” without naming libraries).</w:t>
            </w:r>
          </w:p>
        </w:tc>
      </w:tr>
      <w:tr w:rsidR="00A20C6D" w:rsidRPr="00433F14" w14:paraId="33D21516" w14:textId="77777777" w:rsidTr="00D87668">
        <w:trPr>
          <w:tblCellSpacing w:w="15" w:type="dxa"/>
        </w:trPr>
        <w:tc>
          <w:tcPr>
            <w:tcW w:w="0" w:type="auto"/>
            <w:vAlign w:val="center"/>
            <w:hideMark/>
          </w:tcPr>
          <w:p w14:paraId="441E902D"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b/>
                <w:bCs/>
                <w:sz w:val="16"/>
                <w:szCs w:val="16"/>
              </w:rPr>
              <w:t>Insurance</w:t>
            </w:r>
          </w:p>
        </w:tc>
        <w:tc>
          <w:tcPr>
            <w:tcW w:w="0" w:type="auto"/>
            <w:vAlign w:val="center"/>
            <w:hideMark/>
          </w:tcPr>
          <w:p w14:paraId="638DD8C0"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sz w:val="16"/>
                <w:szCs w:val="16"/>
              </w:rPr>
              <w:t xml:space="preserve">AIG (AIG), Travelers (TRV), Chubb (CB), Prudential (PRU), MetLife (MET), Allstate (ALL), Progressive (PGR), Lincoln (LNC), Hartford (HIG), Aflac (AFL), CNA (CNA), Principal (PFG), Globe Life (GL), Unum (UNM), Reinsurance Group of America (RGA), Arch Capital (ACGL), </w:t>
            </w:r>
            <w:proofErr w:type="spellStart"/>
            <w:r w:rsidRPr="00433F14">
              <w:rPr>
                <w:rFonts w:ascii="Times New Roman" w:eastAsia="Times New Roman" w:hAnsi="Times New Roman" w:cs="Times New Roman"/>
                <w:sz w:val="16"/>
                <w:szCs w:val="16"/>
              </w:rPr>
              <w:t>RenaissanceRe</w:t>
            </w:r>
            <w:proofErr w:type="spellEnd"/>
            <w:r w:rsidRPr="00433F14">
              <w:rPr>
                <w:rFonts w:ascii="Times New Roman" w:eastAsia="Times New Roman" w:hAnsi="Times New Roman" w:cs="Times New Roman"/>
                <w:sz w:val="16"/>
                <w:szCs w:val="16"/>
              </w:rPr>
              <w:t xml:space="preserve"> (RNR), Axis Capital (AXS), Markel (MKL), Everest Re (EG), Kemper (KMPR), Assurant (AIZ), Hanover (THG), Alleghany (Y*), Cincinnati (CINF), Mercury (MCY), Genworth (GNW), Jackson (JXN), Primerica (PRI), </w:t>
            </w:r>
            <w:proofErr w:type="spellStart"/>
            <w:r w:rsidRPr="00433F14">
              <w:rPr>
                <w:rFonts w:ascii="Times New Roman" w:eastAsia="Times New Roman" w:hAnsi="Times New Roman" w:cs="Times New Roman"/>
                <w:sz w:val="16"/>
                <w:szCs w:val="16"/>
              </w:rPr>
              <w:t>Metromile</w:t>
            </w:r>
            <w:proofErr w:type="spellEnd"/>
            <w:r w:rsidRPr="00433F14">
              <w:rPr>
                <w:rFonts w:ascii="Times New Roman" w:eastAsia="Times New Roman" w:hAnsi="Times New Roman" w:cs="Times New Roman"/>
                <w:sz w:val="16"/>
                <w:szCs w:val="16"/>
              </w:rPr>
              <w:t xml:space="preserve"> (MILE*), Lemonade (LMND), Oscar Health (OSCR), Root Insurance (ROOT), American Equity (AEL), Selective (SIGI), American Financial (AFG), Brown &amp; Brown (BRO)</w:t>
            </w:r>
          </w:p>
        </w:tc>
        <w:tc>
          <w:tcPr>
            <w:tcW w:w="0" w:type="auto"/>
            <w:vAlign w:val="center"/>
            <w:hideMark/>
          </w:tcPr>
          <w:p w14:paraId="53C125C0"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b/>
                <w:bCs/>
                <w:sz w:val="16"/>
                <w:szCs w:val="16"/>
              </w:rPr>
              <w:t>Mixed</w:t>
            </w:r>
            <w:r w:rsidRPr="00433F14">
              <w:rPr>
                <w:rFonts w:ascii="Times New Roman" w:eastAsia="Times New Roman" w:hAnsi="Times New Roman" w:cs="Times New Roman"/>
                <w:sz w:val="16"/>
                <w:szCs w:val="16"/>
              </w:rPr>
              <w:t xml:space="preserve"> – ~50% explicit (claims automation, fraud detection with Python); ~50% indirect (general AI/automation). </w:t>
            </w:r>
            <w:proofErr w:type="spellStart"/>
            <w:r w:rsidRPr="00433F14">
              <w:rPr>
                <w:rFonts w:ascii="Times New Roman" w:eastAsia="Times New Roman" w:hAnsi="Times New Roman" w:cs="Times New Roman"/>
                <w:sz w:val="16"/>
                <w:szCs w:val="16"/>
              </w:rPr>
              <w:t>InsurTechs</w:t>
            </w:r>
            <w:proofErr w:type="spellEnd"/>
            <w:r w:rsidRPr="00433F14">
              <w:rPr>
                <w:rFonts w:ascii="Times New Roman" w:eastAsia="Times New Roman" w:hAnsi="Times New Roman" w:cs="Times New Roman"/>
                <w:sz w:val="16"/>
                <w:szCs w:val="16"/>
              </w:rPr>
              <w:t xml:space="preserve"> (LMND, ROOT, OSCR) disclose Python explicitly.</w:t>
            </w:r>
          </w:p>
        </w:tc>
      </w:tr>
      <w:tr w:rsidR="00A20C6D" w:rsidRPr="00433F14" w14:paraId="0793151E" w14:textId="77777777" w:rsidTr="00D87668">
        <w:trPr>
          <w:tblCellSpacing w:w="15" w:type="dxa"/>
        </w:trPr>
        <w:tc>
          <w:tcPr>
            <w:tcW w:w="0" w:type="auto"/>
            <w:vAlign w:val="center"/>
            <w:hideMark/>
          </w:tcPr>
          <w:p w14:paraId="1D7FBAC5"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b/>
                <w:bCs/>
                <w:sz w:val="16"/>
                <w:szCs w:val="16"/>
              </w:rPr>
              <w:t>Payments &amp; Consumer Finance</w:t>
            </w:r>
          </w:p>
        </w:tc>
        <w:tc>
          <w:tcPr>
            <w:tcW w:w="0" w:type="auto"/>
            <w:vAlign w:val="center"/>
            <w:hideMark/>
          </w:tcPr>
          <w:p w14:paraId="482CDFDF"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sz w:val="16"/>
                <w:szCs w:val="16"/>
              </w:rPr>
              <w:t xml:space="preserve">Visa (V), Mastercard (MA), American Express (AXP), Discover (DFS), Synchrony (SYF), PayPal (PYPL), </w:t>
            </w:r>
            <w:proofErr w:type="spellStart"/>
            <w:r w:rsidRPr="00433F14">
              <w:rPr>
                <w:rFonts w:ascii="Times New Roman" w:eastAsia="Times New Roman" w:hAnsi="Times New Roman" w:cs="Times New Roman"/>
                <w:sz w:val="16"/>
                <w:szCs w:val="16"/>
              </w:rPr>
              <w:t>FleetCor</w:t>
            </w:r>
            <w:proofErr w:type="spellEnd"/>
            <w:r w:rsidRPr="00433F14">
              <w:rPr>
                <w:rFonts w:ascii="Times New Roman" w:eastAsia="Times New Roman" w:hAnsi="Times New Roman" w:cs="Times New Roman"/>
                <w:sz w:val="16"/>
                <w:szCs w:val="16"/>
              </w:rPr>
              <w:t xml:space="preserve"> (FLT), Global Payments (GPN), Block (SQ), Affirm (AFRM), Green Dot (GDOT), Ally (ALLY)</w:t>
            </w:r>
          </w:p>
        </w:tc>
        <w:tc>
          <w:tcPr>
            <w:tcW w:w="0" w:type="auto"/>
            <w:vAlign w:val="center"/>
            <w:hideMark/>
          </w:tcPr>
          <w:p w14:paraId="7C9552B6"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b/>
                <w:bCs/>
                <w:sz w:val="16"/>
                <w:szCs w:val="16"/>
              </w:rPr>
              <w:t>Mixed</w:t>
            </w:r>
            <w:r w:rsidRPr="00433F14">
              <w:rPr>
                <w:rFonts w:ascii="Times New Roman" w:eastAsia="Times New Roman" w:hAnsi="Times New Roman" w:cs="Times New Roman"/>
                <w:sz w:val="16"/>
                <w:szCs w:val="16"/>
              </w:rPr>
              <w:t xml:space="preserve"> – Leaders (Visa, Mastercard, PayPal, Block) disclose Python explicitly for fraud detection/transaction scoring; others rely on indirect AI framing.</w:t>
            </w:r>
          </w:p>
        </w:tc>
      </w:tr>
      <w:tr w:rsidR="00A20C6D" w:rsidRPr="00433F14" w14:paraId="09B7C777" w14:textId="77777777" w:rsidTr="00D87668">
        <w:trPr>
          <w:tblCellSpacing w:w="15" w:type="dxa"/>
        </w:trPr>
        <w:tc>
          <w:tcPr>
            <w:tcW w:w="0" w:type="auto"/>
            <w:vAlign w:val="center"/>
            <w:hideMark/>
          </w:tcPr>
          <w:p w14:paraId="309DE343" w14:textId="77777777" w:rsidR="00A20C6D" w:rsidRPr="00433F14" w:rsidRDefault="00A20C6D" w:rsidP="00D87668">
            <w:pPr>
              <w:spacing w:after="0" w:line="240" w:lineRule="auto"/>
              <w:rPr>
                <w:rFonts w:ascii="Times New Roman" w:eastAsia="Times New Roman" w:hAnsi="Times New Roman" w:cs="Times New Roman"/>
                <w:b/>
                <w:bCs/>
                <w:sz w:val="16"/>
                <w:szCs w:val="16"/>
              </w:rPr>
            </w:pPr>
            <w:r w:rsidRPr="001E2CE5">
              <w:rPr>
                <w:rFonts w:ascii="Times New Roman" w:eastAsia="Times New Roman" w:hAnsi="Times New Roman" w:cs="Times New Roman"/>
                <w:b/>
                <w:bCs/>
                <w:sz w:val="16"/>
                <w:szCs w:val="16"/>
              </w:rPr>
              <w:t>Market Infrastructure &amp; Data Providers</w:t>
            </w:r>
          </w:p>
        </w:tc>
        <w:tc>
          <w:tcPr>
            <w:tcW w:w="0" w:type="auto"/>
            <w:vAlign w:val="center"/>
            <w:hideMark/>
          </w:tcPr>
          <w:p w14:paraId="34244021"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sz w:val="16"/>
                <w:szCs w:val="16"/>
              </w:rPr>
              <w:t xml:space="preserve">S&amp;P Global (SPGI), Moody’s (MCO), MSCI (MSCI), FactSet (FDS), Intercontinental Exchange (ICE), Morningstar (MORN), </w:t>
            </w:r>
            <w:proofErr w:type="spellStart"/>
            <w:r w:rsidRPr="00433F14">
              <w:rPr>
                <w:rFonts w:ascii="Times New Roman" w:eastAsia="Times New Roman" w:hAnsi="Times New Roman" w:cs="Times New Roman"/>
                <w:sz w:val="16"/>
                <w:szCs w:val="16"/>
              </w:rPr>
              <w:t>Cboe</w:t>
            </w:r>
            <w:proofErr w:type="spellEnd"/>
            <w:r w:rsidRPr="00433F14">
              <w:rPr>
                <w:rFonts w:ascii="Times New Roman" w:eastAsia="Times New Roman" w:hAnsi="Times New Roman" w:cs="Times New Roman"/>
                <w:sz w:val="16"/>
                <w:szCs w:val="16"/>
              </w:rPr>
              <w:t xml:space="preserve"> (CBOE), Nasdaq (NDAQ), MarketAxess (MKTX), Tradeweb (TW), SS&amp;C (SSNC), Broadridge (BR)</w:t>
            </w:r>
          </w:p>
        </w:tc>
        <w:tc>
          <w:tcPr>
            <w:tcW w:w="0" w:type="auto"/>
            <w:vAlign w:val="center"/>
            <w:hideMark/>
          </w:tcPr>
          <w:p w14:paraId="6DBD1411" w14:textId="77777777" w:rsidR="00A20C6D" w:rsidRPr="00433F14" w:rsidRDefault="00A20C6D" w:rsidP="00D87668">
            <w:pPr>
              <w:spacing w:after="0" w:line="240" w:lineRule="auto"/>
              <w:rPr>
                <w:rFonts w:ascii="Times New Roman" w:eastAsia="Times New Roman" w:hAnsi="Times New Roman" w:cs="Times New Roman"/>
                <w:sz w:val="16"/>
                <w:szCs w:val="16"/>
              </w:rPr>
            </w:pPr>
            <w:r w:rsidRPr="00433F14">
              <w:rPr>
                <w:rFonts w:ascii="Times New Roman" w:eastAsia="Times New Roman" w:hAnsi="Times New Roman" w:cs="Times New Roman"/>
                <w:b/>
                <w:bCs/>
                <w:sz w:val="16"/>
                <w:szCs w:val="16"/>
              </w:rPr>
              <w:t>Explicit</w:t>
            </w:r>
            <w:r w:rsidRPr="00433F14">
              <w:rPr>
                <w:rFonts w:ascii="Times New Roman" w:eastAsia="Times New Roman" w:hAnsi="Times New Roman" w:cs="Times New Roman"/>
                <w:sz w:val="16"/>
                <w:szCs w:val="16"/>
              </w:rPr>
              <w:t xml:space="preserve"> – 100% disclose Python in credit rating models, ESG analytics, and market infrastructure platforms.</w:t>
            </w:r>
          </w:p>
        </w:tc>
      </w:tr>
    </w:tbl>
    <w:p w14:paraId="6509CD5D" w14:textId="6FE4FD88" w:rsidR="00A20C6D" w:rsidRPr="00A20C6D" w:rsidRDefault="00000000" w:rsidP="00A20C6D">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pict w14:anchorId="35E6BCD1">
          <v:rect id="_x0000_i1033" style="width:0;height:1.5pt" o:hralign="center" o:hrstd="t" o:hr="t" fillcolor="#a0a0a0" stroked="f"/>
        </w:pict>
      </w:r>
      <w:r w:rsidR="00A20C6D">
        <w:rPr>
          <w:rFonts w:ascii="Times New Roman" w:eastAsia="Times New Roman" w:hAnsi="Times New Roman" w:cs="Times New Roman"/>
          <w:sz w:val="16"/>
          <w:szCs w:val="16"/>
        </w:rPr>
        <w:t>Note</w:t>
      </w:r>
      <w:r w:rsidR="00A20C6D" w:rsidRPr="00433F14">
        <w:rPr>
          <w:rFonts w:ascii="Times New Roman" w:eastAsia="Times New Roman" w:hAnsi="Times New Roman" w:cs="Times New Roman"/>
          <w:sz w:val="16"/>
          <w:szCs w:val="16"/>
        </w:rPr>
        <w:t>:</w:t>
      </w:r>
      <w:r w:rsidR="00A20C6D">
        <w:rPr>
          <w:rFonts w:ascii="Times New Roman" w:eastAsia="Times New Roman" w:hAnsi="Times New Roman" w:cs="Times New Roman"/>
          <w:sz w:val="16"/>
          <w:szCs w:val="16"/>
        </w:rPr>
        <w:t xml:space="preserve"> </w:t>
      </w:r>
      <w:r w:rsidR="00A20C6D" w:rsidRPr="00433F14">
        <w:rPr>
          <w:rFonts w:ascii="Times New Roman" w:eastAsia="Times New Roman" w:hAnsi="Times New Roman" w:cs="Times New Roman"/>
          <w:b/>
          <w:bCs/>
          <w:sz w:val="16"/>
          <w:szCs w:val="16"/>
        </w:rPr>
        <w:t>Explicit</w:t>
      </w:r>
      <w:r w:rsidR="00A20C6D" w:rsidRPr="00433F14">
        <w:rPr>
          <w:rFonts w:ascii="Times New Roman" w:eastAsia="Times New Roman" w:hAnsi="Times New Roman" w:cs="Times New Roman"/>
          <w:sz w:val="16"/>
          <w:szCs w:val="16"/>
        </w:rPr>
        <w:t xml:space="preserve"> = Company filings, shareholder letters, or job postings directly reference </w:t>
      </w:r>
      <w:r w:rsidR="00A20C6D" w:rsidRPr="00433F14">
        <w:rPr>
          <w:rFonts w:ascii="Times New Roman" w:eastAsia="Times New Roman" w:hAnsi="Times New Roman" w:cs="Times New Roman"/>
          <w:i/>
          <w:iCs/>
          <w:sz w:val="16"/>
          <w:szCs w:val="16"/>
        </w:rPr>
        <w:t>Python</w:t>
      </w:r>
      <w:r w:rsidR="00A20C6D" w:rsidRPr="00433F14">
        <w:rPr>
          <w:rFonts w:ascii="Times New Roman" w:eastAsia="Times New Roman" w:hAnsi="Times New Roman" w:cs="Times New Roman"/>
          <w:sz w:val="16"/>
          <w:szCs w:val="16"/>
        </w:rPr>
        <w:t xml:space="preserve"> or libraries (e.g., TensorFlow, PyTorch, scikit-learn)</w:t>
      </w:r>
      <w:r w:rsidR="00A20C6D">
        <w:rPr>
          <w:rFonts w:ascii="Times New Roman" w:eastAsia="Times New Roman" w:hAnsi="Times New Roman" w:cs="Times New Roman"/>
          <w:sz w:val="16"/>
          <w:szCs w:val="16"/>
        </w:rPr>
        <w:t xml:space="preserve">; </w:t>
      </w:r>
      <w:r w:rsidR="00A20C6D" w:rsidRPr="00433F14">
        <w:rPr>
          <w:rFonts w:ascii="Times New Roman" w:eastAsia="Times New Roman" w:hAnsi="Times New Roman" w:cs="Times New Roman"/>
          <w:b/>
          <w:bCs/>
          <w:sz w:val="16"/>
          <w:szCs w:val="16"/>
        </w:rPr>
        <w:t>Indirect</w:t>
      </w:r>
      <w:r w:rsidR="00A20C6D" w:rsidRPr="00433F14">
        <w:rPr>
          <w:rFonts w:ascii="Times New Roman" w:eastAsia="Times New Roman" w:hAnsi="Times New Roman" w:cs="Times New Roman"/>
          <w:sz w:val="16"/>
          <w:szCs w:val="16"/>
        </w:rPr>
        <w:t xml:space="preserve"> = Firms disclose </w:t>
      </w:r>
      <w:r w:rsidR="00A20C6D" w:rsidRPr="00433F14">
        <w:rPr>
          <w:rFonts w:ascii="Times New Roman" w:eastAsia="Times New Roman" w:hAnsi="Times New Roman" w:cs="Times New Roman"/>
          <w:i/>
          <w:iCs/>
          <w:sz w:val="16"/>
          <w:szCs w:val="16"/>
        </w:rPr>
        <w:t>AI/automation adoption</w:t>
      </w:r>
      <w:r w:rsidR="00A20C6D" w:rsidRPr="00433F14">
        <w:rPr>
          <w:rFonts w:ascii="Times New Roman" w:eastAsia="Times New Roman" w:hAnsi="Times New Roman" w:cs="Times New Roman"/>
          <w:sz w:val="16"/>
          <w:szCs w:val="16"/>
        </w:rPr>
        <w:t xml:space="preserve"> but omit specific programming languages</w:t>
      </w:r>
      <w:r w:rsidR="00A20C6D">
        <w:rPr>
          <w:rFonts w:ascii="Times New Roman" w:eastAsia="Times New Roman" w:hAnsi="Times New Roman" w:cs="Times New Roman"/>
          <w:sz w:val="16"/>
          <w:szCs w:val="16"/>
        </w:rPr>
        <w:t xml:space="preserve">; </w:t>
      </w:r>
      <w:r w:rsidR="00A20C6D" w:rsidRPr="00433F14">
        <w:rPr>
          <w:rFonts w:ascii="Times New Roman" w:eastAsia="Times New Roman" w:hAnsi="Times New Roman" w:cs="Times New Roman"/>
          <w:i/>
          <w:iCs/>
          <w:sz w:val="16"/>
          <w:szCs w:val="16"/>
        </w:rPr>
        <w:t>Asterisks</w:t>
      </w:r>
      <w:r w:rsidR="00A20C6D" w:rsidRPr="00433F14">
        <w:rPr>
          <w:rFonts w:ascii="Times New Roman" w:eastAsia="Times New Roman" w:hAnsi="Times New Roman" w:cs="Times New Roman"/>
          <w:sz w:val="16"/>
          <w:szCs w:val="16"/>
        </w:rPr>
        <w:t xml:space="preserve"> mark firms delisted/merged but retained for historical disclosure relevance.</w:t>
      </w:r>
    </w:p>
    <w:p w14:paraId="441857FB" w14:textId="4DE3895E" w:rsidR="00A20C6D" w:rsidRPr="00FB10ED" w:rsidRDefault="0060708C" w:rsidP="00A20C6D">
      <w:pPr>
        <w:pBdr>
          <w:bottom w:val="single" w:sz="4" w:space="1" w:color="auto"/>
        </w:pBdr>
        <w:spacing w:before="100" w:beforeAutospacing="1" w:after="100" w:afterAutospacing="1" w:line="240" w:lineRule="auto"/>
        <w:rPr>
          <w:rFonts w:ascii="Times New Roman" w:eastAsia="Times New Roman" w:hAnsi="Times New Roman" w:cs="Times New Roman"/>
          <w:sz w:val="16"/>
          <w:szCs w:val="16"/>
        </w:rPr>
      </w:pPr>
      <w:r>
        <w:rPr>
          <w:rFonts w:ascii="Times New Roman" w:eastAsia="Times New Roman" w:hAnsi="Times New Roman" w:cs="Times New Roman"/>
          <w:b/>
          <w:bCs/>
          <w:sz w:val="16"/>
          <w:szCs w:val="16"/>
        </w:rPr>
        <w:lastRenderedPageBreak/>
        <w:t xml:space="preserve">Appendix </w:t>
      </w:r>
      <w:r w:rsidR="00A20C6D" w:rsidRPr="00FB10ED">
        <w:rPr>
          <w:rFonts w:ascii="Times New Roman" w:eastAsia="Times New Roman" w:hAnsi="Times New Roman" w:cs="Times New Roman"/>
          <w:b/>
          <w:bCs/>
          <w:sz w:val="16"/>
          <w:szCs w:val="16"/>
        </w:rPr>
        <w:t>Table 4</w:t>
      </w:r>
      <w:r w:rsidR="00A20C6D">
        <w:rPr>
          <w:rFonts w:ascii="Times New Roman" w:eastAsia="Times New Roman" w:hAnsi="Times New Roman" w:cs="Times New Roman"/>
          <w:b/>
          <w:bCs/>
          <w:sz w:val="16"/>
          <w:szCs w:val="16"/>
        </w:rPr>
        <w:t>A</w:t>
      </w:r>
      <w:r w:rsidR="00A20C6D" w:rsidRPr="00FB10ED">
        <w:rPr>
          <w:rFonts w:ascii="Times New Roman" w:eastAsia="Times New Roman" w:hAnsi="Times New Roman" w:cs="Times New Roman"/>
          <w:sz w:val="16"/>
          <w:szCs w:val="16"/>
        </w:rPr>
        <w:br/>
      </w:r>
      <w:r w:rsidR="00A20C6D" w:rsidRPr="00FB10ED">
        <w:rPr>
          <w:rFonts w:ascii="Times New Roman" w:eastAsia="Times New Roman" w:hAnsi="Times New Roman" w:cs="Times New Roman"/>
          <w:i/>
          <w:iCs/>
          <w:sz w:val="16"/>
          <w:szCs w:val="16"/>
        </w:rPr>
        <w:t>AI and Python Tool Adoption in NYSE Financial Institutions (N = 180)</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97"/>
        <w:gridCol w:w="2263"/>
        <w:gridCol w:w="3599"/>
        <w:gridCol w:w="2915"/>
        <w:gridCol w:w="2386"/>
      </w:tblGrid>
      <w:tr w:rsidR="00A20C6D" w:rsidRPr="00FB10ED" w14:paraId="3226164D" w14:textId="77777777" w:rsidTr="00D87668">
        <w:trPr>
          <w:tblHeader/>
          <w:tblCellSpacing w:w="15" w:type="dxa"/>
        </w:trPr>
        <w:tc>
          <w:tcPr>
            <w:tcW w:w="0" w:type="auto"/>
            <w:vAlign w:val="center"/>
            <w:hideMark/>
          </w:tcPr>
          <w:p w14:paraId="74F400F0" w14:textId="77777777" w:rsidR="00A20C6D" w:rsidRPr="00FB10ED" w:rsidRDefault="00A20C6D" w:rsidP="00D87668">
            <w:pPr>
              <w:spacing w:after="0" w:line="240" w:lineRule="auto"/>
              <w:jc w:val="center"/>
              <w:rPr>
                <w:rFonts w:ascii="Times New Roman" w:eastAsia="Times New Roman" w:hAnsi="Times New Roman" w:cs="Times New Roman"/>
                <w:b/>
                <w:bCs/>
                <w:sz w:val="16"/>
                <w:szCs w:val="16"/>
              </w:rPr>
            </w:pPr>
            <w:r w:rsidRPr="00FB10ED">
              <w:rPr>
                <w:rFonts w:ascii="Times New Roman" w:eastAsia="Times New Roman" w:hAnsi="Times New Roman" w:cs="Times New Roman"/>
                <w:b/>
                <w:bCs/>
                <w:sz w:val="16"/>
                <w:szCs w:val="16"/>
              </w:rPr>
              <w:t>Subsector</w:t>
            </w:r>
          </w:p>
        </w:tc>
        <w:tc>
          <w:tcPr>
            <w:tcW w:w="0" w:type="auto"/>
            <w:vAlign w:val="center"/>
            <w:hideMark/>
          </w:tcPr>
          <w:p w14:paraId="4FD4DF56" w14:textId="77777777" w:rsidR="00A20C6D" w:rsidRPr="00FB10ED" w:rsidRDefault="00A20C6D" w:rsidP="00D87668">
            <w:pPr>
              <w:spacing w:after="0" w:line="240" w:lineRule="auto"/>
              <w:jc w:val="center"/>
              <w:rPr>
                <w:rFonts w:ascii="Times New Roman" w:eastAsia="Times New Roman" w:hAnsi="Times New Roman" w:cs="Times New Roman"/>
                <w:b/>
                <w:bCs/>
                <w:sz w:val="16"/>
                <w:szCs w:val="16"/>
              </w:rPr>
            </w:pPr>
            <w:r w:rsidRPr="00FB10ED">
              <w:rPr>
                <w:rFonts w:ascii="Times New Roman" w:eastAsia="Times New Roman" w:hAnsi="Times New Roman" w:cs="Times New Roman"/>
                <w:b/>
                <w:bCs/>
                <w:sz w:val="16"/>
                <w:szCs w:val="16"/>
              </w:rPr>
              <w:t>Analytical Dimensions</w:t>
            </w:r>
          </w:p>
        </w:tc>
        <w:tc>
          <w:tcPr>
            <w:tcW w:w="0" w:type="auto"/>
            <w:vAlign w:val="center"/>
            <w:hideMark/>
          </w:tcPr>
          <w:p w14:paraId="3488D2AA" w14:textId="77777777" w:rsidR="00A20C6D" w:rsidRPr="00FB10ED" w:rsidRDefault="00A20C6D" w:rsidP="00D87668">
            <w:pPr>
              <w:spacing w:after="0" w:line="240" w:lineRule="auto"/>
              <w:jc w:val="center"/>
              <w:rPr>
                <w:rFonts w:ascii="Times New Roman" w:eastAsia="Times New Roman" w:hAnsi="Times New Roman" w:cs="Times New Roman"/>
                <w:b/>
                <w:bCs/>
                <w:sz w:val="16"/>
                <w:szCs w:val="16"/>
              </w:rPr>
            </w:pPr>
            <w:r w:rsidRPr="00FB10ED">
              <w:rPr>
                <w:rFonts w:ascii="Times New Roman" w:eastAsia="Times New Roman" w:hAnsi="Times New Roman" w:cs="Times New Roman"/>
                <w:b/>
                <w:bCs/>
                <w:sz w:val="16"/>
                <w:szCs w:val="16"/>
              </w:rPr>
              <w:t>AI Applications (Illustrative)</w:t>
            </w:r>
          </w:p>
        </w:tc>
        <w:tc>
          <w:tcPr>
            <w:tcW w:w="0" w:type="auto"/>
            <w:vAlign w:val="center"/>
            <w:hideMark/>
          </w:tcPr>
          <w:p w14:paraId="0006973B" w14:textId="77777777" w:rsidR="00A20C6D" w:rsidRPr="00FB10ED" w:rsidRDefault="00A20C6D" w:rsidP="00D87668">
            <w:pPr>
              <w:spacing w:after="0" w:line="240" w:lineRule="auto"/>
              <w:jc w:val="center"/>
              <w:rPr>
                <w:rFonts w:ascii="Times New Roman" w:eastAsia="Times New Roman" w:hAnsi="Times New Roman" w:cs="Times New Roman"/>
                <w:b/>
                <w:bCs/>
                <w:sz w:val="16"/>
                <w:szCs w:val="16"/>
              </w:rPr>
            </w:pPr>
            <w:r w:rsidRPr="00FB10ED">
              <w:rPr>
                <w:rFonts w:ascii="Times New Roman" w:eastAsia="Times New Roman" w:hAnsi="Times New Roman" w:cs="Times New Roman"/>
                <w:b/>
                <w:bCs/>
                <w:sz w:val="16"/>
                <w:szCs w:val="16"/>
              </w:rPr>
              <w:t>Python Tools / Libraries</w:t>
            </w:r>
          </w:p>
        </w:tc>
        <w:tc>
          <w:tcPr>
            <w:tcW w:w="0" w:type="auto"/>
            <w:vAlign w:val="center"/>
            <w:hideMark/>
          </w:tcPr>
          <w:p w14:paraId="17E47340" w14:textId="77777777" w:rsidR="00A20C6D" w:rsidRPr="00FB10ED" w:rsidRDefault="00A20C6D" w:rsidP="00D87668">
            <w:pPr>
              <w:spacing w:after="0" w:line="240" w:lineRule="auto"/>
              <w:jc w:val="center"/>
              <w:rPr>
                <w:rFonts w:ascii="Times New Roman" w:eastAsia="Times New Roman" w:hAnsi="Times New Roman" w:cs="Times New Roman"/>
                <w:b/>
                <w:bCs/>
                <w:sz w:val="16"/>
                <w:szCs w:val="16"/>
              </w:rPr>
            </w:pPr>
            <w:r w:rsidRPr="00FB10ED">
              <w:rPr>
                <w:rFonts w:ascii="Times New Roman" w:eastAsia="Times New Roman" w:hAnsi="Times New Roman" w:cs="Times New Roman"/>
                <w:b/>
                <w:bCs/>
                <w:sz w:val="16"/>
                <w:szCs w:val="16"/>
              </w:rPr>
              <w:t>Recording Sources</w:t>
            </w:r>
          </w:p>
        </w:tc>
      </w:tr>
      <w:tr w:rsidR="00A20C6D" w:rsidRPr="00FB10ED" w14:paraId="3C3D52C8" w14:textId="77777777" w:rsidTr="00D87668">
        <w:trPr>
          <w:tblCellSpacing w:w="15" w:type="dxa"/>
        </w:trPr>
        <w:tc>
          <w:tcPr>
            <w:tcW w:w="0" w:type="auto"/>
            <w:vAlign w:val="center"/>
            <w:hideMark/>
          </w:tcPr>
          <w:p w14:paraId="7A324401"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b/>
                <w:bCs/>
                <w:sz w:val="16"/>
                <w:szCs w:val="16"/>
              </w:rPr>
              <w:t>Diversified Banks (N = 4)</w:t>
            </w:r>
          </w:p>
        </w:tc>
        <w:tc>
          <w:tcPr>
            <w:tcW w:w="0" w:type="auto"/>
            <w:vAlign w:val="center"/>
            <w:hideMark/>
          </w:tcPr>
          <w:p w14:paraId="7567E5A7"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NLP; ML; DL; Probabilistic modeling; Optimization</w:t>
            </w:r>
          </w:p>
        </w:tc>
        <w:tc>
          <w:tcPr>
            <w:tcW w:w="0" w:type="auto"/>
            <w:vAlign w:val="center"/>
            <w:hideMark/>
          </w:tcPr>
          <w:p w14:paraId="2DE22B49"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Contract intelligence (</w:t>
            </w:r>
            <w:proofErr w:type="spellStart"/>
            <w:r w:rsidRPr="00FB10ED">
              <w:rPr>
                <w:rFonts w:ascii="Times New Roman" w:eastAsia="Times New Roman" w:hAnsi="Times New Roman" w:cs="Times New Roman"/>
                <w:sz w:val="16"/>
                <w:szCs w:val="16"/>
              </w:rPr>
              <w:t>COiN</w:t>
            </w:r>
            <w:proofErr w:type="spellEnd"/>
            <w:r w:rsidRPr="00FB10ED">
              <w:rPr>
                <w:rFonts w:ascii="Times New Roman" w:eastAsia="Times New Roman" w:hAnsi="Times New Roman" w:cs="Times New Roman"/>
                <w:sz w:val="16"/>
                <w:szCs w:val="16"/>
              </w:rPr>
              <w:t>, JPMorgan); digital assistants (Erica, Bank of America); KYC/AML monitoring; model risk analytics</w:t>
            </w:r>
          </w:p>
        </w:tc>
        <w:tc>
          <w:tcPr>
            <w:tcW w:w="0" w:type="auto"/>
            <w:vAlign w:val="center"/>
            <w:hideMark/>
          </w:tcPr>
          <w:p w14:paraId="58A34D7C"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pandas, NumPy, scikit-learn; spaCy, Transformers; TensorFlow, PyTorch</w:t>
            </w:r>
          </w:p>
        </w:tc>
        <w:tc>
          <w:tcPr>
            <w:tcW w:w="0" w:type="auto"/>
            <w:vAlign w:val="center"/>
            <w:hideMark/>
          </w:tcPr>
          <w:p w14:paraId="0BE07035"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10-K/10-Q filings; press releases; product microsites; job postings</w:t>
            </w:r>
          </w:p>
        </w:tc>
      </w:tr>
      <w:tr w:rsidR="00A20C6D" w:rsidRPr="00FB10ED" w14:paraId="6BB3BA7D" w14:textId="77777777" w:rsidTr="00D87668">
        <w:trPr>
          <w:tblCellSpacing w:w="15" w:type="dxa"/>
        </w:trPr>
        <w:tc>
          <w:tcPr>
            <w:tcW w:w="0" w:type="auto"/>
            <w:vAlign w:val="center"/>
            <w:hideMark/>
          </w:tcPr>
          <w:p w14:paraId="179D9EF8"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b/>
                <w:bCs/>
                <w:sz w:val="16"/>
                <w:szCs w:val="16"/>
              </w:rPr>
              <w:t>Regional Banks (N = 72)</w:t>
            </w:r>
          </w:p>
        </w:tc>
        <w:tc>
          <w:tcPr>
            <w:tcW w:w="0" w:type="auto"/>
            <w:vAlign w:val="center"/>
            <w:hideMark/>
          </w:tcPr>
          <w:p w14:paraId="14E8618B"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ML; Probabilistic modeling; Visualization (dashboards)</w:t>
            </w:r>
          </w:p>
        </w:tc>
        <w:tc>
          <w:tcPr>
            <w:tcW w:w="0" w:type="auto"/>
            <w:vAlign w:val="center"/>
            <w:hideMark/>
          </w:tcPr>
          <w:p w14:paraId="31F2D5FB"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Cash-flow forecasting (PNC, U.S. Bancorp); claims prediction; customer risk modeling; branch-level analytics</w:t>
            </w:r>
          </w:p>
        </w:tc>
        <w:tc>
          <w:tcPr>
            <w:tcW w:w="0" w:type="auto"/>
            <w:vAlign w:val="center"/>
            <w:hideMark/>
          </w:tcPr>
          <w:p w14:paraId="4C07D8C6"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XGBoost, LightGBM; scikit-learn; spaCy (limited)</w:t>
            </w:r>
          </w:p>
        </w:tc>
        <w:tc>
          <w:tcPr>
            <w:tcW w:w="0" w:type="auto"/>
            <w:vAlign w:val="center"/>
            <w:hideMark/>
          </w:tcPr>
          <w:p w14:paraId="6413EE8E"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Press releases; investor decks; vendor case studies</w:t>
            </w:r>
          </w:p>
        </w:tc>
      </w:tr>
      <w:tr w:rsidR="00A20C6D" w:rsidRPr="00FB10ED" w14:paraId="323758EA" w14:textId="77777777" w:rsidTr="00D87668">
        <w:trPr>
          <w:tblCellSpacing w:w="15" w:type="dxa"/>
        </w:trPr>
        <w:tc>
          <w:tcPr>
            <w:tcW w:w="0" w:type="auto"/>
            <w:vAlign w:val="center"/>
            <w:hideMark/>
          </w:tcPr>
          <w:p w14:paraId="690645BE"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b/>
                <w:bCs/>
                <w:sz w:val="16"/>
                <w:szCs w:val="16"/>
              </w:rPr>
              <w:t>Custody &amp; Asset Servicing (N = 8)</w:t>
            </w:r>
          </w:p>
        </w:tc>
        <w:tc>
          <w:tcPr>
            <w:tcW w:w="0" w:type="auto"/>
            <w:vAlign w:val="center"/>
            <w:hideMark/>
          </w:tcPr>
          <w:p w14:paraId="30AE7F70"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ML; NLP; Probabilistic modeling; Visualization</w:t>
            </w:r>
          </w:p>
        </w:tc>
        <w:tc>
          <w:tcPr>
            <w:tcW w:w="0" w:type="auto"/>
            <w:vAlign w:val="center"/>
            <w:hideMark/>
          </w:tcPr>
          <w:p w14:paraId="315BB75E"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 xml:space="preserve">Data Vault (BNY Mellon); Alpha Data Platform anomaly detection (State Street); </w:t>
            </w:r>
            <w:proofErr w:type="spellStart"/>
            <w:r w:rsidRPr="00FB10ED">
              <w:rPr>
                <w:rFonts w:ascii="Times New Roman" w:eastAsia="Times New Roman" w:hAnsi="Times New Roman" w:cs="Times New Roman"/>
                <w:sz w:val="16"/>
                <w:szCs w:val="16"/>
              </w:rPr>
              <w:t>OpsGPT</w:t>
            </w:r>
            <w:proofErr w:type="spellEnd"/>
            <w:r w:rsidRPr="00FB10ED">
              <w:rPr>
                <w:rFonts w:ascii="Times New Roman" w:eastAsia="Times New Roman" w:hAnsi="Times New Roman" w:cs="Times New Roman"/>
                <w:sz w:val="16"/>
                <w:szCs w:val="16"/>
              </w:rPr>
              <w:t xml:space="preserve"> copilots (Broadridge)</w:t>
            </w:r>
          </w:p>
        </w:tc>
        <w:tc>
          <w:tcPr>
            <w:tcW w:w="0" w:type="auto"/>
            <w:vAlign w:val="center"/>
            <w:hideMark/>
          </w:tcPr>
          <w:p w14:paraId="26965629"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pandas; scikit-learn; PyOD; LLM copilots</w:t>
            </w:r>
          </w:p>
        </w:tc>
        <w:tc>
          <w:tcPr>
            <w:tcW w:w="0" w:type="auto"/>
            <w:vAlign w:val="center"/>
            <w:hideMark/>
          </w:tcPr>
          <w:p w14:paraId="70742188"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Custodian/vendor press; cloud partner case studies; product briefs</w:t>
            </w:r>
          </w:p>
        </w:tc>
      </w:tr>
      <w:tr w:rsidR="00A20C6D" w:rsidRPr="00FB10ED" w14:paraId="45633CA6" w14:textId="77777777" w:rsidTr="00D87668">
        <w:trPr>
          <w:tblCellSpacing w:w="15" w:type="dxa"/>
        </w:trPr>
        <w:tc>
          <w:tcPr>
            <w:tcW w:w="0" w:type="auto"/>
            <w:vAlign w:val="center"/>
            <w:hideMark/>
          </w:tcPr>
          <w:p w14:paraId="105AE240"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b/>
                <w:bCs/>
                <w:sz w:val="16"/>
                <w:szCs w:val="16"/>
              </w:rPr>
              <w:t>Investment Banks &amp; Capital Markets (N = 13)</w:t>
            </w:r>
          </w:p>
        </w:tc>
        <w:tc>
          <w:tcPr>
            <w:tcW w:w="0" w:type="auto"/>
            <w:vAlign w:val="center"/>
            <w:hideMark/>
          </w:tcPr>
          <w:p w14:paraId="09A6718B"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ML; DL; RL (trading optimization); Probabilistic modeling; Optimization</w:t>
            </w:r>
          </w:p>
        </w:tc>
        <w:tc>
          <w:tcPr>
            <w:tcW w:w="0" w:type="auto"/>
            <w:vAlign w:val="center"/>
            <w:hideMark/>
          </w:tcPr>
          <w:p w14:paraId="515E8F20"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GS Quant toolkit (Goldman Sachs); Next-Best-Action advisor ML (Morgan Stanley); derivatives pricing &amp; stress testing</w:t>
            </w:r>
          </w:p>
        </w:tc>
        <w:tc>
          <w:tcPr>
            <w:tcW w:w="0" w:type="auto"/>
            <w:vAlign w:val="center"/>
            <w:hideMark/>
          </w:tcPr>
          <w:p w14:paraId="33A5B038"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NumPy, pandas, scikit-learn; XGBoost; TensorFlow, PyTorch; GS Quant (proprietary)</w:t>
            </w:r>
          </w:p>
        </w:tc>
        <w:tc>
          <w:tcPr>
            <w:tcW w:w="0" w:type="auto"/>
            <w:vAlign w:val="center"/>
            <w:hideMark/>
          </w:tcPr>
          <w:p w14:paraId="766615E7"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Developer portals; investor day materials; product documentation</w:t>
            </w:r>
          </w:p>
        </w:tc>
      </w:tr>
      <w:tr w:rsidR="00A20C6D" w:rsidRPr="00FB10ED" w14:paraId="480822FD" w14:textId="77777777" w:rsidTr="00D87668">
        <w:trPr>
          <w:tblCellSpacing w:w="15" w:type="dxa"/>
        </w:trPr>
        <w:tc>
          <w:tcPr>
            <w:tcW w:w="0" w:type="auto"/>
            <w:vAlign w:val="center"/>
            <w:hideMark/>
          </w:tcPr>
          <w:p w14:paraId="0B1A7E5B"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b/>
                <w:bCs/>
                <w:sz w:val="16"/>
                <w:szCs w:val="16"/>
              </w:rPr>
              <w:t>Asset Managers &amp; Alternatives (N = 28)</w:t>
            </w:r>
          </w:p>
        </w:tc>
        <w:tc>
          <w:tcPr>
            <w:tcW w:w="0" w:type="auto"/>
            <w:vAlign w:val="center"/>
            <w:hideMark/>
          </w:tcPr>
          <w:p w14:paraId="126E1891"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NLP; ML; DL; Probabilistic modeling; Optimization; Visualization</w:t>
            </w:r>
          </w:p>
        </w:tc>
        <w:tc>
          <w:tcPr>
            <w:tcW w:w="0" w:type="auto"/>
            <w:vAlign w:val="center"/>
            <w:hideMark/>
          </w:tcPr>
          <w:p w14:paraId="24B12C4C"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Aladdin SDK (BlackRock); ESG text analysis (Invesco, T. Rowe Price); private credit ML models (Apollo, Carlyle)</w:t>
            </w:r>
          </w:p>
        </w:tc>
        <w:tc>
          <w:tcPr>
            <w:tcW w:w="0" w:type="auto"/>
            <w:vAlign w:val="center"/>
            <w:hideMark/>
          </w:tcPr>
          <w:p w14:paraId="3BFD2D3C"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Aladdin SDK (Python); scikit-learn, XGBoost, LightGBM; spaCy, Transformers; PyTorch, TensorFlow</w:t>
            </w:r>
          </w:p>
        </w:tc>
        <w:tc>
          <w:tcPr>
            <w:tcW w:w="0" w:type="auto"/>
            <w:vAlign w:val="center"/>
            <w:hideMark/>
          </w:tcPr>
          <w:p w14:paraId="7ABD3787"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Platform sites; SDK docs; investor materials; job postings</w:t>
            </w:r>
          </w:p>
        </w:tc>
      </w:tr>
      <w:tr w:rsidR="00A20C6D" w:rsidRPr="00FB10ED" w14:paraId="39452CF6" w14:textId="77777777" w:rsidTr="00D87668">
        <w:trPr>
          <w:tblCellSpacing w:w="15" w:type="dxa"/>
        </w:trPr>
        <w:tc>
          <w:tcPr>
            <w:tcW w:w="0" w:type="auto"/>
            <w:vAlign w:val="center"/>
            <w:hideMark/>
          </w:tcPr>
          <w:p w14:paraId="7B3321F1"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b/>
                <w:bCs/>
                <w:sz w:val="16"/>
                <w:szCs w:val="16"/>
              </w:rPr>
              <w:t xml:space="preserve">Insurance &amp; </w:t>
            </w:r>
            <w:proofErr w:type="spellStart"/>
            <w:r w:rsidRPr="00FB10ED">
              <w:rPr>
                <w:rFonts w:ascii="Times New Roman" w:eastAsia="Times New Roman" w:hAnsi="Times New Roman" w:cs="Times New Roman"/>
                <w:b/>
                <w:bCs/>
                <w:sz w:val="16"/>
                <w:szCs w:val="16"/>
              </w:rPr>
              <w:t>InsurTech</w:t>
            </w:r>
            <w:proofErr w:type="spellEnd"/>
            <w:r w:rsidRPr="00FB10ED">
              <w:rPr>
                <w:rFonts w:ascii="Times New Roman" w:eastAsia="Times New Roman" w:hAnsi="Times New Roman" w:cs="Times New Roman"/>
                <w:b/>
                <w:bCs/>
                <w:sz w:val="16"/>
                <w:szCs w:val="16"/>
              </w:rPr>
              <w:t xml:space="preserve"> (N = 40)</w:t>
            </w:r>
          </w:p>
        </w:tc>
        <w:tc>
          <w:tcPr>
            <w:tcW w:w="0" w:type="auto"/>
            <w:vAlign w:val="center"/>
            <w:hideMark/>
          </w:tcPr>
          <w:p w14:paraId="73AA192D"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NLP; ML; DL; Probabilistic modeling</w:t>
            </w:r>
          </w:p>
        </w:tc>
        <w:tc>
          <w:tcPr>
            <w:tcW w:w="0" w:type="auto"/>
            <w:vAlign w:val="center"/>
            <w:hideMark/>
          </w:tcPr>
          <w:p w14:paraId="5F94D2A6"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Automated claims (Lemonade); smartphone telematics (Root); GPT-assisted ops (Oscar Health); catastrophe risk (</w:t>
            </w:r>
            <w:proofErr w:type="spellStart"/>
            <w:r w:rsidRPr="00FB10ED">
              <w:rPr>
                <w:rFonts w:ascii="Times New Roman" w:eastAsia="Times New Roman" w:hAnsi="Times New Roman" w:cs="Times New Roman"/>
                <w:sz w:val="16"/>
                <w:szCs w:val="16"/>
              </w:rPr>
              <w:t>RenaissanceRe</w:t>
            </w:r>
            <w:proofErr w:type="spellEnd"/>
            <w:r w:rsidRPr="00FB10ED">
              <w:rPr>
                <w:rFonts w:ascii="Times New Roman" w:eastAsia="Times New Roman" w:hAnsi="Times New Roman" w:cs="Times New Roman"/>
                <w:sz w:val="16"/>
                <w:szCs w:val="16"/>
              </w:rPr>
              <w:t>)</w:t>
            </w:r>
          </w:p>
        </w:tc>
        <w:tc>
          <w:tcPr>
            <w:tcW w:w="0" w:type="auto"/>
            <w:vAlign w:val="center"/>
            <w:hideMark/>
          </w:tcPr>
          <w:p w14:paraId="6B621B85" w14:textId="77777777" w:rsidR="00A20C6D" w:rsidRPr="00FB10ED" w:rsidRDefault="00A20C6D" w:rsidP="00D87668">
            <w:pPr>
              <w:spacing w:after="0" w:line="240" w:lineRule="auto"/>
              <w:rPr>
                <w:rFonts w:ascii="Times New Roman" w:eastAsia="Times New Roman" w:hAnsi="Times New Roman" w:cs="Times New Roman"/>
                <w:sz w:val="16"/>
                <w:szCs w:val="16"/>
              </w:rPr>
            </w:pPr>
            <w:proofErr w:type="spellStart"/>
            <w:r w:rsidRPr="00FB10ED">
              <w:rPr>
                <w:rFonts w:ascii="Times New Roman" w:eastAsia="Times New Roman" w:hAnsi="Times New Roman" w:cs="Times New Roman"/>
                <w:sz w:val="16"/>
                <w:szCs w:val="16"/>
              </w:rPr>
              <w:t>XGBoost</w:t>
            </w:r>
            <w:proofErr w:type="spellEnd"/>
            <w:r w:rsidRPr="00FB10ED">
              <w:rPr>
                <w:rFonts w:ascii="Times New Roman" w:eastAsia="Times New Roman" w:hAnsi="Times New Roman" w:cs="Times New Roman"/>
                <w:sz w:val="16"/>
                <w:szCs w:val="16"/>
              </w:rPr>
              <w:t xml:space="preserve">, </w:t>
            </w:r>
            <w:proofErr w:type="spellStart"/>
            <w:r w:rsidRPr="00FB10ED">
              <w:rPr>
                <w:rFonts w:ascii="Times New Roman" w:eastAsia="Times New Roman" w:hAnsi="Times New Roman" w:cs="Times New Roman"/>
                <w:sz w:val="16"/>
                <w:szCs w:val="16"/>
              </w:rPr>
              <w:t>LightGBM</w:t>
            </w:r>
            <w:proofErr w:type="spellEnd"/>
            <w:r w:rsidRPr="00FB10ED">
              <w:rPr>
                <w:rFonts w:ascii="Times New Roman" w:eastAsia="Times New Roman" w:hAnsi="Times New Roman" w:cs="Times New Roman"/>
                <w:sz w:val="16"/>
                <w:szCs w:val="16"/>
              </w:rPr>
              <w:t xml:space="preserve">; TensorFlow, </w:t>
            </w:r>
            <w:proofErr w:type="spellStart"/>
            <w:r w:rsidRPr="00FB10ED">
              <w:rPr>
                <w:rFonts w:ascii="Times New Roman" w:eastAsia="Times New Roman" w:hAnsi="Times New Roman" w:cs="Times New Roman"/>
                <w:sz w:val="16"/>
                <w:szCs w:val="16"/>
              </w:rPr>
              <w:t>Keras</w:t>
            </w:r>
            <w:proofErr w:type="spellEnd"/>
            <w:r w:rsidRPr="00FB10ED">
              <w:rPr>
                <w:rFonts w:ascii="Times New Roman" w:eastAsia="Times New Roman" w:hAnsi="Times New Roman" w:cs="Times New Roman"/>
                <w:sz w:val="16"/>
                <w:szCs w:val="16"/>
              </w:rPr>
              <w:t xml:space="preserve">; </w:t>
            </w:r>
            <w:proofErr w:type="spellStart"/>
            <w:r w:rsidRPr="00FB10ED">
              <w:rPr>
                <w:rFonts w:ascii="Times New Roman" w:eastAsia="Times New Roman" w:hAnsi="Times New Roman" w:cs="Times New Roman"/>
                <w:sz w:val="16"/>
                <w:szCs w:val="16"/>
              </w:rPr>
              <w:t>PyTorch</w:t>
            </w:r>
            <w:proofErr w:type="spellEnd"/>
            <w:r w:rsidRPr="00FB10ED">
              <w:rPr>
                <w:rFonts w:ascii="Times New Roman" w:eastAsia="Times New Roman" w:hAnsi="Times New Roman" w:cs="Times New Roman"/>
                <w:sz w:val="16"/>
                <w:szCs w:val="16"/>
              </w:rPr>
              <w:t>; Transformers (GPT/BERT)</w:t>
            </w:r>
          </w:p>
        </w:tc>
        <w:tc>
          <w:tcPr>
            <w:tcW w:w="0" w:type="auto"/>
            <w:vAlign w:val="center"/>
            <w:hideMark/>
          </w:tcPr>
          <w:p w14:paraId="2DC6A8C4"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Newsroom posts; engineering blogs; actuarial filings; regulatory reports</w:t>
            </w:r>
          </w:p>
        </w:tc>
      </w:tr>
      <w:tr w:rsidR="00A20C6D" w:rsidRPr="00FB10ED" w14:paraId="3D6D2913" w14:textId="77777777" w:rsidTr="00D87668">
        <w:trPr>
          <w:tblCellSpacing w:w="15" w:type="dxa"/>
        </w:trPr>
        <w:tc>
          <w:tcPr>
            <w:tcW w:w="0" w:type="auto"/>
            <w:vAlign w:val="center"/>
            <w:hideMark/>
          </w:tcPr>
          <w:p w14:paraId="2DDAB754"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b/>
                <w:bCs/>
                <w:sz w:val="16"/>
                <w:szCs w:val="16"/>
              </w:rPr>
              <w:t>Payments &amp; Consumer Finance (N = 12)</w:t>
            </w:r>
          </w:p>
        </w:tc>
        <w:tc>
          <w:tcPr>
            <w:tcW w:w="0" w:type="auto"/>
            <w:vAlign w:val="center"/>
            <w:hideMark/>
          </w:tcPr>
          <w:p w14:paraId="3AB7E2D0"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ML; DL; NLP; Probabilistic modeling; Visualization</w:t>
            </w:r>
          </w:p>
        </w:tc>
        <w:tc>
          <w:tcPr>
            <w:tcW w:w="0" w:type="auto"/>
            <w:vAlign w:val="center"/>
            <w:hideMark/>
          </w:tcPr>
          <w:p w14:paraId="3B852279"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VAAI Score fraud detection (Visa); Decision Intelligence (Mastercard); scam detection (PayPal, Block); chargeback prediction</w:t>
            </w:r>
          </w:p>
        </w:tc>
        <w:tc>
          <w:tcPr>
            <w:tcW w:w="0" w:type="auto"/>
            <w:vAlign w:val="center"/>
            <w:hideMark/>
          </w:tcPr>
          <w:p w14:paraId="7D885EC9"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XGBoost, LightGBM; TensorFlow, PyTorch; graph ML (PyTorch Geometric, NetworkX)</w:t>
            </w:r>
          </w:p>
        </w:tc>
        <w:tc>
          <w:tcPr>
            <w:tcW w:w="0" w:type="auto"/>
            <w:vAlign w:val="center"/>
            <w:hideMark/>
          </w:tcPr>
          <w:p w14:paraId="73A93542"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Product fact sheets; developer portals; risk blogs; press releases</w:t>
            </w:r>
          </w:p>
        </w:tc>
      </w:tr>
      <w:tr w:rsidR="00A20C6D" w:rsidRPr="00FB10ED" w14:paraId="1B3454AE" w14:textId="77777777" w:rsidTr="00D87668">
        <w:trPr>
          <w:tblCellSpacing w:w="15" w:type="dxa"/>
        </w:trPr>
        <w:tc>
          <w:tcPr>
            <w:tcW w:w="0" w:type="auto"/>
            <w:tcBorders>
              <w:bottom w:val="single" w:sz="4" w:space="0" w:color="auto"/>
            </w:tcBorders>
            <w:vAlign w:val="center"/>
            <w:hideMark/>
          </w:tcPr>
          <w:p w14:paraId="1FCDA0BC"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b/>
                <w:bCs/>
                <w:sz w:val="16"/>
                <w:szCs w:val="16"/>
              </w:rPr>
              <w:t>Market Infrastructure &amp; Data (N = 8)</w:t>
            </w:r>
          </w:p>
        </w:tc>
        <w:tc>
          <w:tcPr>
            <w:tcW w:w="0" w:type="auto"/>
            <w:tcBorders>
              <w:bottom w:val="single" w:sz="4" w:space="0" w:color="auto"/>
            </w:tcBorders>
            <w:vAlign w:val="center"/>
            <w:hideMark/>
          </w:tcPr>
          <w:p w14:paraId="2E9C162D"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NLP; ML; DL; Probabilistic modeling; Optimization; Visualization</w:t>
            </w:r>
          </w:p>
        </w:tc>
        <w:tc>
          <w:tcPr>
            <w:tcW w:w="0" w:type="auto"/>
            <w:tcBorders>
              <w:bottom w:val="single" w:sz="4" w:space="0" w:color="auto"/>
            </w:tcBorders>
            <w:vAlign w:val="center"/>
            <w:hideMark/>
          </w:tcPr>
          <w:p w14:paraId="350B99EF"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SMARTS surveillance (Nasdaq); Kensho NLP (S&amp;P Global); ESG indexing (MSCI, Morningstar); index rebalancing</w:t>
            </w:r>
          </w:p>
        </w:tc>
        <w:tc>
          <w:tcPr>
            <w:tcW w:w="0" w:type="auto"/>
            <w:tcBorders>
              <w:bottom w:val="single" w:sz="4" w:space="0" w:color="auto"/>
            </w:tcBorders>
            <w:vAlign w:val="center"/>
            <w:hideMark/>
          </w:tcPr>
          <w:p w14:paraId="191D3AA5"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spaCy, Transformers; scikit-learn, XGBoost; TensorFlow, PyTorch; APIs/SDKs</w:t>
            </w:r>
          </w:p>
        </w:tc>
        <w:tc>
          <w:tcPr>
            <w:tcW w:w="0" w:type="auto"/>
            <w:tcBorders>
              <w:bottom w:val="single" w:sz="4" w:space="0" w:color="auto"/>
            </w:tcBorders>
            <w:vAlign w:val="center"/>
            <w:hideMark/>
          </w:tcPr>
          <w:p w14:paraId="115F9719" w14:textId="77777777" w:rsidR="00A20C6D" w:rsidRPr="00FB10ED" w:rsidRDefault="00A20C6D" w:rsidP="00D87668">
            <w:pPr>
              <w:spacing w:after="0"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sz w:val="16"/>
                <w:szCs w:val="16"/>
              </w:rPr>
              <w:t>Exchange/vendor press; developer docs; cloud case studies</w:t>
            </w:r>
          </w:p>
        </w:tc>
      </w:tr>
    </w:tbl>
    <w:p w14:paraId="41A14C56" w14:textId="77777777" w:rsidR="00A20C6D" w:rsidRPr="00FB10ED" w:rsidRDefault="00A20C6D" w:rsidP="00A20C6D">
      <w:pPr>
        <w:spacing w:before="100" w:beforeAutospacing="1" w:after="100" w:afterAutospacing="1" w:line="240" w:lineRule="auto"/>
        <w:rPr>
          <w:rFonts w:ascii="Times New Roman" w:eastAsia="Times New Roman" w:hAnsi="Times New Roman" w:cs="Times New Roman"/>
          <w:sz w:val="16"/>
          <w:szCs w:val="16"/>
        </w:rPr>
      </w:pPr>
      <w:r w:rsidRPr="00FB10ED">
        <w:rPr>
          <w:rFonts w:ascii="Times New Roman" w:eastAsia="Times New Roman" w:hAnsi="Times New Roman" w:cs="Times New Roman"/>
          <w:b/>
          <w:bCs/>
          <w:sz w:val="16"/>
          <w:szCs w:val="16"/>
        </w:rPr>
        <w:t>Note.</w:t>
      </w:r>
      <w:r w:rsidRPr="00FB10ED">
        <w:rPr>
          <w:rFonts w:ascii="Times New Roman" w:eastAsia="Times New Roman" w:hAnsi="Times New Roman" w:cs="Times New Roman"/>
          <w:sz w:val="16"/>
          <w:szCs w:val="16"/>
        </w:rPr>
        <w:t xml:space="preserve"> </w:t>
      </w:r>
      <w:r w:rsidRPr="00FB10ED">
        <w:rPr>
          <w:rFonts w:ascii="Times New Roman" w:eastAsia="Times New Roman" w:hAnsi="Times New Roman" w:cs="Times New Roman"/>
          <w:i/>
          <w:iCs/>
          <w:sz w:val="16"/>
          <w:szCs w:val="16"/>
        </w:rPr>
        <w:t>Analytical dimensions include: natural language processing (NLP), machine learning (ML), deep learning (DL), reinforcement learning (RL), probabilistic modeling, optimization, and visualization. Each subsector demonstrates distinctive combinations of these dimensions, as illustrated in the applications and toolkits listed. Recording sources reflect the most common evidence bases used in this study.</w:t>
      </w:r>
    </w:p>
    <w:p w14:paraId="63FA50C3" w14:textId="77777777" w:rsidR="00A20C6D" w:rsidRPr="00320AA7" w:rsidRDefault="00A20C6D" w:rsidP="00A20C6D">
      <w:pPr>
        <w:rPr>
          <w:sz w:val="16"/>
          <w:szCs w:val="16"/>
        </w:rPr>
      </w:pPr>
    </w:p>
    <w:p w14:paraId="14F93AA9" w14:textId="77777777" w:rsidR="00A20C6D" w:rsidRPr="00320AA7" w:rsidRDefault="00A20C6D" w:rsidP="00A20C6D">
      <w:pPr>
        <w:rPr>
          <w:sz w:val="16"/>
          <w:szCs w:val="16"/>
        </w:rPr>
      </w:pPr>
    </w:p>
    <w:p w14:paraId="3EF119E2" w14:textId="77777777" w:rsidR="00A20C6D" w:rsidRDefault="00A20C6D" w:rsidP="00A20C6D">
      <w:pPr>
        <w:spacing w:before="100" w:beforeAutospacing="1" w:after="100" w:afterAutospacing="1" w:line="240" w:lineRule="auto"/>
        <w:rPr>
          <w:sz w:val="16"/>
          <w:szCs w:val="16"/>
        </w:rPr>
      </w:pPr>
    </w:p>
    <w:p w14:paraId="6A9F30A6" w14:textId="77777777" w:rsidR="00D61BF1" w:rsidRDefault="00D61BF1" w:rsidP="00A20C6D">
      <w:pPr>
        <w:spacing w:before="100" w:beforeAutospacing="1" w:after="100" w:afterAutospacing="1" w:line="240" w:lineRule="auto"/>
        <w:rPr>
          <w:rFonts w:ascii="Times New Roman" w:eastAsia="Times New Roman" w:hAnsi="Times New Roman" w:cs="Times New Roman"/>
          <w:i/>
          <w:iCs/>
        </w:rPr>
      </w:pPr>
    </w:p>
    <w:p w14:paraId="427AD6D5" w14:textId="0739DDF3" w:rsidR="00A20C6D" w:rsidRPr="007D5685" w:rsidRDefault="0060708C" w:rsidP="00A20C6D">
      <w:pPr>
        <w:spacing w:before="100" w:beforeAutospacing="1" w:after="100" w:afterAutospacing="1" w:line="240" w:lineRule="auto"/>
        <w:outlineLvl w:val="0"/>
        <w:rPr>
          <w:rFonts w:ascii="Times New Roman" w:eastAsia="Times New Roman" w:hAnsi="Times New Roman" w:cs="Times New Roman"/>
          <w:b/>
          <w:bCs/>
          <w:kern w:val="36"/>
          <w:sz w:val="16"/>
          <w:szCs w:val="16"/>
        </w:rPr>
      </w:pPr>
      <w:r>
        <w:rPr>
          <w:rFonts w:ascii="Times New Roman" w:eastAsia="Times New Roman" w:hAnsi="Times New Roman" w:cs="Times New Roman"/>
          <w:b/>
          <w:bCs/>
          <w:kern w:val="36"/>
          <w:sz w:val="16"/>
          <w:szCs w:val="16"/>
        </w:rPr>
        <w:lastRenderedPageBreak/>
        <w:t xml:space="preserve">Appendix </w:t>
      </w:r>
      <w:r w:rsidR="00A20C6D" w:rsidRPr="007D5685">
        <w:rPr>
          <w:rFonts w:ascii="Times New Roman" w:eastAsia="Times New Roman" w:hAnsi="Times New Roman" w:cs="Times New Roman"/>
          <w:b/>
          <w:bCs/>
          <w:kern w:val="36"/>
          <w:sz w:val="16"/>
          <w:szCs w:val="16"/>
        </w:rPr>
        <w:t>Table 4</w:t>
      </w:r>
      <w:r w:rsidR="00A20C6D">
        <w:rPr>
          <w:rFonts w:ascii="Times New Roman" w:eastAsia="Times New Roman" w:hAnsi="Times New Roman" w:cs="Times New Roman"/>
          <w:b/>
          <w:bCs/>
          <w:kern w:val="36"/>
          <w:sz w:val="16"/>
          <w:szCs w:val="16"/>
        </w:rPr>
        <w:t>B</w:t>
      </w:r>
    </w:p>
    <w:p w14:paraId="7D907A26" w14:textId="77777777" w:rsidR="00A20C6D" w:rsidRPr="007D5685" w:rsidRDefault="00A20C6D" w:rsidP="00A20C6D">
      <w:pPr>
        <w:pBdr>
          <w:bottom w:val="single" w:sz="4" w:space="1" w:color="auto"/>
        </w:pBdr>
        <w:spacing w:before="100" w:beforeAutospacing="1" w:after="100" w:afterAutospacing="1"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i/>
          <w:iCs/>
          <w:sz w:val="16"/>
          <w:szCs w:val="16"/>
        </w:rPr>
        <w:t>Comparative Adoption of Python Libraries by Subsector (N = 180)</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77"/>
        <w:gridCol w:w="5033"/>
        <w:gridCol w:w="5950"/>
      </w:tblGrid>
      <w:tr w:rsidR="00A20C6D" w:rsidRPr="007D5685" w14:paraId="575B95A8" w14:textId="77777777" w:rsidTr="00D87668">
        <w:trPr>
          <w:tblHeader/>
          <w:tblCellSpacing w:w="15" w:type="dxa"/>
        </w:trPr>
        <w:tc>
          <w:tcPr>
            <w:tcW w:w="0" w:type="auto"/>
            <w:vAlign w:val="center"/>
            <w:hideMark/>
          </w:tcPr>
          <w:p w14:paraId="2AAAFCAA" w14:textId="77777777" w:rsidR="00A20C6D" w:rsidRPr="007D5685" w:rsidRDefault="00A20C6D" w:rsidP="00D87668">
            <w:pPr>
              <w:spacing w:after="0" w:line="240" w:lineRule="auto"/>
              <w:jc w:val="center"/>
              <w:rPr>
                <w:rFonts w:ascii="Times New Roman" w:eastAsia="Times New Roman" w:hAnsi="Times New Roman" w:cs="Times New Roman"/>
                <w:b/>
                <w:bCs/>
                <w:sz w:val="16"/>
                <w:szCs w:val="16"/>
              </w:rPr>
            </w:pPr>
            <w:r w:rsidRPr="007D5685">
              <w:rPr>
                <w:rFonts w:ascii="Times New Roman" w:eastAsia="Times New Roman" w:hAnsi="Times New Roman" w:cs="Times New Roman"/>
                <w:b/>
                <w:bCs/>
                <w:sz w:val="16"/>
                <w:szCs w:val="16"/>
              </w:rPr>
              <w:t>Subsector (N)</w:t>
            </w:r>
          </w:p>
        </w:tc>
        <w:tc>
          <w:tcPr>
            <w:tcW w:w="0" w:type="auto"/>
            <w:vAlign w:val="center"/>
            <w:hideMark/>
          </w:tcPr>
          <w:p w14:paraId="7CABDF25" w14:textId="77777777" w:rsidR="00A20C6D" w:rsidRPr="007D5685" w:rsidRDefault="00A20C6D" w:rsidP="00D87668">
            <w:pPr>
              <w:spacing w:after="0" w:line="240" w:lineRule="auto"/>
              <w:jc w:val="center"/>
              <w:rPr>
                <w:rFonts w:ascii="Times New Roman" w:eastAsia="Times New Roman" w:hAnsi="Times New Roman" w:cs="Times New Roman"/>
                <w:b/>
                <w:bCs/>
                <w:sz w:val="16"/>
                <w:szCs w:val="16"/>
              </w:rPr>
            </w:pPr>
            <w:r w:rsidRPr="007D5685">
              <w:rPr>
                <w:rFonts w:ascii="Times New Roman" w:eastAsia="Times New Roman" w:hAnsi="Times New Roman" w:cs="Times New Roman"/>
                <w:b/>
                <w:bCs/>
                <w:sz w:val="16"/>
                <w:szCs w:val="16"/>
              </w:rPr>
              <w:t>Dominant Python libraries / frameworks</w:t>
            </w:r>
          </w:p>
        </w:tc>
        <w:tc>
          <w:tcPr>
            <w:tcW w:w="0" w:type="auto"/>
            <w:vAlign w:val="center"/>
            <w:hideMark/>
          </w:tcPr>
          <w:p w14:paraId="689C8307" w14:textId="77777777" w:rsidR="00A20C6D" w:rsidRPr="007D5685" w:rsidRDefault="00A20C6D" w:rsidP="00D87668">
            <w:pPr>
              <w:spacing w:after="0" w:line="240" w:lineRule="auto"/>
              <w:jc w:val="center"/>
              <w:rPr>
                <w:rFonts w:ascii="Times New Roman" w:eastAsia="Times New Roman" w:hAnsi="Times New Roman" w:cs="Times New Roman"/>
                <w:b/>
                <w:bCs/>
                <w:sz w:val="16"/>
                <w:szCs w:val="16"/>
              </w:rPr>
            </w:pPr>
            <w:r w:rsidRPr="007D5685">
              <w:rPr>
                <w:rFonts w:ascii="Times New Roman" w:eastAsia="Times New Roman" w:hAnsi="Times New Roman" w:cs="Times New Roman"/>
                <w:b/>
                <w:bCs/>
                <w:sz w:val="16"/>
                <w:szCs w:val="16"/>
              </w:rPr>
              <w:t>Illustrative company deployments</w:t>
            </w:r>
          </w:p>
        </w:tc>
      </w:tr>
      <w:tr w:rsidR="00A20C6D" w:rsidRPr="007D5685" w14:paraId="324B8D35" w14:textId="77777777" w:rsidTr="00D87668">
        <w:trPr>
          <w:tblCellSpacing w:w="15" w:type="dxa"/>
        </w:trPr>
        <w:tc>
          <w:tcPr>
            <w:tcW w:w="0" w:type="auto"/>
            <w:vAlign w:val="center"/>
            <w:hideMark/>
          </w:tcPr>
          <w:p w14:paraId="6F89405F"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Diversified Banks (4)</w:t>
            </w:r>
          </w:p>
        </w:tc>
        <w:tc>
          <w:tcPr>
            <w:tcW w:w="0" w:type="auto"/>
            <w:vAlign w:val="center"/>
            <w:hideMark/>
          </w:tcPr>
          <w:p w14:paraId="7F775D64"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spaCy</w:t>
            </w:r>
            <w:r w:rsidRPr="007D5685">
              <w:rPr>
                <w:rFonts w:ascii="Times New Roman" w:eastAsia="Times New Roman" w:hAnsi="Times New Roman" w:cs="Times New Roman"/>
                <w:sz w:val="16"/>
                <w:szCs w:val="16"/>
              </w:rPr>
              <w:t xml:space="preserve">, </w:t>
            </w:r>
            <w:r w:rsidRPr="007D5685">
              <w:rPr>
                <w:rFonts w:ascii="Times New Roman" w:eastAsia="Times New Roman" w:hAnsi="Times New Roman" w:cs="Times New Roman"/>
                <w:b/>
                <w:bCs/>
                <w:sz w:val="16"/>
                <w:szCs w:val="16"/>
              </w:rPr>
              <w:t>Transformers</w:t>
            </w:r>
            <w:r w:rsidRPr="007D5685">
              <w:rPr>
                <w:rFonts w:ascii="Times New Roman" w:eastAsia="Times New Roman" w:hAnsi="Times New Roman" w:cs="Times New Roman"/>
                <w:sz w:val="16"/>
                <w:szCs w:val="16"/>
              </w:rPr>
              <w:t xml:space="preserve"> (NLP); </w:t>
            </w:r>
            <w:r w:rsidRPr="007D5685">
              <w:rPr>
                <w:rFonts w:ascii="Times New Roman" w:eastAsia="Times New Roman" w:hAnsi="Times New Roman" w:cs="Times New Roman"/>
                <w:b/>
                <w:bCs/>
                <w:sz w:val="16"/>
                <w:szCs w:val="16"/>
              </w:rPr>
              <w:t>TensorFlow</w:t>
            </w:r>
            <w:r w:rsidRPr="007D5685">
              <w:rPr>
                <w:rFonts w:ascii="Times New Roman" w:eastAsia="Times New Roman" w:hAnsi="Times New Roman" w:cs="Times New Roman"/>
                <w:sz w:val="16"/>
                <w:szCs w:val="16"/>
              </w:rPr>
              <w:t xml:space="preserve">, </w:t>
            </w:r>
            <w:r w:rsidRPr="007D5685">
              <w:rPr>
                <w:rFonts w:ascii="Times New Roman" w:eastAsia="Times New Roman" w:hAnsi="Times New Roman" w:cs="Times New Roman"/>
                <w:b/>
                <w:bCs/>
                <w:sz w:val="16"/>
                <w:szCs w:val="16"/>
              </w:rPr>
              <w:t>PyTorch</w:t>
            </w:r>
            <w:r w:rsidRPr="007D5685">
              <w:rPr>
                <w:rFonts w:ascii="Times New Roman" w:eastAsia="Times New Roman" w:hAnsi="Times New Roman" w:cs="Times New Roman"/>
                <w:sz w:val="16"/>
                <w:szCs w:val="16"/>
              </w:rPr>
              <w:t xml:space="preserve"> (deep learning); </w:t>
            </w:r>
            <w:r w:rsidRPr="007D5685">
              <w:rPr>
                <w:rFonts w:ascii="Times New Roman" w:eastAsia="Times New Roman" w:hAnsi="Times New Roman" w:cs="Times New Roman"/>
                <w:b/>
                <w:bCs/>
                <w:sz w:val="16"/>
                <w:szCs w:val="16"/>
              </w:rPr>
              <w:t>pandas</w:t>
            </w:r>
            <w:r w:rsidRPr="007D5685">
              <w:rPr>
                <w:rFonts w:ascii="Times New Roman" w:eastAsia="Times New Roman" w:hAnsi="Times New Roman" w:cs="Times New Roman"/>
                <w:sz w:val="16"/>
                <w:szCs w:val="16"/>
              </w:rPr>
              <w:t xml:space="preserve">, </w:t>
            </w:r>
            <w:r w:rsidRPr="007D5685">
              <w:rPr>
                <w:rFonts w:ascii="Times New Roman" w:eastAsia="Times New Roman" w:hAnsi="Times New Roman" w:cs="Times New Roman"/>
                <w:b/>
                <w:bCs/>
                <w:sz w:val="16"/>
                <w:szCs w:val="16"/>
              </w:rPr>
              <w:t>NumPy</w:t>
            </w:r>
            <w:r w:rsidRPr="007D5685">
              <w:rPr>
                <w:rFonts w:ascii="Times New Roman" w:eastAsia="Times New Roman" w:hAnsi="Times New Roman" w:cs="Times New Roman"/>
                <w:sz w:val="16"/>
                <w:szCs w:val="16"/>
              </w:rPr>
              <w:t xml:space="preserve">, </w:t>
            </w:r>
            <w:r w:rsidRPr="007D5685">
              <w:rPr>
                <w:rFonts w:ascii="Times New Roman" w:eastAsia="Times New Roman" w:hAnsi="Times New Roman" w:cs="Times New Roman"/>
                <w:b/>
                <w:bCs/>
                <w:sz w:val="16"/>
                <w:szCs w:val="16"/>
              </w:rPr>
              <w:t>scikit-learn</w:t>
            </w:r>
            <w:r w:rsidRPr="007D5685">
              <w:rPr>
                <w:rFonts w:ascii="Times New Roman" w:eastAsia="Times New Roman" w:hAnsi="Times New Roman" w:cs="Times New Roman"/>
                <w:sz w:val="16"/>
                <w:szCs w:val="16"/>
              </w:rPr>
              <w:t xml:space="preserve"> (core analytics)</w:t>
            </w:r>
          </w:p>
        </w:tc>
        <w:tc>
          <w:tcPr>
            <w:tcW w:w="0" w:type="auto"/>
            <w:vAlign w:val="center"/>
            <w:hideMark/>
          </w:tcPr>
          <w:p w14:paraId="2146C04A"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JPMorgan Chase</w:t>
            </w:r>
            <w:r w:rsidRPr="007D5685">
              <w:rPr>
                <w:rFonts w:ascii="Times New Roman" w:eastAsia="Times New Roman" w:hAnsi="Times New Roman" w:cs="Times New Roman"/>
                <w:sz w:val="16"/>
                <w:szCs w:val="16"/>
              </w:rPr>
              <w:t xml:space="preserve">: </w:t>
            </w:r>
            <w:proofErr w:type="spellStart"/>
            <w:r w:rsidRPr="007D5685">
              <w:rPr>
                <w:rFonts w:ascii="Times New Roman" w:eastAsia="Times New Roman" w:hAnsi="Times New Roman" w:cs="Times New Roman"/>
                <w:sz w:val="16"/>
                <w:szCs w:val="16"/>
              </w:rPr>
              <w:t>COiN</w:t>
            </w:r>
            <w:proofErr w:type="spellEnd"/>
            <w:r w:rsidRPr="007D5685">
              <w:rPr>
                <w:rFonts w:ascii="Times New Roman" w:eastAsia="Times New Roman" w:hAnsi="Times New Roman" w:cs="Times New Roman"/>
                <w:sz w:val="16"/>
                <w:szCs w:val="16"/>
              </w:rPr>
              <w:t xml:space="preserve"> contract intelligence (NLP-based clause extraction); </w:t>
            </w:r>
            <w:r w:rsidRPr="007D5685">
              <w:rPr>
                <w:rFonts w:ascii="Times New Roman" w:eastAsia="Times New Roman" w:hAnsi="Times New Roman" w:cs="Times New Roman"/>
                <w:b/>
                <w:bCs/>
                <w:sz w:val="16"/>
                <w:szCs w:val="16"/>
              </w:rPr>
              <w:t>Bank of America</w:t>
            </w:r>
            <w:r w:rsidRPr="007D5685">
              <w:rPr>
                <w:rFonts w:ascii="Times New Roman" w:eastAsia="Times New Roman" w:hAnsi="Times New Roman" w:cs="Times New Roman"/>
                <w:sz w:val="16"/>
                <w:szCs w:val="16"/>
              </w:rPr>
              <w:t>: Erica virtual assistant (NLP and conversational AI)</w:t>
            </w:r>
          </w:p>
        </w:tc>
      </w:tr>
      <w:tr w:rsidR="00A20C6D" w:rsidRPr="007D5685" w14:paraId="2A0B3FFB" w14:textId="77777777" w:rsidTr="00D87668">
        <w:trPr>
          <w:tblCellSpacing w:w="15" w:type="dxa"/>
        </w:trPr>
        <w:tc>
          <w:tcPr>
            <w:tcW w:w="0" w:type="auto"/>
            <w:vAlign w:val="center"/>
            <w:hideMark/>
          </w:tcPr>
          <w:p w14:paraId="1774F82F"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Regional Banks (72)</w:t>
            </w:r>
          </w:p>
        </w:tc>
        <w:tc>
          <w:tcPr>
            <w:tcW w:w="0" w:type="auto"/>
            <w:vAlign w:val="center"/>
            <w:hideMark/>
          </w:tcPr>
          <w:p w14:paraId="7D61D2F3"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XGBoost</w:t>
            </w:r>
            <w:r w:rsidRPr="007D5685">
              <w:rPr>
                <w:rFonts w:ascii="Times New Roman" w:eastAsia="Times New Roman" w:hAnsi="Times New Roman" w:cs="Times New Roman"/>
                <w:sz w:val="16"/>
                <w:szCs w:val="16"/>
              </w:rPr>
              <w:t xml:space="preserve">, </w:t>
            </w:r>
            <w:r w:rsidRPr="007D5685">
              <w:rPr>
                <w:rFonts w:ascii="Times New Roman" w:eastAsia="Times New Roman" w:hAnsi="Times New Roman" w:cs="Times New Roman"/>
                <w:b/>
                <w:bCs/>
                <w:sz w:val="16"/>
                <w:szCs w:val="16"/>
              </w:rPr>
              <w:t>LightGBM</w:t>
            </w:r>
            <w:r w:rsidRPr="007D5685">
              <w:rPr>
                <w:rFonts w:ascii="Times New Roman" w:eastAsia="Times New Roman" w:hAnsi="Times New Roman" w:cs="Times New Roman"/>
                <w:sz w:val="16"/>
                <w:szCs w:val="16"/>
              </w:rPr>
              <w:t xml:space="preserve"> (forecasting, credit models); </w:t>
            </w:r>
            <w:r w:rsidRPr="007D5685">
              <w:rPr>
                <w:rFonts w:ascii="Times New Roman" w:eastAsia="Times New Roman" w:hAnsi="Times New Roman" w:cs="Times New Roman"/>
                <w:b/>
                <w:bCs/>
                <w:sz w:val="16"/>
                <w:szCs w:val="16"/>
              </w:rPr>
              <w:t>scikit-learn</w:t>
            </w:r>
            <w:r w:rsidRPr="007D5685">
              <w:rPr>
                <w:rFonts w:ascii="Times New Roman" w:eastAsia="Times New Roman" w:hAnsi="Times New Roman" w:cs="Times New Roman"/>
                <w:sz w:val="16"/>
                <w:szCs w:val="16"/>
              </w:rPr>
              <w:t xml:space="preserve"> (classification); </w:t>
            </w:r>
            <w:r w:rsidRPr="007D5685">
              <w:rPr>
                <w:rFonts w:ascii="Times New Roman" w:eastAsia="Times New Roman" w:hAnsi="Times New Roman" w:cs="Times New Roman"/>
                <w:b/>
                <w:bCs/>
                <w:sz w:val="16"/>
                <w:szCs w:val="16"/>
              </w:rPr>
              <w:t>spaCy</w:t>
            </w:r>
            <w:r w:rsidRPr="007D5685">
              <w:rPr>
                <w:rFonts w:ascii="Times New Roman" w:eastAsia="Times New Roman" w:hAnsi="Times New Roman" w:cs="Times New Roman"/>
                <w:sz w:val="16"/>
                <w:szCs w:val="16"/>
              </w:rPr>
              <w:t xml:space="preserve"> (claims text)</w:t>
            </w:r>
          </w:p>
        </w:tc>
        <w:tc>
          <w:tcPr>
            <w:tcW w:w="0" w:type="auto"/>
            <w:vAlign w:val="center"/>
            <w:hideMark/>
          </w:tcPr>
          <w:p w14:paraId="2CE6B71B"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PNC</w:t>
            </w:r>
            <w:r w:rsidRPr="007D5685">
              <w:rPr>
                <w:rFonts w:ascii="Times New Roman" w:eastAsia="Times New Roman" w:hAnsi="Times New Roman" w:cs="Times New Roman"/>
                <w:sz w:val="16"/>
                <w:szCs w:val="16"/>
              </w:rPr>
              <w:t xml:space="preserve">: PINACLE cash forecasting and healthcare Claim Predictor; </w:t>
            </w:r>
            <w:r w:rsidRPr="007D5685">
              <w:rPr>
                <w:rFonts w:ascii="Times New Roman" w:eastAsia="Times New Roman" w:hAnsi="Times New Roman" w:cs="Times New Roman"/>
                <w:b/>
                <w:bCs/>
                <w:sz w:val="16"/>
                <w:szCs w:val="16"/>
              </w:rPr>
              <w:t>U.S. Bancorp</w:t>
            </w:r>
            <w:r w:rsidRPr="007D5685">
              <w:rPr>
                <w:rFonts w:ascii="Times New Roman" w:eastAsia="Times New Roman" w:hAnsi="Times New Roman" w:cs="Times New Roman"/>
                <w:sz w:val="16"/>
                <w:szCs w:val="16"/>
              </w:rPr>
              <w:t>: Azure AI modernization and fraud detection systems</w:t>
            </w:r>
          </w:p>
        </w:tc>
      </w:tr>
      <w:tr w:rsidR="00A20C6D" w:rsidRPr="007D5685" w14:paraId="35523357" w14:textId="77777777" w:rsidTr="00D87668">
        <w:trPr>
          <w:tblCellSpacing w:w="15" w:type="dxa"/>
        </w:trPr>
        <w:tc>
          <w:tcPr>
            <w:tcW w:w="0" w:type="auto"/>
            <w:vAlign w:val="center"/>
            <w:hideMark/>
          </w:tcPr>
          <w:p w14:paraId="0CA24A5E"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Custody &amp; Asset Servicing (8)</w:t>
            </w:r>
          </w:p>
        </w:tc>
        <w:tc>
          <w:tcPr>
            <w:tcW w:w="0" w:type="auto"/>
            <w:vAlign w:val="center"/>
            <w:hideMark/>
          </w:tcPr>
          <w:p w14:paraId="490BA4E1"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scikit-learn</w:t>
            </w:r>
            <w:r w:rsidRPr="007D5685">
              <w:rPr>
                <w:rFonts w:ascii="Times New Roman" w:eastAsia="Times New Roman" w:hAnsi="Times New Roman" w:cs="Times New Roman"/>
                <w:sz w:val="16"/>
                <w:szCs w:val="16"/>
              </w:rPr>
              <w:t xml:space="preserve"> (anomaly detection); </w:t>
            </w:r>
            <w:r w:rsidRPr="007D5685">
              <w:rPr>
                <w:rFonts w:ascii="Times New Roman" w:eastAsia="Times New Roman" w:hAnsi="Times New Roman" w:cs="Times New Roman"/>
                <w:b/>
                <w:bCs/>
                <w:sz w:val="16"/>
                <w:szCs w:val="16"/>
              </w:rPr>
              <w:t>PyOD</w:t>
            </w:r>
            <w:r w:rsidRPr="007D5685">
              <w:rPr>
                <w:rFonts w:ascii="Times New Roman" w:eastAsia="Times New Roman" w:hAnsi="Times New Roman" w:cs="Times New Roman"/>
                <w:sz w:val="16"/>
                <w:szCs w:val="16"/>
              </w:rPr>
              <w:t xml:space="preserve"> (outlier detection); </w:t>
            </w:r>
            <w:r w:rsidRPr="007D5685">
              <w:rPr>
                <w:rFonts w:ascii="Times New Roman" w:eastAsia="Times New Roman" w:hAnsi="Times New Roman" w:cs="Times New Roman"/>
                <w:b/>
                <w:bCs/>
                <w:sz w:val="16"/>
                <w:szCs w:val="16"/>
              </w:rPr>
              <w:t>pandas</w:t>
            </w:r>
            <w:r w:rsidRPr="007D5685">
              <w:rPr>
                <w:rFonts w:ascii="Times New Roman" w:eastAsia="Times New Roman" w:hAnsi="Times New Roman" w:cs="Times New Roman"/>
                <w:sz w:val="16"/>
                <w:szCs w:val="16"/>
              </w:rPr>
              <w:t xml:space="preserve"> (ETL); </w:t>
            </w:r>
            <w:r w:rsidRPr="007D5685">
              <w:rPr>
                <w:rFonts w:ascii="Times New Roman" w:eastAsia="Times New Roman" w:hAnsi="Times New Roman" w:cs="Times New Roman"/>
                <w:b/>
                <w:bCs/>
                <w:sz w:val="16"/>
                <w:szCs w:val="16"/>
              </w:rPr>
              <w:t>Transformers</w:t>
            </w:r>
            <w:r w:rsidRPr="007D5685">
              <w:rPr>
                <w:rFonts w:ascii="Times New Roman" w:eastAsia="Times New Roman" w:hAnsi="Times New Roman" w:cs="Times New Roman"/>
                <w:sz w:val="16"/>
                <w:szCs w:val="16"/>
              </w:rPr>
              <w:t xml:space="preserve"> (NLQ copilots)</w:t>
            </w:r>
          </w:p>
        </w:tc>
        <w:tc>
          <w:tcPr>
            <w:tcW w:w="0" w:type="auto"/>
            <w:vAlign w:val="center"/>
            <w:hideMark/>
          </w:tcPr>
          <w:p w14:paraId="5EC1366F"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BNY Mellon</w:t>
            </w:r>
            <w:r w:rsidRPr="007D5685">
              <w:rPr>
                <w:rFonts w:ascii="Times New Roman" w:eastAsia="Times New Roman" w:hAnsi="Times New Roman" w:cs="Times New Roman"/>
                <w:sz w:val="16"/>
                <w:szCs w:val="16"/>
              </w:rPr>
              <w:t xml:space="preserve">: Data Vault for AI-enabled data quality; </w:t>
            </w:r>
            <w:r w:rsidRPr="007D5685">
              <w:rPr>
                <w:rFonts w:ascii="Times New Roman" w:eastAsia="Times New Roman" w:hAnsi="Times New Roman" w:cs="Times New Roman"/>
                <w:b/>
                <w:bCs/>
                <w:sz w:val="16"/>
                <w:szCs w:val="16"/>
              </w:rPr>
              <w:t>State Street</w:t>
            </w:r>
            <w:r w:rsidRPr="007D5685">
              <w:rPr>
                <w:rFonts w:ascii="Times New Roman" w:eastAsia="Times New Roman" w:hAnsi="Times New Roman" w:cs="Times New Roman"/>
                <w:sz w:val="16"/>
                <w:szCs w:val="16"/>
              </w:rPr>
              <w:t xml:space="preserve">: Alpha Data Platform with anomaly detection; </w:t>
            </w:r>
            <w:r w:rsidRPr="007D5685">
              <w:rPr>
                <w:rFonts w:ascii="Times New Roman" w:eastAsia="Times New Roman" w:hAnsi="Times New Roman" w:cs="Times New Roman"/>
                <w:b/>
                <w:bCs/>
                <w:sz w:val="16"/>
                <w:szCs w:val="16"/>
              </w:rPr>
              <w:t>Broadridge</w:t>
            </w:r>
            <w:r w:rsidRPr="007D5685">
              <w:rPr>
                <w:rFonts w:ascii="Times New Roman" w:eastAsia="Times New Roman" w:hAnsi="Times New Roman" w:cs="Times New Roman"/>
                <w:sz w:val="16"/>
                <w:szCs w:val="16"/>
              </w:rPr>
              <w:t xml:space="preserve">: </w:t>
            </w:r>
            <w:proofErr w:type="spellStart"/>
            <w:r w:rsidRPr="007D5685">
              <w:rPr>
                <w:rFonts w:ascii="Times New Roman" w:eastAsia="Times New Roman" w:hAnsi="Times New Roman" w:cs="Times New Roman"/>
                <w:sz w:val="16"/>
                <w:szCs w:val="16"/>
              </w:rPr>
              <w:t>OpsGPT</w:t>
            </w:r>
            <w:proofErr w:type="spellEnd"/>
            <w:r w:rsidRPr="007D5685">
              <w:rPr>
                <w:rFonts w:ascii="Times New Roman" w:eastAsia="Times New Roman" w:hAnsi="Times New Roman" w:cs="Times New Roman"/>
                <w:sz w:val="16"/>
                <w:szCs w:val="16"/>
              </w:rPr>
              <w:t xml:space="preserve"> for post-trade analytics</w:t>
            </w:r>
          </w:p>
        </w:tc>
      </w:tr>
      <w:tr w:rsidR="00A20C6D" w:rsidRPr="007D5685" w14:paraId="2E3D3CF9" w14:textId="77777777" w:rsidTr="00D87668">
        <w:trPr>
          <w:tblCellSpacing w:w="15" w:type="dxa"/>
        </w:trPr>
        <w:tc>
          <w:tcPr>
            <w:tcW w:w="0" w:type="auto"/>
            <w:vAlign w:val="center"/>
            <w:hideMark/>
          </w:tcPr>
          <w:p w14:paraId="2D88637A"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Investment Banks &amp; Capital Markets (13)</w:t>
            </w:r>
          </w:p>
        </w:tc>
        <w:tc>
          <w:tcPr>
            <w:tcW w:w="0" w:type="auto"/>
            <w:vAlign w:val="center"/>
            <w:hideMark/>
          </w:tcPr>
          <w:p w14:paraId="645D151C"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GS Quant</w:t>
            </w:r>
            <w:r w:rsidRPr="007D5685">
              <w:rPr>
                <w:rFonts w:ascii="Times New Roman" w:eastAsia="Times New Roman" w:hAnsi="Times New Roman" w:cs="Times New Roman"/>
                <w:sz w:val="16"/>
                <w:szCs w:val="16"/>
              </w:rPr>
              <w:t xml:space="preserve"> (proprietary Python library); </w:t>
            </w:r>
            <w:r w:rsidRPr="007D5685">
              <w:rPr>
                <w:rFonts w:ascii="Times New Roman" w:eastAsia="Times New Roman" w:hAnsi="Times New Roman" w:cs="Times New Roman"/>
                <w:b/>
                <w:bCs/>
                <w:sz w:val="16"/>
                <w:szCs w:val="16"/>
              </w:rPr>
              <w:t>NumPy</w:t>
            </w:r>
            <w:r w:rsidRPr="007D5685">
              <w:rPr>
                <w:rFonts w:ascii="Times New Roman" w:eastAsia="Times New Roman" w:hAnsi="Times New Roman" w:cs="Times New Roman"/>
                <w:sz w:val="16"/>
                <w:szCs w:val="16"/>
              </w:rPr>
              <w:t xml:space="preserve">, </w:t>
            </w:r>
            <w:r w:rsidRPr="007D5685">
              <w:rPr>
                <w:rFonts w:ascii="Times New Roman" w:eastAsia="Times New Roman" w:hAnsi="Times New Roman" w:cs="Times New Roman"/>
                <w:b/>
                <w:bCs/>
                <w:sz w:val="16"/>
                <w:szCs w:val="16"/>
              </w:rPr>
              <w:t>pandas</w:t>
            </w:r>
            <w:r w:rsidRPr="007D5685">
              <w:rPr>
                <w:rFonts w:ascii="Times New Roman" w:eastAsia="Times New Roman" w:hAnsi="Times New Roman" w:cs="Times New Roman"/>
                <w:sz w:val="16"/>
                <w:szCs w:val="16"/>
              </w:rPr>
              <w:t xml:space="preserve">, </w:t>
            </w:r>
            <w:r w:rsidRPr="007D5685">
              <w:rPr>
                <w:rFonts w:ascii="Times New Roman" w:eastAsia="Times New Roman" w:hAnsi="Times New Roman" w:cs="Times New Roman"/>
                <w:b/>
                <w:bCs/>
                <w:sz w:val="16"/>
                <w:szCs w:val="16"/>
              </w:rPr>
              <w:t>scikit-learn</w:t>
            </w:r>
            <w:r w:rsidRPr="007D5685">
              <w:rPr>
                <w:rFonts w:ascii="Times New Roman" w:eastAsia="Times New Roman" w:hAnsi="Times New Roman" w:cs="Times New Roman"/>
                <w:sz w:val="16"/>
                <w:szCs w:val="16"/>
              </w:rPr>
              <w:t xml:space="preserve">; </w:t>
            </w:r>
            <w:r w:rsidRPr="007D5685">
              <w:rPr>
                <w:rFonts w:ascii="Times New Roman" w:eastAsia="Times New Roman" w:hAnsi="Times New Roman" w:cs="Times New Roman"/>
                <w:b/>
                <w:bCs/>
                <w:sz w:val="16"/>
                <w:szCs w:val="16"/>
              </w:rPr>
              <w:t>XGBoost</w:t>
            </w:r>
            <w:r w:rsidRPr="007D5685">
              <w:rPr>
                <w:rFonts w:ascii="Times New Roman" w:eastAsia="Times New Roman" w:hAnsi="Times New Roman" w:cs="Times New Roman"/>
                <w:sz w:val="16"/>
                <w:szCs w:val="16"/>
              </w:rPr>
              <w:t xml:space="preserve"> (risk/pricing); </w:t>
            </w:r>
            <w:r w:rsidRPr="007D5685">
              <w:rPr>
                <w:rFonts w:ascii="Times New Roman" w:eastAsia="Times New Roman" w:hAnsi="Times New Roman" w:cs="Times New Roman"/>
                <w:b/>
                <w:bCs/>
                <w:sz w:val="16"/>
                <w:szCs w:val="16"/>
              </w:rPr>
              <w:t>TensorFlow</w:t>
            </w:r>
            <w:r w:rsidRPr="007D5685">
              <w:rPr>
                <w:rFonts w:ascii="Times New Roman" w:eastAsia="Times New Roman" w:hAnsi="Times New Roman" w:cs="Times New Roman"/>
                <w:sz w:val="16"/>
                <w:szCs w:val="16"/>
              </w:rPr>
              <w:t xml:space="preserve">, </w:t>
            </w:r>
            <w:r w:rsidRPr="007D5685">
              <w:rPr>
                <w:rFonts w:ascii="Times New Roman" w:eastAsia="Times New Roman" w:hAnsi="Times New Roman" w:cs="Times New Roman"/>
                <w:b/>
                <w:bCs/>
                <w:sz w:val="16"/>
                <w:szCs w:val="16"/>
              </w:rPr>
              <w:t>PyTorch</w:t>
            </w:r>
            <w:r w:rsidRPr="007D5685">
              <w:rPr>
                <w:rFonts w:ascii="Times New Roman" w:eastAsia="Times New Roman" w:hAnsi="Times New Roman" w:cs="Times New Roman"/>
                <w:sz w:val="16"/>
                <w:szCs w:val="16"/>
              </w:rPr>
              <w:t xml:space="preserve"> (deep models)</w:t>
            </w:r>
          </w:p>
        </w:tc>
        <w:tc>
          <w:tcPr>
            <w:tcW w:w="0" w:type="auto"/>
            <w:vAlign w:val="center"/>
            <w:hideMark/>
          </w:tcPr>
          <w:p w14:paraId="61FFD28C"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Goldman Sachs</w:t>
            </w:r>
            <w:r w:rsidRPr="007D5685">
              <w:rPr>
                <w:rFonts w:ascii="Times New Roman" w:eastAsia="Times New Roman" w:hAnsi="Times New Roman" w:cs="Times New Roman"/>
                <w:sz w:val="16"/>
                <w:szCs w:val="16"/>
              </w:rPr>
              <w:t xml:space="preserve">: GS Quant and Marquee APIs; </w:t>
            </w:r>
            <w:r w:rsidRPr="007D5685">
              <w:rPr>
                <w:rFonts w:ascii="Times New Roman" w:eastAsia="Times New Roman" w:hAnsi="Times New Roman" w:cs="Times New Roman"/>
                <w:b/>
                <w:bCs/>
                <w:sz w:val="16"/>
                <w:szCs w:val="16"/>
              </w:rPr>
              <w:t>Morgan Stanley</w:t>
            </w:r>
            <w:r w:rsidRPr="007D5685">
              <w:rPr>
                <w:rFonts w:ascii="Times New Roman" w:eastAsia="Times New Roman" w:hAnsi="Times New Roman" w:cs="Times New Roman"/>
                <w:sz w:val="16"/>
                <w:szCs w:val="16"/>
              </w:rPr>
              <w:t>: ML-driven Next Best Action for advisors</w:t>
            </w:r>
          </w:p>
        </w:tc>
      </w:tr>
      <w:tr w:rsidR="00A20C6D" w:rsidRPr="007D5685" w14:paraId="654B24C7" w14:textId="77777777" w:rsidTr="00D87668">
        <w:trPr>
          <w:tblCellSpacing w:w="15" w:type="dxa"/>
        </w:trPr>
        <w:tc>
          <w:tcPr>
            <w:tcW w:w="0" w:type="auto"/>
            <w:vAlign w:val="center"/>
            <w:hideMark/>
          </w:tcPr>
          <w:p w14:paraId="7E58D673"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Asset Managers &amp; Alternatives (28)</w:t>
            </w:r>
          </w:p>
        </w:tc>
        <w:tc>
          <w:tcPr>
            <w:tcW w:w="0" w:type="auto"/>
            <w:vAlign w:val="center"/>
            <w:hideMark/>
          </w:tcPr>
          <w:p w14:paraId="3127EA3F"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Aladdin SDK</w:t>
            </w:r>
            <w:r w:rsidRPr="007D5685">
              <w:rPr>
                <w:rFonts w:ascii="Times New Roman" w:eastAsia="Times New Roman" w:hAnsi="Times New Roman" w:cs="Times New Roman"/>
                <w:sz w:val="16"/>
                <w:szCs w:val="16"/>
              </w:rPr>
              <w:t xml:space="preserve"> (Python integration); </w:t>
            </w:r>
            <w:r w:rsidRPr="007D5685">
              <w:rPr>
                <w:rFonts w:ascii="Times New Roman" w:eastAsia="Times New Roman" w:hAnsi="Times New Roman" w:cs="Times New Roman"/>
                <w:b/>
                <w:bCs/>
                <w:sz w:val="16"/>
                <w:szCs w:val="16"/>
              </w:rPr>
              <w:t>XGBoost</w:t>
            </w:r>
            <w:r w:rsidRPr="007D5685">
              <w:rPr>
                <w:rFonts w:ascii="Times New Roman" w:eastAsia="Times New Roman" w:hAnsi="Times New Roman" w:cs="Times New Roman"/>
                <w:sz w:val="16"/>
                <w:szCs w:val="16"/>
              </w:rPr>
              <w:t xml:space="preserve">, </w:t>
            </w:r>
            <w:r w:rsidRPr="007D5685">
              <w:rPr>
                <w:rFonts w:ascii="Times New Roman" w:eastAsia="Times New Roman" w:hAnsi="Times New Roman" w:cs="Times New Roman"/>
                <w:b/>
                <w:bCs/>
                <w:sz w:val="16"/>
                <w:szCs w:val="16"/>
              </w:rPr>
              <w:t>LightGBM</w:t>
            </w:r>
            <w:r w:rsidRPr="007D5685">
              <w:rPr>
                <w:rFonts w:ascii="Times New Roman" w:eastAsia="Times New Roman" w:hAnsi="Times New Roman" w:cs="Times New Roman"/>
                <w:sz w:val="16"/>
                <w:szCs w:val="16"/>
              </w:rPr>
              <w:t xml:space="preserve"> (portfolio alpha); </w:t>
            </w:r>
            <w:r w:rsidRPr="007D5685">
              <w:rPr>
                <w:rFonts w:ascii="Times New Roman" w:eastAsia="Times New Roman" w:hAnsi="Times New Roman" w:cs="Times New Roman"/>
                <w:b/>
                <w:bCs/>
                <w:sz w:val="16"/>
                <w:szCs w:val="16"/>
              </w:rPr>
              <w:t>spaCy</w:t>
            </w:r>
            <w:r w:rsidRPr="007D5685">
              <w:rPr>
                <w:rFonts w:ascii="Times New Roman" w:eastAsia="Times New Roman" w:hAnsi="Times New Roman" w:cs="Times New Roman"/>
                <w:sz w:val="16"/>
                <w:szCs w:val="16"/>
              </w:rPr>
              <w:t xml:space="preserve">, </w:t>
            </w:r>
            <w:r w:rsidRPr="007D5685">
              <w:rPr>
                <w:rFonts w:ascii="Times New Roman" w:eastAsia="Times New Roman" w:hAnsi="Times New Roman" w:cs="Times New Roman"/>
                <w:b/>
                <w:bCs/>
                <w:sz w:val="16"/>
                <w:szCs w:val="16"/>
              </w:rPr>
              <w:t>Transformers</w:t>
            </w:r>
            <w:r w:rsidRPr="007D5685">
              <w:rPr>
                <w:rFonts w:ascii="Times New Roman" w:eastAsia="Times New Roman" w:hAnsi="Times New Roman" w:cs="Times New Roman"/>
                <w:sz w:val="16"/>
                <w:szCs w:val="16"/>
              </w:rPr>
              <w:t xml:space="preserve"> (ESG/NLP); </w:t>
            </w:r>
            <w:r w:rsidRPr="007D5685">
              <w:rPr>
                <w:rFonts w:ascii="Times New Roman" w:eastAsia="Times New Roman" w:hAnsi="Times New Roman" w:cs="Times New Roman"/>
                <w:b/>
                <w:bCs/>
                <w:sz w:val="16"/>
                <w:szCs w:val="16"/>
              </w:rPr>
              <w:t>PyTorch</w:t>
            </w:r>
            <w:r w:rsidRPr="007D5685">
              <w:rPr>
                <w:rFonts w:ascii="Times New Roman" w:eastAsia="Times New Roman" w:hAnsi="Times New Roman" w:cs="Times New Roman"/>
                <w:sz w:val="16"/>
                <w:szCs w:val="16"/>
              </w:rPr>
              <w:t xml:space="preserve">, </w:t>
            </w:r>
            <w:r w:rsidRPr="007D5685">
              <w:rPr>
                <w:rFonts w:ascii="Times New Roman" w:eastAsia="Times New Roman" w:hAnsi="Times New Roman" w:cs="Times New Roman"/>
                <w:b/>
                <w:bCs/>
                <w:sz w:val="16"/>
                <w:szCs w:val="16"/>
              </w:rPr>
              <w:t>TensorFlow</w:t>
            </w:r>
            <w:r w:rsidRPr="007D5685">
              <w:rPr>
                <w:rFonts w:ascii="Times New Roman" w:eastAsia="Times New Roman" w:hAnsi="Times New Roman" w:cs="Times New Roman"/>
                <w:sz w:val="16"/>
                <w:szCs w:val="16"/>
              </w:rPr>
              <w:t xml:space="preserve"> (deep learning)</w:t>
            </w:r>
          </w:p>
        </w:tc>
        <w:tc>
          <w:tcPr>
            <w:tcW w:w="0" w:type="auto"/>
            <w:vAlign w:val="center"/>
            <w:hideMark/>
          </w:tcPr>
          <w:p w14:paraId="63523F16"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BlackRock</w:t>
            </w:r>
            <w:r w:rsidRPr="007D5685">
              <w:rPr>
                <w:rFonts w:ascii="Times New Roman" w:eastAsia="Times New Roman" w:hAnsi="Times New Roman" w:cs="Times New Roman"/>
                <w:sz w:val="16"/>
                <w:szCs w:val="16"/>
              </w:rPr>
              <w:t xml:space="preserve">: Aladdin SDK with Python APIs; </w:t>
            </w:r>
            <w:r w:rsidRPr="007D5685">
              <w:rPr>
                <w:rFonts w:ascii="Times New Roman" w:eastAsia="Times New Roman" w:hAnsi="Times New Roman" w:cs="Times New Roman"/>
                <w:b/>
                <w:bCs/>
                <w:sz w:val="16"/>
                <w:szCs w:val="16"/>
              </w:rPr>
              <w:t>Invesco/T. Rowe Price</w:t>
            </w:r>
            <w:r w:rsidRPr="007D5685">
              <w:rPr>
                <w:rFonts w:ascii="Times New Roman" w:eastAsia="Times New Roman" w:hAnsi="Times New Roman" w:cs="Times New Roman"/>
                <w:sz w:val="16"/>
                <w:szCs w:val="16"/>
              </w:rPr>
              <w:t xml:space="preserve">: NLP-driven ESG analytics; </w:t>
            </w:r>
            <w:r w:rsidRPr="007D5685">
              <w:rPr>
                <w:rFonts w:ascii="Times New Roman" w:eastAsia="Times New Roman" w:hAnsi="Times New Roman" w:cs="Times New Roman"/>
                <w:b/>
                <w:bCs/>
                <w:sz w:val="16"/>
                <w:szCs w:val="16"/>
              </w:rPr>
              <w:t>Apollo/Carlyle</w:t>
            </w:r>
            <w:r w:rsidRPr="007D5685">
              <w:rPr>
                <w:rFonts w:ascii="Times New Roman" w:eastAsia="Times New Roman" w:hAnsi="Times New Roman" w:cs="Times New Roman"/>
                <w:sz w:val="16"/>
                <w:szCs w:val="16"/>
              </w:rPr>
              <w:t>: ML-enabled risk insights</w:t>
            </w:r>
          </w:p>
        </w:tc>
      </w:tr>
      <w:tr w:rsidR="00A20C6D" w:rsidRPr="007D5685" w14:paraId="289E043B" w14:textId="77777777" w:rsidTr="00D87668">
        <w:trPr>
          <w:tblCellSpacing w:w="15" w:type="dxa"/>
        </w:trPr>
        <w:tc>
          <w:tcPr>
            <w:tcW w:w="0" w:type="auto"/>
            <w:vAlign w:val="center"/>
            <w:hideMark/>
          </w:tcPr>
          <w:p w14:paraId="0ECED4D1"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 xml:space="preserve">Insurance &amp; </w:t>
            </w:r>
            <w:proofErr w:type="spellStart"/>
            <w:r w:rsidRPr="007D5685">
              <w:rPr>
                <w:rFonts w:ascii="Times New Roman" w:eastAsia="Times New Roman" w:hAnsi="Times New Roman" w:cs="Times New Roman"/>
                <w:b/>
                <w:bCs/>
                <w:sz w:val="16"/>
                <w:szCs w:val="16"/>
              </w:rPr>
              <w:t>InsurTech</w:t>
            </w:r>
            <w:proofErr w:type="spellEnd"/>
            <w:r w:rsidRPr="007D5685">
              <w:rPr>
                <w:rFonts w:ascii="Times New Roman" w:eastAsia="Times New Roman" w:hAnsi="Times New Roman" w:cs="Times New Roman"/>
                <w:b/>
                <w:bCs/>
                <w:sz w:val="16"/>
                <w:szCs w:val="16"/>
              </w:rPr>
              <w:t xml:space="preserve"> (40)</w:t>
            </w:r>
          </w:p>
        </w:tc>
        <w:tc>
          <w:tcPr>
            <w:tcW w:w="0" w:type="auto"/>
            <w:vAlign w:val="center"/>
            <w:hideMark/>
          </w:tcPr>
          <w:p w14:paraId="2FC70655"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TensorFlow</w:t>
            </w:r>
            <w:r w:rsidRPr="007D5685">
              <w:rPr>
                <w:rFonts w:ascii="Times New Roman" w:eastAsia="Times New Roman" w:hAnsi="Times New Roman" w:cs="Times New Roman"/>
                <w:sz w:val="16"/>
                <w:szCs w:val="16"/>
              </w:rPr>
              <w:t xml:space="preserve">, </w:t>
            </w:r>
            <w:proofErr w:type="spellStart"/>
            <w:r w:rsidRPr="007D5685">
              <w:rPr>
                <w:rFonts w:ascii="Times New Roman" w:eastAsia="Times New Roman" w:hAnsi="Times New Roman" w:cs="Times New Roman"/>
                <w:b/>
                <w:bCs/>
                <w:sz w:val="16"/>
                <w:szCs w:val="16"/>
              </w:rPr>
              <w:t>Keras</w:t>
            </w:r>
            <w:proofErr w:type="spellEnd"/>
            <w:r w:rsidRPr="007D5685">
              <w:rPr>
                <w:rFonts w:ascii="Times New Roman" w:eastAsia="Times New Roman" w:hAnsi="Times New Roman" w:cs="Times New Roman"/>
                <w:sz w:val="16"/>
                <w:szCs w:val="16"/>
              </w:rPr>
              <w:t xml:space="preserve">, </w:t>
            </w:r>
            <w:proofErr w:type="spellStart"/>
            <w:r w:rsidRPr="007D5685">
              <w:rPr>
                <w:rFonts w:ascii="Times New Roman" w:eastAsia="Times New Roman" w:hAnsi="Times New Roman" w:cs="Times New Roman"/>
                <w:b/>
                <w:bCs/>
                <w:sz w:val="16"/>
                <w:szCs w:val="16"/>
              </w:rPr>
              <w:t>PyTorch</w:t>
            </w:r>
            <w:proofErr w:type="spellEnd"/>
            <w:r w:rsidRPr="007D5685">
              <w:rPr>
                <w:rFonts w:ascii="Times New Roman" w:eastAsia="Times New Roman" w:hAnsi="Times New Roman" w:cs="Times New Roman"/>
                <w:sz w:val="16"/>
                <w:szCs w:val="16"/>
              </w:rPr>
              <w:t xml:space="preserve"> (claims triage, telematics); </w:t>
            </w:r>
            <w:r w:rsidRPr="007D5685">
              <w:rPr>
                <w:rFonts w:ascii="Times New Roman" w:eastAsia="Times New Roman" w:hAnsi="Times New Roman" w:cs="Times New Roman"/>
                <w:b/>
                <w:bCs/>
                <w:sz w:val="16"/>
                <w:szCs w:val="16"/>
              </w:rPr>
              <w:t>XGBoost</w:t>
            </w:r>
            <w:r w:rsidRPr="007D5685">
              <w:rPr>
                <w:rFonts w:ascii="Times New Roman" w:eastAsia="Times New Roman" w:hAnsi="Times New Roman" w:cs="Times New Roman"/>
                <w:sz w:val="16"/>
                <w:szCs w:val="16"/>
              </w:rPr>
              <w:t xml:space="preserve">, </w:t>
            </w:r>
            <w:r w:rsidRPr="007D5685">
              <w:rPr>
                <w:rFonts w:ascii="Times New Roman" w:eastAsia="Times New Roman" w:hAnsi="Times New Roman" w:cs="Times New Roman"/>
                <w:b/>
                <w:bCs/>
                <w:sz w:val="16"/>
                <w:szCs w:val="16"/>
              </w:rPr>
              <w:t>LightGBM</w:t>
            </w:r>
            <w:r w:rsidRPr="007D5685">
              <w:rPr>
                <w:rFonts w:ascii="Times New Roman" w:eastAsia="Times New Roman" w:hAnsi="Times New Roman" w:cs="Times New Roman"/>
                <w:sz w:val="16"/>
                <w:szCs w:val="16"/>
              </w:rPr>
              <w:t xml:space="preserve"> (underwriting); </w:t>
            </w:r>
            <w:r w:rsidRPr="007D5685">
              <w:rPr>
                <w:rFonts w:ascii="Times New Roman" w:eastAsia="Times New Roman" w:hAnsi="Times New Roman" w:cs="Times New Roman"/>
                <w:b/>
                <w:bCs/>
                <w:sz w:val="16"/>
                <w:szCs w:val="16"/>
              </w:rPr>
              <w:t>Transformers</w:t>
            </w:r>
            <w:r w:rsidRPr="007D5685">
              <w:rPr>
                <w:rFonts w:ascii="Times New Roman" w:eastAsia="Times New Roman" w:hAnsi="Times New Roman" w:cs="Times New Roman"/>
                <w:sz w:val="16"/>
                <w:szCs w:val="16"/>
              </w:rPr>
              <w:t xml:space="preserve"> (GPT-assisted claims, NLP for FNOL)</w:t>
            </w:r>
          </w:p>
        </w:tc>
        <w:tc>
          <w:tcPr>
            <w:tcW w:w="0" w:type="auto"/>
            <w:vAlign w:val="center"/>
            <w:hideMark/>
          </w:tcPr>
          <w:p w14:paraId="014AAB65"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Lemonade</w:t>
            </w:r>
            <w:r w:rsidRPr="007D5685">
              <w:rPr>
                <w:rFonts w:ascii="Times New Roman" w:eastAsia="Times New Roman" w:hAnsi="Times New Roman" w:cs="Times New Roman"/>
                <w:sz w:val="16"/>
                <w:szCs w:val="16"/>
              </w:rPr>
              <w:t xml:space="preserve">: automated claims pipelines; </w:t>
            </w:r>
            <w:r w:rsidRPr="007D5685">
              <w:rPr>
                <w:rFonts w:ascii="Times New Roman" w:eastAsia="Times New Roman" w:hAnsi="Times New Roman" w:cs="Times New Roman"/>
                <w:b/>
                <w:bCs/>
                <w:sz w:val="16"/>
                <w:szCs w:val="16"/>
              </w:rPr>
              <w:t>Oscar Health</w:t>
            </w:r>
            <w:r w:rsidRPr="007D5685">
              <w:rPr>
                <w:rFonts w:ascii="Times New Roman" w:eastAsia="Times New Roman" w:hAnsi="Times New Roman" w:cs="Times New Roman"/>
                <w:sz w:val="16"/>
                <w:szCs w:val="16"/>
              </w:rPr>
              <w:t xml:space="preserve">: GPT-assisted workflows; </w:t>
            </w:r>
            <w:r w:rsidRPr="007D5685">
              <w:rPr>
                <w:rFonts w:ascii="Times New Roman" w:eastAsia="Times New Roman" w:hAnsi="Times New Roman" w:cs="Times New Roman"/>
                <w:b/>
                <w:bCs/>
                <w:sz w:val="16"/>
                <w:szCs w:val="16"/>
              </w:rPr>
              <w:t>Root</w:t>
            </w:r>
            <w:r w:rsidRPr="007D5685">
              <w:rPr>
                <w:rFonts w:ascii="Times New Roman" w:eastAsia="Times New Roman" w:hAnsi="Times New Roman" w:cs="Times New Roman"/>
                <w:sz w:val="16"/>
                <w:szCs w:val="16"/>
              </w:rPr>
              <w:t xml:space="preserve">: smartphone telematics risk scoring; </w:t>
            </w:r>
            <w:proofErr w:type="spellStart"/>
            <w:r w:rsidRPr="007D5685">
              <w:rPr>
                <w:rFonts w:ascii="Times New Roman" w:eastAsia="Times New Roman" w:hAnsi="Times New Roman" w:cs="Times New Roman"/>
                <w:b/>
                <w:bCs/>
                <w:sz w:val="16"/>
                <w:szCs w:val="16"/>
              </w:rPr>
              <w:t>RenaissanceRe</w:t>
            </w:r>
            <w:proofErr w:type="spellEnd"/>
            <w:r w:rsidRPr="007D5685">
              <w:rPr>
                <w:rFonts w:ascii="Times New Roman" w:eastAsia="Times New Roman" w:hAnsi="Times New Roman" w:cs="Times New Roman"/>
                <w:sz w:val="16"/>
                <w:szCs w:val="16"/>
              </w:rPr>
              <w:t>: catastrophe-risk models</w:t>
            </w:r>
          </w:p>
        </w:tc>
      </w:tr>
      <w:tr w:rsidR="00A20C6D" w:rsidRPr="007D5685" w14:paraId="6D4DEB40" w14:textId="77777777" w:rsidTr="00D87668">
        <w:trPr>
          <w:tblCellSpacing w:w="15" w:type="dxa"/>
        </w:trPr>
        <w:tc>
          <w:tcPr>
            <w:tcW w:w="0" w:type="auto"/>
            <w:vAlign w:val="center"/>
            <w:hideMark/>
          </w:tcPr>
          <w:p w14:paraId="51150A4D"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Payments &amp; Consumer Finance (12)</w:t>
            </w:r>
          </w:p>
        </w:tc>
        <w:tc>
          <w:tcPr>
            <w:tcW w:w="0" w:type="auto"/>
            <w:vAlign w:val="center"/>
            <w:hideMark/>
          </w:tcPr>
          <w:p w14:paraId="2F38FA29"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XGBoost</w:t>
            </w:r>
            <w:r w:rsidRPr="007D5685">
              <w:rPr>
                <w:rFonts w:ascii="Times New Roman" w:eastAsia="Times New Roman" w:hAnsi="Times New Roman" w:cs="Times New Roman"/>
                <w:sz w:val="16"/>
                <w:szCs w:val="16"/>
              </w:rPr>
              <w:t xml:space="preserve">, </w:t>
            </w:r>
            <w:r w:rsidRPr="007D5685">
              <w:rPr>
                <w:rFonts w:ascii="Times New Roman" w:eastAsia="Times New Roman" w:hAnsi="Times New Roman" w:cs="Times New Roman"/>
                <w:b/>
                <w:bCs/>
                <w:sz w:val="16"/>
                <w:szCs w:val="16"/>
              </w:rPr>
              <w:t>LightGBM</w:t>
            </w:r>
            <w:r w:rsidRPr="007D5685">
              <w:rPr>
                <w:rFonts w:ascii="Times New Roman" w:eastAsia="Times New Roman" w:hAnsi="Times New Roman" w:cs="Times New Roman"/>
                <w:sz w:val="16"/>
                <w:szCs w:val="16"/>
              </w:rPr>
              <w:t xml:space="preserve"> (fraud scoring); </w:t>
            </w:r>
            <w:r w:rsidRPr="007D5685">
              <w:rPr>
                <w:rFonts w:ascii="Times New Roman" w:eastAsia="Times New Roman" w:hAnsi="Times New Roman" w:cs="Times New Roman"/>
                <w:b/>
                <w:bCs/>
                <w:sz w:val="16"/>
                <w:szCs w:val="16"/>
              </w:rPr>
              <w:t>NetworkX</w:t>
            </w:r>
            <w:r w:rsidRPr="007D5685">
              <w:rPr>
                <w:rFonts w:ascii="Times New Roman" w:eastAsia="Times New Roman" w:hAnsi="Times New Roman" w:cs="Times New Roman"/>
                <w:sz w:val="16"/>
                <w:szCs w:val="16"/>
              </w:rPr>
              <w:t xml:space="preserve">, </w:t>
            </w:r>
            <w:r w:rsidRPr="007D5685">
              <w:rPr>
                <w:rFonts w:ascii="Times New Roman" w:eastAsia="Times New Roman" w:hAnsi="Times New Roman" w:cs="Times New Roman"/>
                <w:b/>
                <w:bCs/>
                <w:sz w:val="16"/>
                <w:szCs w:val="16"/>
              </w:rPr>
              <w:t>PyTorch Geometric</w:t>
            </w:r>
            <w:r w:rsidRPr="007D5685">
              <w:rPr>
                <w:rFonts w:ascii="Times New Roman" w:eastAsia="Times New Roman" w:hAnsi="Times New Roman" w:cs="Times New Roman"/>
                <w:sz w:val="16"/>
                <w:szCs w:val="16"/>
              </w:rPr>
              <w:t xml:space="preserve"> (graph ML for fraud rings); </w:t>
            </w:r>
            <w:r w:rsidRPr="007D5685">
              <w:rPr>
                <w:rFonts w:ascii="Times New Roman" w:eastAsia="Times New Roman" w:hAnsi="Times New Roman" w:cs="Times New Roman"/>
                <w:b/>
                <w:bCs/>
                <w:sz w:val="16"/>
                <w:szCs w:val="16"/>
              </w:rPr>
              <w:t>TensorFlow</w:t>
            </w:r>
            <w:r w:rsidRPr="007D5685">
              <w:rPr>
                <w:rFonts w:ascii="Times New Roman" w:eastAsia="Times New Roman" w:hAnsi="Times New Roman" w:cs="Times New Roman"/>
                <w:sz w:val="16"/>
                <w:szCs w:val="16"/>
              </w:rPr>
              <w:t xml:space="preserve">, </w:t>
            </w:r>
            <w:r w:rsidRPr="007D5685">
              <w:rPr>
                <w:rFonts w:ascii="Times New Roman" w:eastAsia="Times New Roman" w:hAnsi="Times New Roman" w:cs="Times New Roman"/>
                <w:b/>
                <w:bCs/>
                <w:sz w:val="16"/>
                <w:szCs w:val="16"/>
              </w:rPr>
              <w:t>PyTorch</w:t>
            </w:r>
            <w:r w:rsidRPr="007D5685">
              <w:rPr>
                <w:rFonts w:ascii="Times New Roman" w:eastAsia="Times New Roman" w:hAnsi="Times New Roman" w:cs="Times New Roman"/>
                <w:sz w:val="16"/>
                <w:szCs w:val="16"/>
              </w:rPr>
              <w:t xml:space="preserve"> (deep anomaly detection)</w:t>
            </w:r>
          </w:p>
        </w:tc>
        <w:tc>
          <w:tcPr>
            <w:tcW w:w="0" w:type="auto"/>
            <w:vAlign w:val="center"/>
            <w:hideMark/>
          </w:tcPr>
          <w:p w14:paraId="37E1D24F"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Visa</w:t>
            </w:r>
            <w:r w:rsidRPr="007D5685">
              <w:rPr>
                <w:rFonts w:ascii="Times New Roman" w:eastAsia="Times New Roman" w:hAnsi="Times New Roman" w:cs="Times New Roman"/>
                <w:sz w:val="16"/>
                <w:szCs w:val="16"/>
              </w:rPr>
              <w:t xml:space="preserve">: VAAI Score fraud prevention; </w:t>
            </w:r>
            <w:r w:rsidRPr="007D5685">
              <w:rPr>
                <w:rFonts w:ascii="Times New Roman" w:eastAsia="Times New Roman" w:hAnsi="Times New Roman" w:cs="Times New Roman"/>
                <w:b/>
                <w:bCs/>
                <w:sz w:val="16"/>
                <w:szCs w:val="16"/>
              </w:rPr>
              <w:t>Mastercard</w:t>
            </w:r>
            <w:r w:rsidRPr="007D5685">
              <w:rPr>
                <w:rFonts w:ascii="Times New Roman" w:eastAsia="Times New Roman" w:hAnsi="Times New Roman" w:cs="Times New Roman"/>
                <w:sz w:val="16"/>
                <w:szCs w:val="16"/>
              </w:rPr>
              <w:t xml:space="preserve">: Decision Intelligence for compromised card detection; </w:t>
            </w:r>
            <w:r w:rsidRPr="007D5685">
              <w:rPr>
                <w:rFonts w:ascii="Times New Roman" w:eastAsia="Times New Roman" w:hAnsi="Times New Roman" w:cs="Times New Roman"/>
                <w:b/>
                <w:bCs/>
                <w:sz w:val="16"/>
                <w:szCs w:val="16"/>
              </w:rPr>
              <w:t>PayPal</w:t>
            </w:r>
            <w:r w:rsidRPr="007D5685">
              <w:rPr>
                <w:rFonts w:ascii="Times New Roman" w:eastAsia="Times New Roman" w:hAnsi="Times New Roman" w:cs="Times New Roman"/>
                <w:sz w:val="16"/>
                <w:szCs w:val="16"/>
              </w:rPr>
              <w:t xml:space="preserve">: ML-based fraud models; </w:t>
            </w:r>
            <w:r w:rsidRPr="007D5685">
              <w:rPr>
                <w:rFonts w:ascii="Times New Roman" w:eastAsia="Times New Roman" w:hAnsi="Times New Roman" w:cs="Times New Roman"/>
                <w:b/>
                <w:bCs/>
                <w:sz w:val="16"/>
                <w:szCs w:val="16"/>
              </w:rPr>
              <w:t>Block (Cash App)</w:t>
            </w:r>
            <w:r w:rsidRPr="007D5685">
              <w:rPr>
                <w:rFonts w:ascii="Times New Roman" w:eastAsia="Times New Roman" w:hAnsi="Times New Roman" w:cs="Times New Roman"/>
                <w:sz w:val="16"/>
                <w:szCs w:val="16"/>
              </w:rPr>
              <w:t>: scam detection</w:t>
            </w:r>
          </w:p>
        </w:tc>
      </w:tr>
      <w:tr w:rsidR="00A20C6D" w:rsidRPr="007D5685" w14:paraId="576C9404" w14:textId="77777777" w:rsidTr="00D87668">
        <w:trPr>
          <w:tblCellSpacing w:w="15" w:type="dxa"/>
        </w:trPr>
        <w:tc>
          <w:tcPr>
            <w:tcW w:w="0" w:type="auto"/>
            <w:tcBorders>
              <w:bottom w:val="single" w:sz="4" w:space="0" w:color="auto"/>
            </w:tcBorders>
            <w:vAlign w:val="center"/>
            <w:hideMark/>
          </w:tcPr>
          <w:p w14:paraId="6146EC2F"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Market Infrastructure &amp; Data Providers (8)</w:t>
            </w:r>
          </w:p>
        </w:tc>
        <w:tc>
          <w:tcPr>
            <w:tcW w:w="0" w:type="auto"/>
            <w:tcBorders>
              <w:bottom w:val="single" w:sz="4" w:space="0" w:color="auto"/>
            </w:tcBorders>
            <w:vAlign w:val="center"/>
            <w:hideMark/>
          </w:tcPr>
          <w:p w14:paraId="78DFC3AD"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spaCy</w:t>
            </w:r>
            <w:r w:rsidRPr="007D5685">
              <w:rPr>
                <w:rFonts w:ascii="Times New Roman" w:eastAsia="Times New Roman" w:hAnsi="Times New Roman" w:cs="Times New Roman"/>
                <w:sz w:val="16"/>
                <w:szCs w:val="16"/>
              </w:rPr>
              <w:t xml:space="preserve">, </w:t>
            </w:r>
            <w:r w:rsidRPr="007D5685">
              <w:rPr>
                <w:rFonts w:ascii="Times New Roman" w:eastAsia="Times New Roman" w:hAnsi="Times New Roman" w:cs="Times New Roman"/>
                <w:b/>
                <w:bCs/>
                <w:sz w:val="16"/>
                <w:szCs w:val="16"/>
              </w:rPr>
              <w:t>Transformers</w:t>
            </w:r>
            <w:r w:rsidRPr="007D5685">
              <w:rPr>
                <w:rFonts w:ascii="Times New Roman" w:eastAsia="Times New Roman" w:hAnsi="Times New Roman" w:cs="Times New Roman"/>
                <w:sz w:val="16"/>
                <w:szCs w:val="16"/>
              </w:rPr>
              <w:t xml:space="preserve"> (NLP/ESG); </w:t>
            </w:r>
            <w:r w:rsidRPr="007D5685">
              <w:rPr>
                <w:rFonts w:ascii="Times New Roman" w:eastAsia="Times New Roman" w:hAnsi="Times New Roman" w:cs="Times New Roman"/>
                <w:b/>
                <w:bCs/>
                <w:sz w:val="16"/>
                <w:szCs w:val="16"/>
              </w:rPr>
              <w:t>scikit-learn</w:t>
            </w:r>
            <w:r w:rsidRPr="007D5685">
              <w:rPr>
                <w:rFonts w:ascii="Times New Roman" w:eastAsia="Times New Roman" w:hAnsi="Times New Roman" w:cs="Times New Roman"/>
                <w:sz w:val="16"/>
                <w:szCs w:val="16"/>
              </w:rPr>
              <w:t xml:space="preserve">, </w:t>
            </w:r>
            <w:r w:rsidRPr="007D5685">
              <w:rPr>
                <w:rFonts w:ascii="Times New Roman" w:eastAsia="Times New Roman" w:hAnsi="Times New Roman" w:cs="Times New Roman"/>
                <w:b/>
                <w:bCs/>
                <w:sz w:val="16"/>
                <w:szCs w:val="16"/>
              </w:rPr>
              <w:t>XGBoost</w:t>
            </w:r>
            <w:r w:rsidRPr="007D5685">
              <w:rPr>
                <w:rFonts w:ascii="Times New Roman" w:eastAsia="Times New Roman" w:hAnsi="Times New Roman" w:cs="Times New Roman"/>
                <w:sz w:val="16"/>
                <w:szCs w:val="16"/>
              </w:rPr>
              <w:t xml:space="preserve"> (risk, ratings models); </w:t>
            </w:r>
            <w:r w:rsidRPr="007D5685">
              <w:rPr>
                <w:rFonts w:ascii="Times New Roman" w:eastAsia="Times New Roman" w:hAnsi="Times New Roman" w:cs="Times New Roman"/>
                <w:b/>
                <w:bCs/>
                <w:sz w:val="16"/>
                <w:szCs w:val="16"/>
              </w:rPr>
              <w:t>PyTorch</w:t>
            </w:r>
            <w:r w:rsidRPr="007D5685">
              <w:rPr>
                <w:rFonts w:ascii="Times New Roman" w:eastAsia="Times New Roman" w:hAnsi="Times New Roman" w:cs="Times New Roman"/>
                <w:sz w:val="16"/>
                <w:szCs w:val="16"/>
              </w:rPr>
              <w:t xml:space="preserve">, </w:t>
            </w:r>
            <w:r w:rsidRPr="007D5685">
              <w:rPr>
                <w:rFonts w:ascii="Times New Roman" w:eastAsia="Times New Roman" w:hAnsi="Times New Roman" w:cs="Times New Roman"/>
                <w:b/>
                <w:bCs/>
                <w:sz w:val="16"/>
                <w:szCs w:val="16"/>
              </w:rPr>
              <w:t>TensorFlow</w:t>
            </w:r>
            <w:r w:rsidRPr="007D5685">
              <w:rPr>
                <w:rFonts w:ascii="Times New Roman" w:eastAsia="Times New Roman" w:hAnsi="Times New Roman" w:cs="Times New Roman"/>
                <w:sz w:val="16"/>
                <w:szCs w:val="16"/>
              </w:rPr>
              <w:t xml:space="preserve"> (LLMs, surveillance); APIs/SDKs for clients</w:t>
            </w:r>
          </w:p>
        </w:tc>
        <w:tc>
          <w:tcPr>
            <w:tcW w:w="0" w:type="auto"/>
            <w:tcBorders>
              <w:bottom w:val="single" w:sz="4" w:space="0" w:color="auto"/>
            </w:tcBorders>
            <w:vAlign w:val="center"/>
            <w:hideMark/>
          </w:tcPr>
          <w:p w14:paraId="3B62C6AC" w14:textId="77777777" w:rsidR="00A20C6D" w:rsidRPr="007D5685" w:rsidRDefault="00A20C6D" w:rsidP="00D87668">
            <w:pPr>
              <w:spacing w:after="0" w:line="240" w:lineRule="auto"/>
              <w:rPr>
                <w:rFonts w:ascii="Times New Roman" w:eastAsia="Times New Roman" w:hAnsi="Times New Roman" w:cs="Times New Roman"/>
                <w:sz w:val="16"/>
                <w:szCs w:val="16"/>
              </w:rPr>
            </w:pPr>
            <w:r w:rsidRPr="007D5685">
              <w:rPr>
                <w:rFonts w:ascii="Times New Roman" w:eastAsia="Times New Roman" w:hAnsi="Times New Roman" w:cs="Times New Roman"/>
                <w:b/>
                <w:bCs/>
                <w:sz w:val="16"/>
                <w:szCs w:val="16"/>
              </w:rPr>
              <w:t>Nasdaq</w:t>
            </w:r>
            <w:r w:rsidRPr="007D5685">
              <w:rPr>
                <w:rFonts w:ascii="Times New Roman" w:eastAsia="Times New Roman" w:hAnsi="Times New Roman" w:cs="Times New Roman"/>
                <w:sz w:val="16"/>
                <w:szCs w:val="16"/>
              </w:rPr>
              <w:t xml:space="preserve">: SMARTS AI surveillance; </w:t>
            </w:r>
            <w:r w:rsidRPr="007D5685">
              <w:rPr>
                <w:rFonts w:ascii="Times New Roman" w:eastAsia="Times New Roman" w:hAnsi="Times New Roman" w:cs="Times New Roman"/>
                <w:b/>
                <w:bCs/>
                <w:sz w:val="16"/>
                <w:szCs w:val="16"/>
              </w:rPr>
              <w:t>S&amp;P Global</w:t>
            </w:r>
            <w:r w:rsidRPr="007D5685">
              <w:rPr>
                <w:rFonts w:ascii="Times New Roman" w:eastAsia="Times New Roman" w:hAnsi="Times New Roman" w:cs="Times New Roman"/>
                <w:sz w:val="16"/>
                <w:szCs w:val="16"/>
              </w:rPr>
              <w:t xml:space="preserve">: Kensho NLP; </w:t>
            </w:r>
            <w:r w:rsidRPr="007D5685">
              <w:rPr>
                <w:rFonts w:ascii="Times New Roman" w:eastAsia="Times New Roman" w:hAnsi="Times New Roman" w:cs="Times New Roman"/>
                <w:b/>
                <w:bCs/>
                <w:sz w:val="16"/>
                <w:szCs w:val="16"/>
              </w:rPr>
              <w:t>MSCI</w:t>
            </w:r>
            <w:r w:rsidRPr="007D5685">
              <w:rPr>
                <w:rFonts w:ascii="Times New Roman" w:eastAsia="Times New Roman" w:hAnsi="Times New Roman" w:cs="Times New Roman"/>
                <w:sz w:val="16"/>
                <w:szCs w:val="16"/>
              </w:rPr>
              <w:t xml:space="preserve">: AI in ESG/indexing; </w:t>
            </w:r>
            <w:r w:rsidRPr="007D5685">
              <w:rPr>
                <w:rFonts w:ascii="Times New Roman" w:eastAsia="Times New Roman" w:hAnsi="Times New Roman" w:cs="Times New Roman"/>
                <w:b/>
                <w:bCs/>
                <w:sz w:val="16"/>
                <w:szCs w:val="16"/>
              </w:rPr>
              <w:t>FactSet/Morningstar</w:t>
            </w:r>
            <w:r w:rsidRPr="007D5685">
              <w:rPr>
                <w:rFonts w:ascii="Times New Roman" w:eastAsia="Times New Roman" w:hAnsi="Times New Roman" w:cs="Times New Roman"/>
                <w:sz w:val="16"/>
                <w:szCs w:val="16"/>
              </w:rPr>
              <w:t>: ML-enhanced analytics</w:t>
            </w:r>
          </w:p>
        </w:tc>
      </w:tr>
    </w:tbl>
    <w:p w14:paraId="7B774DFE" w14:textId="77777777" w:rsidR="00A20C6D" w:rsidRPr="007D5685" w:rsidRDefault="00A20C6D" w:rsidP="00A20C6D">
      <w:pPr>
        <w:spacing w:before="100" w:beforeAutospacing="1" w:after="100" w:afterAutospacing="1" w:line="240" w:lineRule="auto"/>
        <w:outlineLvl w:val="2"/>
        <w:rPr>
          <w:rFonts w:ascii="Times New Roman" w:eastAsia="Times New Roman" w:hAnsi="Times New Roman" w:cs="Times New Roman"/>
          <w:b/>
          <w:bCs/>
          <w:sz w:val="16"/>
          <w:szCs w:val="16"/>
        </w:rPr>
      </w:pPr>
      <w:r w:rsidRPr="007D5685">
        <w:rPr>
          <w:rFonts w:ascii="Times New Roman" w:eastAsia="Times New Roman" w:hAnsi="Times New Roman" w:cs="Times New Roman"/>
          <w:b/>
          <w:bCs/>
          <w:sz w:val="16"/>
          <w:szCs w:val="16"/>
        </w:rPr>
        <w:t>Note</w:t>
      </w:r>
      <w:r>
        <w:rPr>
          <w:rFonts w:ascii="Times New Roman" w:eastAsia="Times New Roman" w:hAnsi="Times New Roman" w:cs="Times New Roman"/>
          <w:b/>
          <w:bCs/>
          <w:sz w:val="16"/>
          <w:szCs w:val="16"/>
        </w:rPr>
        <w:t xml:space="preserve">: </w:t>
      </w:r>
      <w:r w:rsidRPr="00EF3B53">
        <w:rPr>
          <w:rFonts w:ascii="Times New Roman" w:eastAsia="Times New Roman" w:hAnsi="Times New Roman" w:cs="Times New Roman"/>
          <w:i/>
          <w:iCs/>
          <w:sz w:val="16"/>
          <w:szCs w:val="16"/>
        </w:rPr>
        <w:t>Asterisks in other tables (e.g., GWB*, UMPQ*, PACW*) denote historical/delisted firms retained for disclosure relevance. Each firm is listed once under its primary subsector. Library adoption patterns are inferred from explicit disclosures, SDKs (e.g., GS Quant, Aladdin), job postings, and sectoral case studies.</w:t>
      </w:r>
    </w:p>
    <w:p w14:paraId="2AF802BC" w14:textId="77777777" w:rsidR="00A20C6D" w:rsidRDefault="00A20C6D" w:rsidP="00A20C6D">
      <w:pPr>
        <w:spacing w:before="100" w:beforeAutospacing="1" w:after="100" w:afterAutospacing="1" w:line="240" w:lineRule="auto"/>
        <w:rPr>
          <w:rFonts w:ascii="Times New Roman" w:eastAsia="Times New Roman" w:hAnsi="Times New Roman" w:cs="Times New Roman"/>
          <w:sz w:val="16"/>
          <w:szCs w:val="16"/>
        </w:rPr>
      </w:pPr>
    </w:p>
    <w:p w14:paraId="078DAAB6" w14:textId="77777777" w:rsidR="00A20C6D" w:rsidRDefault="00A20C6D" w:rsidP="00A20C6D">
      <w:pPr>
        <w:spacing w:before="100" w:beforeAutospacing="1" w:after="100" w:afterAutospacing="1" w:line="240" w:lineRule="auto"/>
        <w:rPr>
          <w:rFonts w:ascii="Times New Roman" w:eastAsia="Times New Roman" w:hAnsi="Times New Roman" w:cs="Times New Roman"/>
          <w:sz w:val="16"/>
          <w:szCs w:val="16"/>
        </w:rPr>
      </w:pPr>
    </w:p>
    <w:p w14:paraId="60DAB55F" w14:textId="77777777" w:rsidR="00A20C6D" w:rsidRDefault="00A20C6D" w:rsidP="00A20C6D">
      <w:pPr>
        <w:spacing w:before="100" w:beforeAutospacing="1" w:after="100" w:afterAutospacing="1" w:line="240" w:lineRule="auto"/>
        <w:rPr>
          <w:rFonts w:ascii="Times New Roman" w:eastAsia="Times New Roman" w:hAnsi="Times New Roman" w:cs="Times New Roman"/>
          <w:sz w:val="16"/>
          <w:szCs w:val="16"/>
        </w:rPr>
      </w:pPr>
    </w:p>
    <w:p w14:paraId="77EDF172" w14:textId="77777777" w:rsidR="00E90570" w:rsidRDefault="00E90570" w:rsidP="00A20C6D">
      <w:pPr>
        <w:spacing w:before="100" w:beforeAutospacing="1" w:after="100" w:afterAutospacing="1" w:line="240" w:lineRule="auto"/>
        <w:rPr>
          <w:rFonts w:ascii="Times New Roman" w:eastAsia="Times New Roman" w:hAnsi="Times New Roman" w:cs="Times New Roman"/>
          <w:sz w:val="16"/>
          <w:szCs w:val="16"/>
        </w:rPr>
      </w:pPr>
    </w:p>
    <w:p w14:paraId="6215AAF1" w14:textId="77777777" w:rsidR="009016C9" w:rsidRDefault="009016C9" w:rsidP="00A20C6D">
      <w:pPr>
        <w:spacing w:before="100" w:beforeAutospacing="1" w:after="100" w:afterAutospacing="1" w:line="240" w:lineRule="auto"/>
        <w:rPr>
          <w:rFonts w:ascii="Times New Roman" w:eastAsia="Times New Roman" w:hAnsi="Times New Roman" w:cs="Times New Roman"/>
          <w:sz w:val="16"/>
          <w:szCs w:val="16"/>
        </w:rPr>
      </w:pPr>
    </w:p>
    <w:p w14:paraId="1AC5E3F7" w14:textId="77777777" w:rsidR="009016C9" w:rsidRDefault="009016C9" w:rsidP="00A20C6D">
      <w:pPr>
        <w:spacing w:before="100" w:beforeAutospacing="1" w:after="100" w:afterAutospacing="1" w:line="240" w:lineRule="auto"/>
        <w:rPr>
          <w:rFonts w:ascii="Times New Roman" w:eastAsia="Times New Roman" w:hAnsi="Times New Roman" w:cs="Times New Roman"/>
          <w:sz w:val="16"/>
          <w:szCs w:val="16"/>
        </w:rPr>
      </w:pPr>
    </w:p>
    <w:sectPr w:rsidR="009016C9" w:rsidSect="000C1251">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id="_x0000_i1025" style="width:0;height:1.5pt" o:hralign="center" o:bullet="t" o:hrstd="t" o:hr="t" fillcolor="#a0a0a0" stroked="f"/>
    </w:pict>
  </w:numPicBullet>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7DE081D6"/>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1D908A6"/>
    <w:multiLevelType w:val="multilevel"/>
    <w:tmpl w:val="08504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AA3AF3"/>
    <w:multiLevelType w:val="multilevel"/>
    <w:tmpl w:val="6B68E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B974E52"/>
    <w:multiLevelType w:val="multilevel"/>
    <w:tmpl w:val="E4787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FE8575F"/>
    <w:multiLevelType w:val="multilevel"/>
    <w:tmpl w:val="31EEC8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7B36C2C"/>
    <w:multiLevelType w:val="multilevel"/>
    <w:tmpl w:val="52B09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B512CF0"/>
    <w:multiLevelType w:val="multilevel"/>
    <w:tmpl w:val="548290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EB7688F"/>
    <w:multiLevelType w:val="multilevel"/>
    <w:tmpl w:val="088E7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3D77224"/>
    <w:multiLevelType w:val="multilevel"/>
    <w:tmpl w:val="4A529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434EC5"/>
    <w:multiLevelType w:val="multilevel"/>
    <w:tmpl w:val="608A2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BCA57EC"/>
    <w:multiLevelType w:val="multilevel"/>
    <w:tmpl w:val="9B046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E67084F"/>
    <w:multiLevelType w:val="multilevel"/>
    <w:tmpl w:val="BC0A6A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BBC0F35"/>
    <w:multiLevelType w:val="multilevel"/>
    <w:tmpl w:val="1AFED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967A96"/>
    <w:multiLevelType w:val="multilevel"/>
    <w:tmpl w:val="41527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C402064"/>
    <w:multiLevelType w:val="multilevel"/>
    <w:tmpl w:val="C9E4A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5167AC"/>
    <w:multiLevelType w:val="multilevel"/>
    <w:tmpl w:val="DB169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7F30275"/>
    <w:multiLevelType w:val="multilevel"/>
    <w:tmpl w:val="06D2D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9AD3AD0"/>
    <w:multiLevelType w:val="multilevel"/>
    <w:tmpl w:val="FE9A2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9269101">
    <w:abstractNumId w:val="8"/>
  </w:num>
  <w:num w:numId="2" w16cid:durableId="434253515">
    <w:abstractNumId w:val="6"/>
  </w:num>
  <w:num w:numId="3" w16cid:durableId="1812744357">
    <w:abstractNumId w:val="5"/>
  </w:num>
  <w:num w:numId="4" w16cid:durableId="1123110411">
    <w:abstractNumId w:val="4"/>
  </w:num>
  <w:num w:numId="5" w16cid:durableId="369500228">
    <w:abstractNumId w:val="7"/>
  </w:num>
  <w:num w:numId="6" w16cid:durableId="1584340567">
    <w:abstractNumId w:val="3"/>
  </w:num>
  <w:num w:numId="7" w16cid:durableId="1997105121">
    <w:abstractNumId w:val="2"/>
  </w:num>
  <w:num w:numId="8" w16cid:durableId="1775006522">
    <w:abstractNumId w:val="1"/>
  </w:num>
  <w:num w:numId="9" w16cid:durableId="1577935899">
    <w:abstractNumId w:val="0"/>
  </w:num>
  <w:num w:numId="10" w16cid:durableId="774716238">
    <w:abstractNumId w:val="19"/>
  </w:num>
  <w:num w:numId="11" w16cid:durableId="1929345325">
    <w:abstractNumId w:val="21"/>
  </w:num>
  <w:num w:numId="12" w16cid:durableId="309794283">
    <w:abstractNumId w:val="11"/>
  </w:num>
  <w:num w:numId="13" w16cid:durableId="1776944714">
    <w:abstractNumId w:val="10"/>
  </w:num>
  <w:num w:numId="14" w16cid:durableId="621303863">
    <w:abstractNumId w:val="23"/>
  </w:num>
  <w:num w:numId="15" w16cid:durableId="380522385">
    <w:abstractNumId w:val="15"/>
  </w:num>
  <w:num w:numId="16" w16cid:durableId="212039791">
    <w:abstractNumId w:val="24"/>
  </w:num>
  <w:num w:numId="17" w16cid:durableId="2068645988">
    <w:abstractNumId w:val="9"/>
  </w:num>
  <w:num w:numId="18" w16cid:durableId="542400961">
    <w:abstractNumId w:val="25"/>
  </w:num>
  <w:num w:numId="19" w16cid:durableId="1110858250">
    <w:abstractNumId w:val="13"/>
  </w:num>
  <w:num w:numId="20" w16cid:durableId="231355178">
    <w:abstractNumId w:val="18"/>
  </w:num>
  <w:num w:numId="21" w16cid:durableId="346368412">
    <w:abstractNumId w:val="20"/>
  </w:num>
  <w:num w:numId="22" w16cid:durableId="404885413">
    <w:abstractNumId w:val="22"/>
  </w:num>
  <w:num w:numId="23" w16cid:durableId="965237999">
    <w:abstractNumId w:val="17"/>
  </w:num>
  <w:num w:numId="24" w16cid:durableId="1879008349">
    <w:abstractNumId w:val="16"/>
  </w:num>
  <w:num w:numId="25" w16cid:durableId="345058429">
    <w:abstractNumId w:val="12"/>
  </w:num>
  <w:num w:numId="26" w16cid:durableId="197073996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1EA6"/>
    <w:rsid w:val="0002373F"/>
    <w:rsid w:val="00034616"/>
    <w:rsid w:val="00034660"/>
    <w:rsid w:val="000407AB"/>
    <w:rsid w:val="00042489"/>
    <w:rsid w:val="00043B0E"/>
    <w:rsid w:val="0006063C"/>
    <w:rsid w:val="000724AD"/>
    <w:rsid w:val="00076022"/>
    <w:rsid w:val="000950F8"/>
    <w:rsid w:val="0009793B"/>
    <w:rsid w:val="000A10DB"/>
    <w:rsid w:val="000A6C07"/>
    <w:rsid w:val="000B50DB"/>
    <w:rsid w:val="000C10ED"/>
    <w:rsid w:val="000C1251"/>
    <w:rsid w:val="000C63D0"/>
    <w:rsid w:val="000E5E88"/>
    <w:rsid w:val="000F0FA2"/>
    <w:rsid w:val="000F7BAC"/>
    <w:rsid w:val="001127A8"/>
    <w:rsid w:val="001248F3"/>
    <w:rsid w:val="00142769"/>
    <w:rsid w:val="0015074B"/>
    <w:rsid w:val="00154F33"/>
    <w:rsid w:val="00155FC5"/>
    <w:rsid w:val="00156C64"/>
    <w:rsid w:val="001644A4"/>
    <w:rsid w:val="00164D6A"/>
    <w:rsid w:val="00186478"/>
    <w:rsid w:val="001931D7"/>
    <w:rsid w:val="001A67B4"/>
    <w:rsid w:val="001C08CC"/>
    <w:rsid w:val="001C12B0"/>
    <w:rsid w:val="001D6177"/>
    <w:rsid w:val="0020745C"/>
    <w:rsid w:val="00210CAD"/>
    <w:rsid w:val="00213150"/>
    <w:rsid w:val="00217485"/>
    <w:rsid w:val="00217C53"/>
    <w:rsid w:val="00224A25"/>
    <w:rsid w:val="00226BDF"/>
    <w:rsid w:val="00234F52"/>
    <w:rsid w:val="00240A46"/>
    <w:rsid w:val="002425DD"/>
    <w:rsid w:val="002427A4"/>
    <w:rsid w:val="00242DEC"/>
    <w:rsid w:val="00273337"/>
    <w:rsid w:val="002736DF"/>
    <w:rsid w:val="002746FA"/>
    <w:rsid w:val="0029639D"/>
    <w:rsid w:val="002C3C33"/>
    <w:rsid w:val="002C5E84"/>
    <w:rsid w:val="002C5F78"/>
    <w:rsid w:val="002D2A52"/>
    <w:rsid w:val="002E3DE5"/>
    <w:rsid w:val="002E4E25"/>
    <w:rsid w:val="002F07B7"/>
    <w:rsid w:val="002F08FE"/>
    <w:rsid w:val="002F2933"/>
    <w:rsid w:val="002F7C82"/>
    <w:rsid w:val="0030335A"/>
    <w:rsid w:val="00303497"/>
    <w:rsid w:val="00306692"/>
    <w:rsid w:val="00326F90"/>
    <w:rsid w:val="003513F4"/>
    <w:rsid w:val="00355841"/>
    <w:rsid w:val="00356BF9"/>
    <w:rsid w:val="00360388"/>
    <w:rsid w:val="003611C6"/>
    <w:rsid w:val="00366B27"/>
    <w:rsid w:val="00394FD8"/>
    <w:rsid w:val="0039675C"/>
    <w:rsid w:val="003A1CE3"/>
    <w:rsid w:val="003A791F"/>
    <w:rsid w:val="003B6D1B"/>
    <w:rsid w:val="003C0D9B"/>
    <w:rsid w:val="003F5018"/>
    <w:rsid w:val="00427C07"/>
    <w:rsid w:val="00433C9E"/>
    <w:rsid w:val="0043667D"/>
    <w:rsid w:val="00442F9D"/>
    <w:rsid w:val="00445FB7"/>
    <w:rsid w:val="0045000C"/>
    <w:rsid w:val="00453FFB"/>
    <w:rsid w:val="004543C1"/>
    <w:rsid w:val="004631F2"/>
    <w:rsid w:val="004655AD"/>
    <w:rsid w:val="004910CC"/>
    <w:rsid w:val="004937CB"/>
    <w:rsid w:val="004A6198"/>
    <w:rsid w:val="004A6F0B"/>
    <w:rsid w:val="004B67B4"/>
    <w:rsid w:val="004B6CDC"/>
    <w:rsid w:val="004D52FC"/>
    <w:rsid w:val="004F3FE7"/>
    <w:rsid w:val="00511615"/>
    <w:rsid w:val="0051689C"/>
    <w:rsid w:val="00521D1F"/>
    <w:rsid w:val="0053499D"/>
    <w:rsid w:val="0054213F"/>
    <w:rsid w:val="005425E0"/>
    <w:rsid w:val="00552BCB"/>
    <w:rsid w:val="0055537B"/>
    <w:rsid w:val="00566A59"/>
    <w:rsid w:val="00576DD7"/>
    <w:rsid w:val="005833B4"/>
    <w:rsid w:val="00594172"/>
    <w:rsid w:val="005A36B2"/>
    <w:rsid w:val="005C0B65"/>
    <w:rsid w:val="005C2F82"/>
    <w:rsid w:val="005D036F"/>
    <w:rsid w:val="005D22EF"/>
    <w:rsid w:val="005E34E2"/>
    <w:rsid w:val="005E7395"/>
    <w:rsid w:val="005F5574"/>
    <w:rsid w:val="0060708C"/>
    <w:rsid w:val="006112F2"/>
    <w:rsid w:val="00617A5F"/>
    <w:rsid w:val="00623DBA"/>
    <w:rsid w:val="006354D3"/>
    <w:rsid w:val="00673C9A"/>
    <w:rsid w:val="006774B3"/>
    <w:rsid w:val="006A189B"/>
    <w:rsid w:val="006A1CC8"/>
    <w:rsid w:val="006A25FC"/>
    <w:rsid w:val="006B1315"/>
    <w:rsid w:val="006D6073"/>
    <w:rsid w:val="006D709B"/>
    <w:rsid w:val="006D71C3"/>
    <w:rsid w:val="006F034A"/>
    <w:rsid w:val="006F319C"/>
    <w:rsid w:val="006F3E1E"/>
    <w:rsid w:val="00706F32"/>
    <w:rsid w:val="00717C83"/>
    <w:rsid w:val="00725331"/>
    <w:rsid w:val="00737C1E"/>
    <w:rsid w:val="007447AD"/>
    <w:rsid w:val="00747350"/>
    <w:rsid w:val="00761430"/>
    <w:rsid w:val="0076385A"/>
    <w:rsid w:val="007926CC"/>
    <w:rsid w:val="0079562C"/>
    <w:rsid w:val="008013C6"/>
    <w:rsid w:val="00806C6D"/>
    <w:rsid w:val="00816CA6"/>
    <w:rsid w:val="0082392D"/>
    <w:rsid w:val="008322AD"/>
    <w:rsid w:val="00833FFD"/>
    <w:rsid w:val="00835CC3"/>
    <w:rsid w:val="00837752"/>
    <w:rsid w:val="00837E21"/>
    <w:rsid w:val="0084223D"/>
    <w:rsid w:val="00842574"/>
    <w:rsid w:val="008651DF"/>
    <w:rsid w:val="00865254"/>
    <w:rsid w:val="008712A7"/>
    <w:rsid w:val="00871B39"/>
    <w:rsid w:val="00876EB5"/>
    <w:rsid w:val="008776B3"/>
    <w:rsid w:val="00887FA7"/>
    <w:rsid w:val="00890BF8"/>
    <w:rsid w:val="00894B24"/>
    <w:rsid w:val="008B10ED"/>
    <w:rsid w:val="008B2F8B"/>
    <w:rsid w:val="008B7172"/>
    <w:rsid w:val="008C3C96"/>
    <w:rsid w:val="008C65B4"/>
    <w:rsid w:val="008D255A"/>
    <w:rsid w:val="009005C5"/>
    <w:rsid w:val="009016C9"/>
    <w:rsid w:val="00910624"/>
    <w:rsid w:val="00915381"/>
    <w:rsid w:val="00922EE8"/>
    <w:rsid w:val="00936B0C"/>
    <w:rsid w:val="00941483"/>
    <w:rsid w:val="009454D9"/>
    <w:rsid w:val="0095707B"/>
    <w:rsid w:val="009748C7"/>
    <w:rsid w:val="0098567F"/>
    <w:rsid w:val="00985F76"/>
    <w:rsid w:val="009A1A11"/>
    <w:rsid w:val="009A23CA"/>
    <w:rsid w:val="009B5B66"/>
    <w:rsid w:val="009C3559"/>
    <w:rsid w:val="009C4D6E"/>
    <w:rsid w:val="009C61E7"/>
    <w:rsid w:val="009D1E45"/>
    <w:rsid w:val="009E1637"/>
    <w:rsid w:val="009E7C71"/>
    <w:rsid w:val="009F0938"/>
    <w:rsid w:val="009F0F36"/>
    <w:rsid w:val="00A11E23"/>
    <w:rsid w:val="00A20C6D"/>
    <w:rsid w:val="00A35B04"/>
    <w:rsid w:val="00A4299C"/>
    <w:rsid w:val="00A71ABC"/>
    <w:rsid w:val="00A735CC"/>
    <w:rsid w:val="00A73CED"/>
    <w:rsid w:val="00A75319"/>
    <w:rsid w:val="00A84A86"/>
    <w:rsid w:val="00A9143A"/>
    <w:rsid w:val="00AA1D8D"/>
    <w:rsid w:val="00AB127A"/>
    <w:rsid w:val="00AB1693"/>
    <w:rsid w:val="00AC02B6"/>
    <w:rsid w:val="00AC124B"/>
    <w:rsid w:val="00AC4300"/>
    <w:rsid w:val="00AD5959"/>
    <w:rsid w:val="00AE344F"/>
    <w:rsid w:val="00AF45CC"/>
    <w:rsid w:val="00B014BF"/>
    <w:rsid w:val="00B02DCB"/>
    <w:rsid w:val="00B03AE2"/>
    <w:rsid w:val="00B040C2"/>
    <w:rsid w:val="00B04211"/>
    <w:rsid w:val="00B06CA0"/>
    <w:rsid w:val="00B216B3"/>
    <w:rsid w:val="00B237D3"/>
    <w:rsid w:val="00B35AA4"/>
    <w:rsid w:val="00B36840"/>
    <w:rsid w:val="00B47730"/>
    <w:rsid w:val="00B635BC"/>
    <w:rsid w:val="00B63877"/>
    <w:rsid w:val="00B732AD"/>
    <w:rsid w:val="00B73A01"/>
    <w:rsid w:val="00B73C87"/>
    <w:rsid w:val="00B7581B"/>
    <w:rsid w:val="00B75B0E"/>
    <w:rsid w:val="00B75B66"/>
    <w:rsid w:val="00B92921"/>
    <w:rsid w:val="00BA1D86"/>
    <w:rsid w:val="00BA5914"/>
    <w:rsid w:val="00BB78AC"/>
    <w:rsid w:val="00BC307D"/>
    <w:rsid w:val="00BC3097"/>
    <w:rsid w:val="00BC3A9E"/>
    <w:rsid w:val="00BD253B"/>
    <w:rsid w:val="00BF0FAB"/>
    <w:rsid w:val="00BF604F"/>
    <w:rsid w:val="00C003E4"/>
    <w:rsid w:val="00C02950"/>
    <w:rsid w:val="00C0721C"/>
    <w:rsid w:val="00C132E2"/>
    <w:rsid w:val="00C33406"/>
    <w:rsid w:val="00C4284E"/>
    <w:rsid w:val="00C438C6"/>
    <w:rsid w:val="00C460BE"/>
    <w:rsid w:val="00C46372"/>
    <w:rsid w:val="00C55FA2"/>
    <w:rsid w:val="00C56707"/>
    <w:rsid w:val="00C61FF5"/>
    <w:rsid w:val="00C6318D"/>
    <w:rsid w:val="00C66784"/>
    <w:rsid w:val="00C74218"/>
    <w:rsid w:val="00C82FC5"/>
    <w:rsid w:val="00C8567B"/>
    <w:rsid w:val="00C94AE7"/>
    <w:rsid w:val="00CA5F3C"/>
    <w:rsid w:val="00CB0664"/>
    <w:rsid w:val="00CC355E"/>
    <w:rsid w:val="00CF408F"/>
    <w:rsid w:val="00D01220"/>
    <w:rsid w:val="00D10341"/>
    <w:rsid w:val="00D340BC"/>
    <w:rsid w:val="00D41643"/>
    <w:rsid w:val="00D41AD6"/>
    <w:rsid w:val="00D54B38"/>
    <w:rsid w:val="00D55B72"/>
    <w:rsid w:val="00D61BF1"/>
    <w:rsid w:val="00DA1A3E"/>
    <w:rsid w:val="00DB0A37"/>
    <w:rsid w:val="00DB32AB"/>
    <w:rsid w:val="00DD09A7"/>
    <w:rsid w:val="00DD13E6"/>
    <w:rsid w:val="00DD2C82"/>
    <w:rsid w:val="00DD6297"/>
    <w:rsid w:val="00DE4E85"/>
    <w:rsid w:val="00E17A18"/>
    <w:rsid w:val="00E3020F"/>
    <w:rsid w:val="00E310C5"/>
    <w:rsid w:val="00E357A8"/>
    <w:rsid w:val="00E36FB0"/>
    <w:rsid w:val="00E443C7"/>
    <w:rsid w:val="00E53F0B"/>
    <w:rsid w:val="00E57D8E"/>
    <w:rsid w:val="00E63517"/>
    <w:rsid w:val="00E7421D"/>
    <w:rsid w:val="00E75F33"/>
    <w:rsid w:val="00E83095"/>
    <w:rsid w:val="00E9017D"/>
    <w:rsid w:val="00E90570"/>
    <w:rsid w:val="00E956E2"/>
    <w:rsid w:val="00EB0F4F"/>
    <w:rsid w:val="00EB74FC"/>
    <w:rsid w:val="00EC3E7D"/>
    <w:rsid w:val="00EC459E"/>
    <w:rsid w:val="00ED1485"/>
    <w:rsid w:val="00ED32D7"/>
    <w:rsid w:val="00EF0796"/>
    <w:rsid w:val="00F0110E"/>
    <w:rsid w:val="00F0135D"/>
    <w:rsid w:val="00F06F63"/>
    <w:rsid w:val="00F11955"/>
    <w:rsid w:val="00F22E8A"/>
    <w:rsid w:val="00F34D15"/>
    <w:rsid w:val="00F35E70"/>
    <w:rsid w:val="00F43F02"/>
    <w:rsid w:val="00F45D69"/>
    <w:rsid w:val="00F524C3"/>
    <w:rsid w:val="00F623E5"/>
    <w:rsid w:val="00F63CF5"/>
    <w:rsid w:val="00F70686"/>
    <w:rsid w:val="00F737DF"/>
    <w:rsid w:val="00F83BA4"/>
    <w:rsid w:val="00F85DFF"/>
    <w:rsid w:val="00F875D9"/>
    <w:rsid w:val="00F95C57"/>
    <w:rsid w:val="00FA5F4A"/>
    <w:rsid w:val="00FC044A"/>
    <w:rsid w:val="00FC0D88"/>
    <w:rsid w:val="00FC2553"/>
    <w:rsid w:val="00FC693F"/>
    <w:rsid w:val="00FC7613"/>
    <w:rsid w:val="00FD5E5D"/>
    <w:rsid w:val="00FD5FD4"/>
    <w:rsid w:val="00FE6A0B"/>
    <w:rsid w:val="00FF2C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DBC255"/>
  <w14:defaultImageDpi w14:val="300"/>
  <w15:docId w15:val="{AF9E0A4C-7E7F-4213-BBE2-BFD65028F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4937CB"/>
    <w:rPr>
      <w:color w:val="0000FF" w:themeColor="hyperlink"/>
      <w:u w:val="single"/>
    </w:rPr>
  </w:style>
  <w:style w:type="character" w:styleId="UnresolvedMention">
    <w:name w:val="Unresolved Mention"/>
    <w:basedOn w:val="DefaultParagraphFont"/>
    <w:uiPriority w:val="99"/>
    <w:semiHidden/>
    <w:unhideWhenUsed/>
    <w:rsid w:val="004937CB"/>
    <w:rPr>
      <w:color w:val="605E5C"/>
      <w:shd w:val="clear" w:color="auto" w:fill="E1DFDD"/>
    </w:rPr>
  </w:style>
  <w:style w:type="paragraph" w:styleId="NormalWeb">
    <w:name w:val="Normal (Web)"/>
    <w:basedOn w:val="Normal"/>
    <w:uiPriority w:val="99"/>
    <w:unhideWhenUsed/>
    <w:rsid w:val="00F7068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6</Pages>
  <Words>2283</Words>
  <Characters>15457</Characters>
  <Application>Microsoft Office Word</Application>
  <DocSecurity>0</DocSecurity>
  <Lines>441</Lines>
  <Paragraphs>224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17516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Bhushan Tandale</cp:lastModifiedBy>
  <cp:revision>27</cp:revision>
  <cp:lastPrinted>2025-09-08T05:48:00Z</cp:lastPrinted>
  <dcterms:created xsi:type="dcterms:W3CDTF">2025-09-12T10:24:00Z</dcterms:created>
  <dcterms:modified xsi:type="dcterms:W3CDTF">2026-02-18T08:19:00Z</dcterms:modified>
  <cp:category/>
</cp:coreProperties>
</file>