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A1F72E">
      <w:pPr>
        <w:widowControl/>
        <w:spacing w:beforeLines="0" w:afterLines="0"/>
        <w:ind w:firstLine="241"/>
        <w:jc w:val="center"/>
        <w:rPr>
          <w:rFonts w:hint="default" w:ascii="Times New Roman" w:hAnsi="Times New Roman" w:cs="Times New Roman"/>
          <w:b/>
          <w:color w:val="000000"/>
          <w:kern w:val="0"/>
          <w:sz w:val="24"/>
          <w:szCs w:val="24"/>
          <w:lang w:bidi="ar"/>
        </w:rPr>
      </w:pPr>
      <w:r>
        <w:rPr>
          <w:rFonts w:hint="default" w:ascii="Times New Roman" w:hAnsi="Times New Roman" w:cs="Times New Roman"/>
          <w:b/>
          <w:color w:val="000000"/>
          <w:kern w:val="0"/>
          <w:sz w:val="24"/>
          <w:szCs w:val="24"/>
          <w:lang w:bidi="ar"/>
        </w:rPr>
        <w:t>Different alkali carbonates on the microstructure and photoluminescence</w:t>
      </w:r>
      <w:r>
        <w:rPr>
          <w:rFonts w:hint="eastAsia" w:ascii="Times New Roman" w:hAnsi="Times New Roman" w:cs="Times New Roman"/>
          <w:b/>
          <w:color w:val="000000"/>
          <w:kern w:val="0"/>
          <w:sz w:val="24"/>
          <w:szCs w:val="24"/>
          <w:lang w:val="en-US" w:eastAsia="zh-CN" w:bidi="ar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kern w:val="0"/>
          <w:sz w:val="24"/>
          <w:szCs w:val="24"/>
          <w:lang w:bidi="ar"/>
        </w:rPr>
        <w:t xml:space="preserve">properties of </w:t>
      </w:r>
      <w:r>
        <w:rPr>
          <w:rFonts w:hint="default" w:ascii="Times New Roman" w:hAnsi="Times New Roman" w:eastAsia="AdvTTe692faf0" w:cs="Times New Roman"/>
          <w:b/>
          <w:color w:val="000000"/>
          <w:kern w:val="0"/>
          <w:sz w:val="24"/>
          <w:szCs w:val="24"/>
          <w:lang w:bidi="ar"/>
        </w:rPr>
        <w:t>SrWO</w:t>
      </w:r>
      <w:r>
        <w:rPr>
          <w:rFonts w:hint="default" w:ascii="Times New Roman" w:hAnsi="Times New Roman" w:eastAsia="AdvTTe692faf0" w:cs="Times New Roman"/>
          <w:b/>
          <w:color w:val="000000"/>
          <w:kern w:val="0"/>
          <w:sz w:val="24"/>
          <w:szCs w:val="24"/>
          <w:vertAlign w:val="subscript"/>
          <w:lang w:bidi="ar"/>
        </w:rPr>
        <w:t>4</w:t>
      </w:r>
      <w:r>
        <w:rPr>
          <w:rFonts w:hint="default" w:ascii="Times New Roman" w:hAnsi="Times New Roman" w:eastAsia="AdvTTe692faf0" w:cs="Times New Roman"/>
          <w:b/>
          <w:color w:val="000000"/>
          <w:kern w:val="0"/>
          <w:sz w:val="24"/>
          <w:szCs w:val="24"/>
          <w:lang w:bidi="ar"/>
        </w:rPr>
        <w:t>:Tb</w:t>
      </w:r>
      <w:r>
        <w:rPr>
          <w:rFonts w:hint="default" w:ascii="Times New Roman" w:hAnsi="Times New Roman" w:cs="Times New Roman"/>
          <w:b/>
          <w:color w:val="000000"/>
          <w:kern w:val="0"/>
          <w:sz w:val="24"/>
          <w:szCs w:val="24"/>
          <w:vertAlign w:val="superscript"/>
          <w:lang w:bidi="ar"/>
        </w:rPr>
        <w:t>3+</w:t>
      </w:r>
      <w:r>
        <w:rPr>
          <w:rFonts w:hint="default" w:ascii="Times New Roman" w:hAnsi="Times New Roman" w:cs="Times New Roman"/>
          <w:b/>
          <w:color w:val="000000"/>
          <w:kern w:val="0"/>
          <w:sz w:val="24"/>
          <w:szCs w:val="24"/>
          <w:lang w:bidi="ar"/>
        </w:rPr>
        <w:t xml:space="preserve"> phosphors</w:t>
      </w:r>
    </w:p>
    <w:p w14:paraId="510C534D">
      <w:pPr>
        <w:widowControl/>
        <w:ind w:firstLine="241"/>
        <w:jc w:val="center"/>
        <w:rPr>
          <w:rFonts w:hint="eastAsia" w:cs="Times New Roman"/>
          <w:b w:val="0"/>
          <w:bCs w:val="0"/>
          <w:color w:val="000000"/>
          <w:kern w:val="0"/>
          <w:lang w:val="en-US" w:eastAsia="zh-CN" w:bidi="ar"/>
        </w:rPr>
      </w:pPr>
      <w:bookmarkStart w:id="0" w:name="_GoBack"/>
      <w:bookmarkEnd w:id="0"/>
      <w:r>
        <w:rPr>
          <w:rFonts w:hint="eastAsia" w:cs="Times New Roman"/>
          <w:b w:val="0"/>
          <w:bCs w:val="0"/>
          <w:color w:val="000000"/>
          <w:kern w:val="0"/>
          <w:lang w:val="en-US" w:eastAsia="zh-CN" w:bidi="ar"/>
        </w:rPr>
        <w:t>Xiaoxing Ma, Faxue Ma,* Dingcheng Yang, Aiyun Jiang</w:t>
      </w:r>
    </w:p>
    <w:p w14:paraId="3FBB7911">
      <w:pPr>
        <w:widowControl/>
        <w:ind w:firstLine="241"/>
        <w:jc w:val="center"/>
        <w:rPr>
          <w:rFonts w:hint="default" w:cs="Times New Roman"/>
          <w:b w:val="0"/>
          <w:bCs w:val="0"/>
          <w:color w:val="000000"/>
          <w:kern w:val="0"/>
          <w:lang w:val="en-US" w:eastAsia="zh-CN" w:bidi="ar"/>
        </w:rPr>
      </w:pPr>
      <w:r>
        <w:rPr>
          <w:rFonts w:hint="eastAsia" w:cs="Times New Roman"/>
          <w:b w:val="0"/>
          <w:bCs w:val="0"/>
          <w:color w:val="000000"/>
          <w:kern w:val="0"/>
          <w:lang w:val="en-US" w:eastAsia="zh-CN" w:bidi="ar"/>
        </w:rPr>
        <w:t>College of Engineering, Huanghe S &amp; T University, Zhengzhou, 454000, mfxxmu@163.com</w:t>
      </w:r>
    </w:p>
    <w:p w14:paraId="04F55457">
      <w:pPr>
        <w:widowControl/>
        <w:spacing w:beforeLines="0" w:afterLines="0"/>
        <w:ind w:firstLine="241"/>
        <w:jc w:val="center"/>
        <w:rPr>
          <w:rFonts w:hint="default" w:ascii="Times New Roman" w:hAnsi="Times New Roman" w:cs="Times New Roman"/>
          <w:b/>
          <w:color w:val="000000"/>
          <w:kern w:val="0"/>
          <w:sz w:val="24"/>
          <w:szCs w:val="24"/>
          <w:lang w:bidi="ar"/>
        </w:rPr>
      </w:pPr>
    </w:p>
    <w:p w14:paraId="50CDA944">
      <w:pPr>
        <w:widowControl/>
        <w:spacing w:beforeLines="0" w:afterLines="0"/>
        <w:ind w:firstLine="241"/>
        <w:jc w:val="center"/>
        <w:rPr>
          <w:rFonts w:hint="default" w:ascii="Times New Roman" w:hAnsi="Times New Roman" w:cs="Times New Roman"/>
          <w:b/>
          <w:color w:val="000000"/>
          <w:kern w:val="0"/>
          <w:sz w:val="24"/>
          <w:szCs w:val="24"/>
          <w:lang w:eastAsia="zh-CN" w:bidi="ar"/>
        </w:rPr>
      </w:pPr>
    </w:p>
    <w:p w14:paraId="399ABE2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09035"/>
            <wp:effectExtent l="0" t="0" r="10160" b="5715"/>
            <wp:docPr id="2" name="图片 2" descr="晶体结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晶体结构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0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078ED">
      <w:pPr>
        <w:keepNext w:val="0"/>
        <w:keepLines w:val="0"/>
        <w:widowControl/>
        <w:suppressLineNumbers w:val="0"/>
        <w:jc w:val="left"/>
        <w:rPr>
          <w:rFonts w:hint="default"/>
          <w:sz w:val="21"/>
          <w:szCs w:val="21"/>
          <w:vertAlign w:val="baseline"/>
          <w:lang w:val="en-US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Figure S1 </w:t>
      </w:r>
      <w:r>
        <w:rPr>
          <w:rFonts w:hint="default" w:ascii="Times New Roman" w:hAnsi="Times New Roman" w:eastAsia="AdvOTd3a5f740" w:cs="Times New Roman"/>
          <w:color w:val="231F20"/>
          <w:kern w:val="0"/>
          <w:sz w:val="21"/>
          <w:szCs w:val="21"/>
          <w:lang w:val="en-US" w:eastAsia="zh-CN" w:bidi="ar"/>
        </w:rPr>
        <w:t xml:space="preserve">Construction of the 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Sr</w:t>
      </w:r>
      <w:r>
        <w:rPr>
          <w:rFonts w:hint="default" w:ascii="Times New Roman" w:hAnsi="Times New Roman" w:cs="Times New Roman"/>
          <w:sz w:val="21"/>
          <w:szCs w:val="21"/>
        </w:rPr>
        <w:t>WO</w:t>
      </w:r>
      <w:r>
        <w:rPr>
          <w:rFonts w:hint="default" w:ascii="Times New Roman" w:hAnsi="Times New Roman" w:cs="Times New Roman"/>
          <w:sz w:val="21"/>
          <w:szCs w:val="21"/>
          <w:vertAlign w:val="subscript"/>
        </w:rPr>
        <w:t>4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:0.4%Tb</w:t>
      </w:r>
      <w:r>
        <w:rPr>
          <w:rFonts w:hint="default" w:ascii="Times New Roman" w:hAnsi="Times New Roman" w:eastAsia="AdvOTd3a5f740" w:cs="Times New Roman"/>
          <w:color w:val="231F20"/>
          <w:kern w:val="0"/>
          <w:sz w:val="21"/>
          <w:szCs w:val="21"/>
          <w:lang w:val="en-US" w:eastAsia="zh-CN" w:bidi="ar"/>
        </w:rPr>
        <w:t xml:space="preserve"> (</w:t>
      </w:r>
      <w:r>
        <w:rPr>
          <w:rFonts w:hint="eastAsia" w:ascii="Times New Roman" w:hAnsi="Times New Roman" w:eastAsia="AdvOTd3a5f740" w:cs="Times New Roman"/>
          <w:color w:val="231F20"/>
          <w:kern w:val="0"/>
          <w:sz w:val="21"/>
          <w:szCs w:val="21"/>
          <w:lang w:val="en-US" w:eastAsia="zh-CN" w:bidi="ar"/>
        </w:rPr>
        <w:t>Sr/Tb</w:t>
      </w:r>
      <w:r>
        <w:rPr>
          <w:rFonts w:hint="default" w:ascii="Times New Roman" w:hAnsi="Times New Roman" w:eastAsia="AdvOTd3a5f740" w:cs="Times New Roman"/>
          <w:color w:val="231F20"/>
          <w:kern w:val="0"/>
          <w:sz w:val="21"/>
          <w:szCs w:val="21"/>
          <w:lang w:val="en-US" w:eastAsia="zh-CN" w:bidi="ar"/>
        </w:rPr>
        <w:t xml:space="preserve">: blue; </w:t>
      </w:r>
      <w:r>
        <w:rPr>
          <w:rFonts w:hint="eastAsia" w:ascii="Times New Roman" w:hAnsi="Times New Roman" w:eastAsia="AdvOTd3a5f740" w:cs="Times New Roman"/>
          <w:color w:val="231F20"/>
          <w:kern w:val="0"/>
          <w:sz w:val="21"/>
          <w:szCs w:val="21"/>
          <w:lang w:val="en-US" w:eastAsia="zh-CN" w:bidi="ar"/>
        </w:rPr>
        <w:t xml:space="preserve">W: gray; </w:t>
      </w:r>
      <w:r>
        <w:rPr>
          <w:rFonts w:hint="default" w:ascii="Times New Roman" w:hAnsi="Times New Roman" w:eastAsia="AdvOTd3a5f740" w:cs="Times New Roman"/>
          <w:color w:val="231F20"/>
          <w:kern w:val="0"/>
          <w:sz w:val="21"/>
          <w:szCs w:val="21"/>
          <w:lang w:val="en-US" w:eastAsia="zh-CN" w:bidi="ar"/>
        </w:rPr>
        <w:t xml:space="preserve">O: </w:t>
      </w:r>
      <w:r>
        <w:rPr>
          <w:rFonts w:hint="eastAsia" w:ascii="Times New Roman" w:hAnsi="Times New Roman" w:eastAsia="AdvOTd3a5f740" w:cs="Times New Roman"/>
          <w:color w:val="231F20"/>
          <w:kern w:val="0"/>
          <w:sz w:val="21"/>
          <w:szCs w:val="21"/>
          <w:lang w:val="en-US" w:eastAsia="zh-CN" w:bidi="ar"/>
        </w:rPr>
        <w:t>green</w:t>
      </w:r>
      <w:r>
        <w:rPr>
          <w:rFonts w:hint="default" w:ascii="Times New Roman" w:hAnsi="Times New Roman" w:eastAsia="AdvOTd3a5f740" w:cs="Times New Roman"/>
          <w:color w:val="231F20"/>
          <w:kern w:val="0"/>
          <w:sz w:val="21"/>
          <w:szCs w:val="21"/>
          <w:lang w:val="en-US" w:eastAsia="zh-CN" w:bidi="ar"/>
        </w:rPr>
        <w:t>.): (a) the</w:t>
      </w:r>
      <w:r>
        <w:rPr>
          <w:rFonts w:hint="eastAsia" w:ascii="Times New Roman" w:hAnsi="Times New Roman" w:eastAsia="AdvOTd3a5f740" w:cs="Times New Roman"/>
          <w:color w:val="231F20"/>
          <w:kern w:val="0"/>
          <w:sz w:val="21"/>
          <w:szCs w:val="21"/>
          <w:lang w:val="en-US" w:eastAsia="zh-CN" w:bidi="ar"/>
        </w:rPr>
        <w:t xml:space="preserve"> WO</w:t>
      </w:r>
      <w:r>
        <w:rPr>
          <w:rFonts w:hint="eastAsia" w:ascii="Times New Roman" w:hAnsi="Times New Roman" w:eastAsia="AdvOTd3a5f740" w:cs="Times New Roman"/>
          <w:color w:val="231F20"/>
          <w:kern w:val="0"/>
          <w:sz w:val="21"/>
          <w:szCs w:val="21"/>
          <w:vertAlign w:val="subscript"/>
          <w:lang w:val="en-US" w:eastAsia="zh-CN" w:bidi="ar"/>
        </w:rPr>
        <w:t>4</w:t>
      </w:r>
      <w:r>
        <w:rPr>
          <w:rFonts w:hint="eastAsia" w:ascii="Times New Roman" w:hAnsi="Times New Roman" w:eastAsia="AdvOTd3a5f740" w:cs="Times New Roman"/>
          <w:color w:val="231F20"/>
          <w:kern w:val="0"/>
          <w:sz w:val="21"/>
          <w:szCs w:val="21"/>
          <w:vertAlign w:val="superscript"/>
          <w:lang w:val="en-US" w:eastAsia="zh-CN" w:bidi="ar"/>
        </w:rPr>
        <w:t>2-</w:t>
      </w:r>
      <w:r>
        <w:rPr>
          <w:rFonts w:hint="eastAsia" w:ascii="Times New Roman" w:hAnsi="Times New Roman" w:eastAsia="AdvOTd3a5f740" w:cs="Times New Roman"/>
          <w:color w:val="231F20"/>
          <w:kern w:val="0"/>
          <w:sz w:val="21"/>
          <w:szCs w:val="21"/>
          <w:vertAlign w:val="baseline"/>
          <w:lang w:val="en-US" w:eastAsia="zh-CN" w:bidi="ar"/>
        </w:rPr>
        <w:t>; (b) the coordination structure of the Sr/Tb atoms;</w:t>
      </w:r>
      <w:r>
        <w:rPr>
          <w:rFonts w:hint="eastAsia" w:ascii="Times New Roman" w:hAnsi="Times New Roman" w:eastAsia="AdvOTd3a5f740" w:cs="Times New Roman"/>
          <w:color w:val="231F20"/>
          <w:kern w:val="0"/>
          <w:sz w:val="21"/>
          <w:szCs w:val="21"/>
          <w:vertAlign w:val="subscript"/>
          <w:lang w:val="en-US" w:eastAsia="zh-CN" w:bidi="ar"/>
        </w:rPr>
        <w:t xml:space="preserve"> </w:t>
      </w:r>
      <w:r>
        <w:rPr>
          <w:rFonts w:hint="eastAsia" w:ascii="Times New Roman" w:hAnsi="Times New Roman" w:eastAsia="AdvOTd3a5f740" w:cs="Times New Roman"/>
          <w:color w:val="231F20"/>
          <w:kern w:val="0"/>
          <w:sz w:val="21"/>
          <w:szCs w:val="21"/>
          <w:vertAlign w:val="baseline"/>
          <w:lang w:val="en-US" w:eastAsia="zh-CN" w:bidi="ar"/>
        </w:rPr>
        <w:t xml:space="preserve">(c) the coordination structure of the O atoms; (d)the coordination structure of the </w:t>
      </w:r>
      <w:r>
        <w:rPr>
          <w:rFonts w:hint="eastAsia" w:ascii="Times New Roman" w:hAnsi="Times New Roman" w:eastAsia="AdvOTd3a5f740" w:cs="Times New Roman"/>
          <w:color w:val="231F20"/>
          <w:kern w:val="0"/>
          <w:sz w:val="21"/>
          <w:szCs w:val="21"/>
          <w:lang w:val="en-US" w:eastAsia="zh-CN" w:bidi="ar"/>
        </w:rPr>
        <w:t>WO</w:t>
      </w:r>
      <w:r>
        <w:rPr>
          <w:rFonts w:hint="eastAsia" w:ascii="Times New Roman" w:hAnsi="Times New Roman" w:eastAsia="AdvOTd3a5f740" w:cs="Times New Roman"/>
          <w:color w:val="231F20"/>
          <w:kern w:val="0"/>
          <w:sz w:val="21"/>
          <w:szCs w:val="21"/>
          <w:vertAlign w:val="subscript"/>
          <w:lang w:val="en-US" w:eastAsia="zh-CN" w:bidi="ar"/>
        </w:rPr>
        <w:t>4</w:t>
      </w:r>
      <w:r>
        <w:rPr>
          <w:rFonts w:hint="eastAsia" w:ascii="Times New Roman" w:hAnsi="Times New Roman" w:eastAsia="AdvOTd3a5f740" w:cs="Times New Roman"/>
          <w:color w:val="231F20"/>
          <w:kern w:val="0"/>
          <w:sz w:val="21"/>
          <w:szCs w:val="21"/>
          <w:vertAlign w:val="superscript"/>
          <w:lang w:val="en-US" w:eastAsia="zh-CN" w:bidi="ar"/>
        </w:rPr>
        <w:t>2-</w:t>
      </w:r>
      <w:r>
        <w:rPr>
          <w:rFonts w:hint="eastAsia" w:ascii="Times New Roman" w:hAnsi="Times New Roman" w:eastAsia="AdvOTd3a5f740" w:cs="Times New Roman"/>
          <w:color w:val="231F20"/>
          <w:kern w:val="0"/>
          <w:sz w:val="21"/>
          <w:szCs w:val="21"/>
          <w:vertAlign w:val="baseline"/>
          <w:lang w:val="en-US" w:eastAsia="zh-CN" w:bidi="ar"/>
        </w:rPr>
        <w:t xml:space="preserve"> groups; (d) the connection mode of two </w:t>
      </w:r>
      <w:r>
        <w:rPr>
          <w:rFonts w:hint="eastAsia" w:ascii="Times New Roman" w:hAnsi="Times New Roman" w:eastAsia="AdvOTd3a5f740" w:cs="Times New Roman"/>
          <w:color w:val="231F20"/>
          <w:kern w:val="0"/>
          <w:sz w:val="21"/>
          <w:szCs w:val="21"/>
          <w:lang w:val="en-US" w:eastAsia="zh-CN" w:bidi="ar"/>
        </w:rPr>
        <w:t>WO</w:t>
      </w:r>
      <w:r>
        <w:rPr>
          <w:rFonts w:hint="eastAsia" w:ascii="Times New Roman" w:hAnsi="Times New Roman" w:eastAsia="AdvOTd3a5f740" w:cs="Times New Roman"/>
          <w:color w:val="231F20"/>
          <w:kern w:val="0"/>
          <w:sz w:val="21"/>
          <w:szCs w:val="21"/>
          <w:vertAlign w:val="subscript"/>
          <w:lang w:val="en-US" w:eastAsia="zh-CN" w:bidi="ar"/>
        </w:rPr>
        <w:t>4</w:t>
      </w:r>
      <w:r>
        <w:rPr>
          <w:rFonts w:hint="eastAsia" w:ascii="Times New Roman" w:hAnsi="Times New Roman" w:eastAsia="AdvOTd3a5f740" w:cs="Times New Roman"/>
          <w:color w:val="231F20"/>
          <w:kern w:val="0"/>
          <w:sz w:val="21"/>
          <w:szCs w:val="21"/>
          <w:vertAlign w:val="superscript"/>
          <w:lang w:val="en-US" w:eastAsia="zh-CN" w:bidi="ar"/>
        </w:rPr>
        <w:t>2-</w:t>
      </w:r>
      <w:r>
        <w:rPr>
          <w:rFonts w:hint="eastAsia" w:ascii="Times New Roman" w:hAnsi="Times New Roman" w:eastAsia="AdvOTd3a5f740" w:cs="Times New Roman"/>
          <w:color w:val="231F20"/>
          <w:kern w:val="0"/>
          <w:sz w:val="21"/>
          <w:szCs w:val="21"/>
          <w:vertAlign w:val="baseline"/>
          <w:lang w:val="en-US" w:eastAsia="zh-CN" w:bidi="ar"/>
        </w:rPr>
        <w:t xml:space="preserve"> groups; (f) the coordination mode of the </w:t>
      </w:r>
      <w:r>
        <w:rPr>
          <w:rFonts w:hint="eastAsia" w:ascii="Times New Roman" w:hAnsi="Times New Roman" w:eastAsia="AdvOTd3a5f740" w:cs="Times New Roman"/>
          <w:color w:val="231F20"/>
          <w:kern w:val="0"/>
          <w:sz w:val="21"/>
          <w:szCs w:val="21"/>
          <w:lang w:val="en-US" w:eastAsia="zh-CN" w:bidi="ar"/>
        </w:rPr>
        <w:t>WO</w:t>
      </w:r>
      <w:r>
        <w:rPr>
          <w:rFonts w:hint="eastAsia" w:ascii="Times New Roman" w:hAnsi="Times New Roman" w:eastAsia="AdvOTd3a5f740" w:cs="Times New Roman"/>
          <w:color w:val="231F20"/>
          <w:kern w:val="0"/>
          <w:sz w:val="21"/>
          <w:szCs w:val="21"/>
          <w:vertAlign w:val="subscript"/>
          <w:lang w:val="en-US" w:eastAsia="zh-CN" w:bidi="ar"/>
        </w:rPr>
        <w:t>4</w:t>
      </w:r>
      <w:r>
        <w:rPr>
          <w:rFonts w:hint="eastAsia" w:ascii="Times New Roman" w:hAnsi="Times New Roman" w:eastAsia="AdvOTd3a5f740" w:cs="Times New Roman"/>
          <w:color w:val="231F20"/>
          <w:kern w:val="0"/>
          <w:sz w:val="21"/>
          <w:szCs w:val="21"/>
          <w:vertAlign w:val="superscript"/>
          <w:lang w:val="en-US" w:eastAsia="zh-CN" w:bidi="ar"/>
        </w:rPr>
        <w:t>2-</w:t>
      </w:r>
      <w:r>
        <w:rPr>
          <w:rFonts w:hint="eastAsia" w:ascii="Times New Roman" w:hAnsi="Times New Roman" w:eastAsia="AdvOTd3a5f740" w:cs="Times New Roman"/>
          <w:color w:val="231F20"/>
          <w:kern w:val="0"/>
          <w:sz w:val="21"/>
          <w:szCs w:val="21"/>
          <w:vertAlign w:val="baseline"/>
          <w:lang w:val="en-US" w:eastAsia="zh-CN" w:bidi="ar"/>
        </w:rPr>
        <w:t xml:space="preserve"> group with Sr and W atoms; (g)the structure of 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Sr</w:t>
      </w:r>
      <w:r>
        <w:rPr>
          <w:rFonts w:hint="default" w:ascii="Times New Roman" w:hAnsi="Times New Roman" w:cs="Times New Roman"/>
          <w:sz w:val="21"/>
          <w:szCs w:val="21"/>
        </w:rPr>
        <w:t>WO</w:t>
      </w:r>
      <w:r>
        <w:rPr>
          <w:rFonts w:hint="default" w:ascii="Times New Roman" w:hAnsi="Times New Roman" w:cs="Times New Roman"/>
          <w:sz w:val="21"/>
          <w:szCs w:val="21"/>
          <w:vertAlign w:val="subscript"/>
        </w:rPr>
        <w:t>4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:0.4%Tb</w:t>
      </w:r>
    </w:p>
    <w:p w14:paraId="78B7F9EB">
      <w:pPr>
        <w:ind w:firstLine="210" w:firstLineChars="100"/>
        <w:jc w:val="center"/>
        <w:rPr>
          <w:rFonts w:hint="eastAsia" w:ascii="Times New Roman" w:hAnsi="Times New Roman" w:eastAsia="STIXTwoText" w:cs="Times New Roman"/>
          <w:color w:val="231F20"/>
          <w:kern w:val="0"/>
          <w:sz w:val="21"/>
          <w:szCs w:val="21"/>
          <w:lang w:val="en-US" w:eastAsia="zh-CN" w:bidi="ar"/>
        </w:rPr>
      </w:pPr>
    </w:p>
    <w:p w14:paraId="288B36EB">
      <w:pPr>
        <w:jc w:val="center"/>
        <w:rPr>
          <w:rFonts w:hint="default" w:ascii="Times New Roman" w:hAnsi="Times New Roman" w:cs="Times New Roman" w:eastAsiaTheme="minorEastAsia"/>
          <w:vertAlign w:val="baseline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 xml:space="preserve">Table S1 Some crystallographic data of 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Sr</w:t>
      </w:r>
      <w:r>
        <w:rPr>
          <w:rFonts w:hint="default" w:ascii="Times New Roman" w:hAnsi="Times New Roman" w:cs="Times New Roman"/>
          <w:sz w:val="21"/>
          <w:szCs w:val="21"/>
        </w:rPr>
        <w:t>WO</w:t>
      </w:r>
      <w:r>
        <w:rPr>
          <w:rFonts w:hint="default" w:ascii="Times New Roman" w:hAnsi="Times New Roman" w:cs="Times New Roman"/>
          <w:sz w:val="21"/>
          <w:szCs w:val="21"/>
          <w:vertAlign w:val="subscript"/>
        </w:rPr>
        <w:t>4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:0.4%Tb and Sr</w:t>
      </w:r>
      <w:r>
        <w:rPr>
          <w:rFonts w:hint="default" w:ascii="Times New Roman" w:hAnsi="Times New Roman" w:cs="Times New Roman"/>
          <w:sz w:val="21"/>
          <w:szCs w:val="21"/>
        </w:rPr>
        <w:t>WO</w:t>
      </w:r>
      <w:r>
        <w:rPr>
          <w:rFonts w:hint="default" w:ascii="Times New Roman" w:hAnsi="Times New Roman" w:cs="Times New Roman"/>
          <w:sz w:val="21"/>
          <w:szCs w:val="21"/>
          <w:vertAlign w:val="subscript"/>
        </w:rPr>
        <w:t>4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:0.4%Tb, 0.5%K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0"/>
        <w:gridCol w:w="2840"/>
      </w:tblGrid>
      <w:tr w14:paraId="586578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  <w:jc w:val="center"/>
        </w:trPr>
        <w:tc>
          <w:tcPr>
            <w:tcW w:w="2840" w:type="dxa"/>
            <w:tcBorders>
              <w:top w:val="single" w:color="000000" w:sz="12" w:space="0"/>
              <w:left w:val="nil"/>
              <w:bottom w:val="single" w:color="000000" w:sz="12" w:space="0"/>
              <w:right w:val="nil"/>
            </w:tcBorders>
          </w:tcPr>
          <w:p w14:paraId="65591B7D"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840" w:type="dxa"/>
            <w:tcBorders>
              <w:top w:val="single" w:color="000000" w:sz="12" w:space="0"/>
              <w:left w:val="nil"/>
              <w:bottom w:val="single" w:color="000000" w:sz="12" w:space="0"/>
              <w:right w:val="nil"/>
            </w:tcBorders>
          </w:tcPr>
          <w:p w14:paraId="095A326D"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Sr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WO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subscript"/>
              </w:rPr>
              <w:t>4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:0.4%Tb</w:t>
            </w:r>
          </w:p>
        </w:tc>
        <w:tc>
          <w:tcPr>
            <w:tcW w:w="2840" w:type="dxa"/>
            <w:tcBorders>
              <w:top w:val="single" w:color="000000" w:sz="12" w:space="0"/>
              <w:left w:val="nil"/>
              <w:bottom w:val="single" w:color="000000" w:sz="12" w:space="0"/>
              <w:right w:val="nil"/>
            </w:tcBorders>
          </w:tcPr>
          <w:p w14:paraId="55DCB578"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Sr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WO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subscript"/>
              </w:rPr>
              <w:t>4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:0.4%Tb, 0.5%K</w:t>
            </w:r>
          </w:p>
        </w:tc>
      </w:tr>
      <w:tr w14:paraId="74ADAA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40" w:type="dxa"/>
            <w:tcBorders>
              <w:top w:val="single" w:color="000000" w:sz="12" w:space="0"/>
              <w:left w:val="nil"/>
              <w:bottom w:val="nil"/>
              <w:right w:val="nil"/>
            </w:tcBorders>
          </w:tcPr>
          <w:p w14:paraId="128547FA"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Microsoft YaHei UI" w:cs="Times New Roman"/>
                <w:b/>
                <w:bCs/>
                <w:color w:val="000000"/>
                <w:sz w:val="21"/>
                <w:szCs w:val="21"/>
              </w:rPr>
              <w:t>Space-group</w:t>
            </w:r>
          </w:p>
        </w:tc>
        <w:tc>
          <w:tcPr>
            <w:tcW w:w="2840" w:type="dxa"/>
            <w:tcBorders>
              <w:top w:val="single" w:color="000000" w:sz="12" w:space="0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23DC530B"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Microsoft YaHei UI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I4</w:t>
            </w:r>
            <w:r>
              <w:rPr>
                <w:rFonts w:hint="default" w:ascii="Times New Roman" w:hAnsi="Times New Roman" w:eastAsia="Microsoft YaHei UI" w:cs="Times New Roman"/>
                <w:color w:val="000000"/>
                <w:kern w:val="0"/>
                <w:sz w:val="21"/>
                <w:szCs w:val="21"/>
                <w:vertAlign w:val="subscript"/>
                <w:lang w:val="en-US" w:eastAsia="zh-CN" w:bidi="ar"/>
              </w:rPr>
              <w:t>1/a</w:t>
            </w:r>
            <w:r>
              <w:rPr>
                <w:rFonts w:hint="default" w:ascii="Times New Roman" w:hAnsi="Times New Roman" w:eastAsia="Microsoft YaHei UI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(88)-tetragonal</w:t>
            </w:r>
          </w:p>
        </w:tc>
        <w:tc>
          <w:tcPr>
            <w:tcW w:w="2840" w:type="dxa"/>
            <w:tcBorders>
              <w:top w:val="single" w:color="000000" w:sz="12" w:space="0"/>
              <w:left w:val="nil"/>
              <w:bottom w:val="nil"/>
              <w:right w:val="nil"/>
            </w:tcBorders>
          </w:tcPr>
          <w:p w14:paraId="2F0713A4"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Microsoft YaHei UI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I4</w:t>
            </w:r>
            <w:r>
              <w:rPr>
                <w:rFonts w:hint="default" w:ascii="Times New Roman" w:hAnsi="Times New Roman" w:eastAsia="Microsoft YaHei UI" w:cs="Times New Roman"/>
                <w:color w:val="000000"/>
                <w:kern w:val="0"/>
                <w:sz w:val="21"/>
                <w:szCs w:val="21"/>
                <w:vertAlign w:val="subscript"/>
                <w:lang w:val="en-US" w:eastAsia="zh-CN" w:bidi="ar"/>
              </w:rPr>
              <w:t>1/a</w:t>
            </w:r>
            <w:r>
              <w:rPr>
                <w:rFonts w:hint="default" w:ascii="Times New Roman" w:hAnsi="Times New Roman" w:eastAsia="Microsoft YaHei UI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(88)-tetragonal</w:t>
            </w:r>
          </w:p>
        </w:tc>
      </w:tr>
      <w:tr w14:paraId="1E1BF5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</w:tcPr>
          <w:p w14:paraId="247ED9A3"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a (</w:t>
            </w:r>
            <w:r>
              <w:rPr>
                <w:rFonts w:hint="default" w:ascii="Times New Roman" w:hAnsi="Times New Roman" w:eastAsia="Microsoft YaHei UI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Å)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702A11B2"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Microsoft YaHei UI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5.4173(1)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</w:tcPr>
          <w:p w14:paraId="1F2E03FE">
            <w:pPr>
              <w:jc w:val="center"/>
              <w:rPr>
                <w:rFonts w:hint="default" w:ascii="Times New Roman" w:hAnsi="Times New Roman" w:eastAsia="Microsoft YaHei UI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Microsoft YaHei UI" w:cs="Times New Roman"/>
                <w:color w:val="000000"/>
                <w:sz w:val="21"/>
                <w:szCs w:val="21"/>
              </w:rPr>
              <w:t>5.4157</w:t>
            </w:r>
          </w:p>
        </w:tc>
      </w:tr>
      <w:tr w14:paraId="13FB3B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</w:tcPr>
          <w:p w14:paraId="73D665BD">
            <w:pPr>
              <w:jc w:val="center"/>
              <w:rPr>
                <w:rFonts w:hint="default" w:ascii="Times New Roman" w:hAnsi="Times New Roman" w:eastAsia="Microsoft YaHei UI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Microsoft YaHei UI" w:cs="Times New Roman"/>
                <w:color w:val="000000"/>
                <w:sz w:val="21"/>
                <w:szCs w:val="21"/>
                <w:lang w:val="en-US" w:eastAsia="zh-CN"/>
              </w:rPr>
              <w:t xml:space="preserve">c 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(</w:t>
            </w:r>
            <w:r>
              <w:rPr>
                <w:rFonts w:hint="default" w:ascii="Times New Roman" w:hAnsi="Times New Roman" w:eastAsia="Microsoft YaHei UI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Å)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014AB78D"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Microsoft YaHei UI" w:cs="Times New Roman"/>
                <w:color w:val="000000"/>
                <w:sz w:val="21"/>
                <w:szCs w:val="21"/>
              </w:rPr>
              <w:t>c=11.9512(2)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</w:tcPr>
          <w:p w14:paraId="4E27DA71"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Microsoft YaHei UI" w:cs="Times New Roman"/>
                <w:color w:val="000000"/>
                <w:sz w:val="21"/>
                <w:szCs w:val="21"/>
              </w:rPr>
              <w:t>11.9463</w:t>
            </w:r>
          </w:p>
        </w:tc>
      </w:tr>
      <w:tr w14:paraId="3EC5A0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</w:tcPr>
          <w:p w14:paraId="2ADBAE4D">
            <w:pPr>
              <w:jc w:val="center"/>
              <w:rPr>
                <w:rFonts w:hint="default" w:ascii="Times New Roman" w:hAnsi="Times New Roman" w:eastAsia="Microsoft YaHei UI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Microsoft YaHei UI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V 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(</w:t>
            </w:r>
            <w:r>
              <w:rPr>
                <w:rFonts w:hint="default" w:ascii="Times New Roman" w:hAnsi="Times New Roman" w:eastAsia="Microsoft YaHei UI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Å</w:t>
            </w:r>
            <w:r>
              <w:rPr>
                <w:rFonts w:hint="default" w:ascii="Times New Roman" w:hAnsi="Times New Roman" w:eastAsia="Microsoft YaHei UI" w:cs="Times New Roman"/>
                <w:color w:val="000000"/>
                <w:kern w:val="0"/>
                <w:sz w:val="21"/>
                <w:szCs w:val="21"/>
                <w:vertAlign w:val="superscript"/>
                <w:lang w:val="en-US" w:eastAsia="zh-CN" w:bidi="ar"/>
              </w:rPr>
              <w:t>3</w:t>
            </w:r>
            <w:r>
              <w:rPr>
                <w:rFonts w:hint="default" w:ascii="Times New Roman" w:hAnsi="Times New Roman" w:eastAsia="Microsoft YaHei UI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)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219A3EDE">
            <w:pPr>
              <w:jc w:val="center"/>
              <w:rPr>
                <w:rFonts w:hint="default" w:ascii="Times New Roman" w:hAnsi="Times New Roman" w:eastAsia="Microsoft YaHei UI" w:cs="Times New Roman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Microsoft YaHei UI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350.74(1)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</w:tcPr>
          <w:p w14:paraId="2EEAD71F">
            <w:pPr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Microsoft YaHei UI" w:cs="Times New Roman"/>
                <w:color w:val="000000"/>
                <w:sz w:val="21"/>
                <w:szCs w:val="21"/>
              </w:rPr>
              <w:t>350.38</w:t>
            </w:r>
          </w:p>
        </w:tc>
      </w:tr>
      <w:tr w14:paraId="283E40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</w:tcPr>
          <w:p w14:paraId="3DDA9EE9">
            <w:pPr>
              <w:jc w:val="center"/>
              <w:rPr>
                <w:rFonts w:hint="default" w:ascii="Times New Roman" w:hAnsi="Times New Roman" w:eastAsia="Microsoft YaHei UI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Microsoft YaHei UI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R</w:t>
            </w:r>
            <w:r>
              <w:rPr>
                <w:rFonts w:hint="eastAsia" w:ascii="Times New Roman" w:hAnsi="Times New Roman" w:eastAsia="Microsoft YaHei UI" w:cs="Times New Roman"/>
                <w:color w:val="000000"/>
                <w:kern w:val="0"/>
                <w:sz w:val="21"/>
                <w:szCs w:val="21"/>
                <w:vertAlign w:val="subscript"/>
                <w:lang w:val="en-US" w:eastAsia="zh-CN" w:bidi="ar"/>
              </w:rPr>
              <w:t>wp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2C3621F0">
            <w:pPr>
              <w:jc w:val="center"/>
              <w:rPr>
                <w:rFonts w:hint="default" w:ascii="Times New Roman" w:hAnsi="Times New Roman" w:eastAsia="Microsoft YaHei UI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Microsoft YaHei UI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8.26%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</w:tcPr>
          <w:p w14:paraId="3D176238">
            <w:pPr>
              <w:jc w:val="center"/>
              <w:rPr>
                <w:rFonts w:hint="default" w:ascii="Times New Roman" w:hAnsi="Times New Roman" w:eastAsia="Microsoft YaHei UI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Microsoft YaHei UI" w:cs="Times New Roman"/>
                <w:color w:val="000000"/>
                <w:sz w:val="21"/>
                <w:szCs w:val="21"/>
                <w:lang w:val="en-US" w:eastAsia="zh-CN"/>
              </w:rPr>
              <w:t>9.34%</w:t>
            </w:r>
          </w:p>
        </w:tc>
      </w:tr>
      <w:tr w14:paraId="12A642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40" w:type="dxa"/>
            <w:tcBorders>
              <w:top w:val="nil"/>
              <w:left w:val="nil"/>
              <w:bottom w:val="single" w:color="000000" w:sz="12" w:space="0"/>
              <w:right w:val="nil"/>
            </w:tcBorders>
          </w:tcPr>
          <w:p w14:paraId="3C9C5214">
            <w:pPr>
              <w:jc w:val="center"/>
              <w:rPr>
                <w:rFonts w:hint="default" w:ascii="Times New Roman" w:hAnsi="Times New Roman" w:eastAsia="Microsoft YaHei UI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Microsoft YaHei UI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R</w:t>
            </w:r>
            <w:r>
              <w:rPr>
                <w:rFonts w:hint="eastAsia" w:ascii="Times New Roman" w:hAnsi="Times New Roman" w:eastAsia="Microsoft YaHei UI" w:cs="Times New Roman"/>
                <w:color w:val="000000"/>
                <w:kern w:val="0"/>
                <w:sz w:val="21"/>
                <w:szCs w:val="21"/>
                <w:vertAlign w:val="subscript"/>
                <w:lang w:val="en-US" w:eastAsia="zh-CN" w:bidi="ar"/>
              </w:rPr>
              <w:t>p</w:t>
            </w:r>
          </w:p>
        </w:tc>
        <w:tc>
          <w:tcPr>
            <w:tcW w:w="2840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auto"/>
            <w:vAlign w:val="top"/>
          </w:tcPr>
          <w:p w14:paraId="44B4B06D">
            <w:pPr>
              <w:jc w:val="center"/>
              <w:rPr>
                <w:rFonts w:hint="default" w:ascii="Times New Roman" w:hAnsi="Times New Roman" w:eastAsia="Microsoft YaHei UI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Microsoft YaHei UI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6.11%</w:t>
            </w:r>
          </w:p>
        </w:tc>
        <w:tc>
          <w:tcPr>
            <w:tcW w:w="2840" w:type="dxa"/>
            <w:tcBorders>
              <w:top w:val="nil"/>
              <w:left w:val="nil"/>
              <w:bottom w:val="single" w:color="000000" w:sz="12" w:space="0"/>
              <w:right w:val="nil"/>
            </w:tcBorders>
          </w:tcPr>
          <w:p w14:paraId="77C20F80">
            <w:pPr>
              <w:jc w:val="center"/>
              <w:rPr>
                <w:rFonts w:hint="default" w:ascii="Times New Roman" w:hAnsi="Times New Roman" w:eastAsia="Microsoft YaHei UI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Microsoft YaHei UI" w:cs="Times New Roman"/>
                <w:color w:val="000000"/>
                <w:sz w:val="21"/>
                <w:szCs w:val="21"/>
                <w:lang w:val="en-US" w:eastAsia="zh-CN"/>
              </w:rPr>
              <w:t>6.24%</w:t>
            </w:r>
          </w:p>
        </w:tc>
      </w:tr>
    </w:tbl>
    <w:p w14:paraId="102D4007">
      <w:pPr>
        <w:rPr>
          <w:rFonts w:hint="default" w:eastAsiaTheme="minorEastAsia"/>
          <w:lang w:val="en-US" w:eastAsia="zh-CN"/>
        </w:rPr>
      </w:pPr>
    </w:p>
    <w:p w14:paraId="0419A0E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658870"/>
            <wp:effectExtent l="0" t="0" r="6350" b="17780"/>
            <wp:docPr id="6" name="图片 6" descr="1% X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% XR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5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CD538">
      <w:pPr>
        <w:ind w:firstLine="210" w:firstLineChars="100"/>
        <w:jc w:val="center"/>
        <w:rPr>
          <w:rFonts w:hint="eastAsia" w:ascii="Times New Roman" w:hAnsi="Times New Roman" w:eastAsia="STIXTwoText" w:cs="Times New Roman"/>
          <w:color w:val="231F20"/>
          <w:kern w:val="0"/>
          <w:sz w:val="21"/>
          <w:szCs w:val="21"/>
          <w:lang w:val="en-US" w:eastAsia="zh-CN" w:bidi="ar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Figure S1 </w:t>
      </w:r>
      <w:r>
        <w:rPr>
          <w:rFonts w:hint="default" w:ascii="Times New Roman" w:hAnsi="Times New Roman" w:eastAsia="STIXTwoText" w:cs="Times New Roman"/>
          <w:color w:val="231F20"/>
          <w:kern w:val="0"/>
          <w:sz w:val="21"/>
          <w:szCs w:val="21"/>
          <w:lang w:val="en-US" w:eastAsia="zh-CN" w:bidi="ar"/>
        </w:rPr>
        <w:t xml:space="preserve">X-ray diffraction pattern of 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Sr</w:t>
      </w:r>
      <w:r>
        <w:rPr>
          <w:rFonts w:hint="default" w:ascii="Times New Roman" w:hAnsi="Times New Roman" w:cs="Times New Roman"/>
          <w:sz w:val="21"/>
          <w:szCs w:val="21"/>
        </w:rPr>
        <w:t>WO</w:t>
      </w:r>
      <w:r>
        <w:rPr>
          <w:rFonts w:hint="default" w:ascii="Times New Roman" w:hAnsi="Times New Roman" w:cs="Times New Roman"/>
          <w:sz w:val="21"/>
          <w:szCs w:val="21"/>
          <w:vertAlign w:val="subscript"/>
        </w:rPr>
        <w:t>4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: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1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%Tb, yA</w:t>
      </w:r>
      <w:r>
        <w:rPr>
          <w:rFonts w:hint="default" w:ascii="Times New Roman" w:hAnsi="Times New Roman" w:eastAsia="STIXTwoText" w:cs="Times New Roman"/>
          <w:color w:val="231F20"/>
          <w:kern w:val="0"/>
          <w:sz w:val="21"/>
          <w:szCs w:val="21"/>
          <w:lang w:val="en-US" w:eastAsia="zh-CN" w:bidi="ar"/>
        </w:rPr>
        <w:t xml:space="preserve"> (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A= Li, Na, K; y = 0.5, 1, 3) </w:t>
      </w:r>
      <w:r>
        <w:rPr>
          <w:rFonts w:hint="default" w:ascii="Times New Roman" w:hAnsi="Times New Roman" w:eastAsia="STIXTwoText" w:cs="Times New Roman"/>
          <w:color w:val="231F20"/>
          <w:kern w:val="0"/>
          <w:sz w:val="21"/>
          <w:szCs w:val="21"/>
          <w:lang w:val="en-US" w:eastAsia="zh-CN" w:bidi="ar"/>
        </w:rPr>
        <w:t>samples</w:t>
      </w:r>
      <w:r>
        <w:rPr>
          <w:rFonts w:hint="eastAsia" w:ascii="Times New Roman" w:hAnsi="Times New Roman" w:eastAsia="STIXTwoText" w:cs="Times New Roman"/>
          <w:color w:val="231F20"/>
          <w:kern w:val="0"/>
          <w:sz w:val="21"/>
          <w:szCs w:val="21"/>
          <w:lang w:val="en-US" w:eastAsia="zh-CN" w:bidi="ar"/>
        </w:rPr>
        <w:t>.</w:t>
      </w:r>
    </w:p>
    <w:p w14:paraId="534D2ABE">
      <w:pPr>
        <w:ind w:firstLine="210" w:firstLineChars="100"/>
        <w:jc w:val="center"/>
        <w:rPr>
          <w:rFonts w:hint="default" w:ascii="Times New Roman" w:hAnsi="Times New Roman" w:eastAsia="STIXTwoText" w:cs="Times New Roman"/>
          <w:color w:val="231F20"/>
          <w:kern w:val="0"/>
          <w:sz w:val="21"/>
          <w:szCs w:val="21"/>
          <w:lang w:val="en-US" w:eastAsia="zh-CN" w:bidi="ar"/>
        </w:rPr>
      </w:pPr>
    </w:p>
    <w:p w14:paraId="36C762F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3746500"/>
            <wp:effectExtent l="0" t="0" r="13335" b="6350"/>
            <wp:docPr id="5" name="图片 5" descr="S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E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D4AF6">
      <w:pPr>
        <w:keepNext w:val="0"/>
        <w:keepLines w:val="0"/>
        <w:widowControl/>
        <w:suppressLineNumbers w:val="0"/>
        <w:jc w:val="center"/>
        <w:rPr>
          <w:rFonts w:hint="default" w:eastAsiaTheme="minorEastAsia"/>
          <w:lang w:val="en-US" w:eastAsia="zh-CN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Figure S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2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Palatino Linotype" w:cs="Times New Roman"/>
          <w:b/>
          <w:bCs/>
          <w:color w:val="000000"/>
          <w:kern w:val="0"/>
          <w:sz w:val="21"/>
          <w:szCs w:val="21"/>
          <w:lang w:val="en-US" w:eastAsia="zh-CN" w:bidi="ar"/>
        </w:rPr>
        <w:t xml:space="preserve">. </w:t>
      </w:r>
      <w:r>
        <w:rPr>
          <w:rFonts w:hint="default" w:ascii="Times New Roman" w:hAnsi="Times New Roman" w:eastAsia="Palatino Linotype" w:cs="Times New Roman"/>
          <w:color w:val="000000"/>
          <w:kern w:val="0"/>
          <w:sz w:val="21"/>
          <w:szCs w:val="21"/>
          <w:lang w:val="en-US" w:eastAsia="zh-CN" w:bidi="ar"/>
        </w:rPr>
        <w:t xml:space="preserve">SEM analysis of (a) 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Sr</w:t>
      </w:r>
      <w:r>
        <w:rPr>
          <w:rFonts w:hint="default" w:ascii="Times New Roman" w:hAnsi="Times New Roman" w:cs="Times New Roman"/>
          <w:sz w:val="21"/>
          <w:szCs w:val="21"/>
        </w:rPr>
        <w:t>WO</w:t>
      </w:r>
      <w:r>
        <w:rPr>
          <w:rFonts w:hint="default" w:ascii="Times New Roman" w:hAnsi="Times New Roman" w:cs="Times New Roman"/>
          <w:sz w:val="21"/>
          <w:szCs w:val="21"/>
          <w:vertAlign w:val="subscript"/>
        </w:rPr>
        <w:t>4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:0.4%Tb; (b) Sr</w:t>
      </w:r>
      <w:r>
        <w:rPr>
          <w:rFonts w:hint="default" w:ascii="Times New Roman" w:hAnsi="Times New Roman" w:cs="Times New Roman"/>
          <w:sz w:val="21"/>
          <w:szCs w:val="21"/>
        </w:rPr>
        <w:t>WO</w:t>
      </w:r>
      <w:r>
        <w:rPr>
          <w:rFonts w:hint="default" w:ascii="Times New Roman" w:hAnsi="Times New Roman" w:cs="Times New Roman"/>
          <w:sz w:val="21"/>
          <w:szCs w:val="21"/>
          <w:vertAlign w:val="subscript"/>
        </w:rPr>
        <w:t>4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:0.4%Tb, 0.5%Li; (c)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Sr</w:t>
      </w:r>
      <w:r>
        <w:rPr>
          <w:rFonts w:hint="default" w:ascii="Times New Roman" w:hAnsi="Times New Roman" w:cs="Times New Roman"/>
          <w:sz w:val="21"/>
          <w:szCs w:val="21"/>
        </w:rPr>
        <w:t>WO</w:t>
      </w:r>
      <w:r>
        <w:rPr>
          <w:rFonts w:hint="default" w:ascii="Times New Roman" w:hAnsi="Times New Roman" w:cs="Times New Roman"/>
          <w:sz w:val="21"/>
          <w:szCs w:val="21"/>
          <w:vertAlign w:val="subscript"/>
        </w:rPr>
        <w:t>4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:0.4%Tb, 0.5%Na; (d)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Sr</w:t>
      </w:r>
      <w:r>
        <w:rPr>
          <w:rFonts w:hint="default" w:ascii="Times New Roman" w:hAnsi="Times New Roman" w:cs="Times New Roman"/>
          <w:sz w:val="21"/>
          <w:szCs w:val="21"/>
        </w:rPr>
        <w:t>WO</w:t>
      </w:r>
      <w:r>
        <w:rPr>
          <w:rFonts w:hint="default" w:ascii="Times New Roman" w:hAnsi="Times New Roman" w:cs="Times New Roman"/>
          <w:sz w:val="21"/>
          <w:szCs w:val="21"/>
          <w:vertAlign w:val="subscript"/>
        </w:rPr>
        <w:t>4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:0.4%Tb, 0.5%K. 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311775" cy="2153285"/>
            <wp:effectExtent l="0" t="0" r="3175" b="18415"/>
            <wp:docPr id="3" name="图片 3" descr="Mapping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apping-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11775" cy="215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30AE5">
      <w:pPr>
        <w:keepNext w:val="0"/>
        <w:keepLines w:val="0"/>
        <w:widowControl/>
        <w:suppressLineNumbers w:val="0"/>
        <w:jc w:val="center"/>
        <w:rPr>
          <w:rFonts w:hint="default" w:ascii="Times New Roman" w:hAnsi="Times New Roman" w:cs="Times New Roman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Figure S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3</w:t>
      </w:r>
      <w:r>
        <w:rPr>
          <w:rFonts w:hint="default" w:ascii="Times New Roman" w:hAnsi="Times New Roman" w:eastAsia="Palatino Linotype" w:cs="Times New Roman"/>
          <w:b/>
          <w:bCs/>
          <w:color w:val="000000"/>
          <w:kern w:val="0"/>
          <w:sz w:val="21"/>
          <w:szCs w:val="21"/>
          <w:lang w:val="en-US" w:eastAsia="zh-CN" w:bidi="ar"/>
        </w:rPr>
        <w:t xml:space="preserve"> </w:t>
      </w:r>
      <w:r>
        <w:rPr>
          <w:rFonts w:hint="default" w:ascii="Times New Roman" w:hAnsi="Times New Roman" w:eastAsia="AdvOT999035f4" w:cs="Times New Roman"/>
          <w:color w:val="000000"/>
          <w:kern w:val="0"/>
          <w:sz w:val="21"/>
          <w:szCs w:val="21"/>
          <w:lang w:val="en-US" w:eastAsia="zh-CN" w:bidi="ar"/>
        </w:rPr>
        <w:t>EDS elemental mapping</w:t>
      </w:r>
      <w:r>
        <w:rPr>
          <w:rFonts w:hint="default" w:ascii="Times New Roman" w:hAnsi="Times New Roman" w:eastAsia="Palatino Linotype" w:cs="Times New Roman"/>
          <w:color w:val="000000"/>
          <w:kern w:val="0"/>
          <w:sz w:val="21"/>
          <w:szCs w:val="21"/>
          <w:lang w:val="en-US" w:eastAsia="zh-CN" w:bidi="ar"/>
        </w:rPr>
        <w:t xml:space="preserve"> analysis of (a) 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Sr</w:t>
      </w:r>
      <w:r>
        <w:rPr>
          <w:rFonts w:hint="default" w:ascii="Times New Roman" w:hAnsi="Times New Roman" w:cs="Times New Roman"/>
          <w:sz w:val="21"/>
          <w:szCs w:val="21"/>
        </w:rPr>
        <w:t>WO</w:t>
      </w:r>
      <w:r>
        <w:rPr>
          <w:rFonts w:hint="default" w:ascii="Times New Roman" w:hAnsi="Times New Roman" w:cs="Times New Roman"/>
          <w:sz w:val="21"/>
          <w:szCs w:val="21"/>
          <w:vertAlign w:val="subscript"/>
        </w:rPr>
        <w:t>4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:0.4%Tb; (b) Sr</w:t>
      </w:r>
      <w:r>
        <w:rPr>
          <w:rFonts w:hint="default" w:ascii="Times New Roman" w:hAnsi="Times New Roman" w:cs="Times New Roman"/>
          <w:sz w:val="21"/>
          <w:szCs w:val="21"/>
        </w:rPr>
        <w:t>WO</w:t>
      </w:r>
      <w:r>
        <w:rPr>
          <w:rFonts w:hint="default" w:ascii="Times New Roman" w:hAnsi="Times New Roman" w:cs="Times New Roman"/>
          <w:sz w:val="21"/>
          <w:szCs w:val="21"/>
          <w:vertAlign w:val="subscript"/>
        </w:rPr>
        <w:t>4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:0.4%Tb, 0.5%Na; (c)Sr</w:t>
      </w:r>
      <w:r>
        <w:rPr>
          <w:rFonts w:hint="default" w:ascii="Times New Roman" w:hAnsi="Times New Roman" w:cs="Times New Roman"/>
          <w:sz w:val="21"/>
          <w:szCs w:val="21"/>
        </w:rPr>
        <w:t>WO</w:t>
      </w:r>
      <w:r>
        <w:rPr>
          <w:rFonts w:hint="default" w:ascii="Times New Roman" w:hAnsi="Times New Roman" w:cs="Times New Roman"/>
          <w:sz w:val="21"/>
          <w:szCs w:val="21"/>
          <w:vertAlign w:val="subscript"/>
        </w:rPr>
        <w:t>4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:0.4%Tb, 0.5%K.</w:t>
      </w:r>
    </w:p>
    <w:p w14:paraId="598FE429">
      <w:pPr>
        <w:keepNext w:val="0"/>
        <w:keepLines w:val="0"/>
        <w:widowControl/>
        <w:suppressLineNumbers w:val="0"/>
        <w:jc w:val="center"/>
        <w:rPr>
          <w:rFonts w:hint="default" w:ascii="Times New Roman" w:hAnsi="Times New Roman" w:cs="Times New Roman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drawing>
          <wp:inline distT="0" distB="0" distL="114300" distR="114300">
            <wp:extent cx="5273675" cy="4036060"/>
            <wp:effectExtent l="0" t="0" r="3175" b="2540"/>
            <wp:docPr id="1" name="图片 1" descr="对比强度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对比强度-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03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63721">
      <w:pPr>
        <w:keepNext w:val="0"/>
        <w:keepLines w:val="0"/>
        <w:widowControl/>
        <w:suppressLineNumbers w:val="0"/>
        <w:jc w:val="center"/>
        <w:rPr>
          <w:rFonts w:hint="default" w:ascii="Times New Roman" w:hAnsi="Times New Roman" w:eastAsia="宋体" w:cs="Times New Roman"/>
          <w:sz w:val="21"/>
          <w:szCs w:val="21"/>
          <w:lang w:val="en-US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Figure S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4 </w:t>
      </w:r>
      <w:r>
        <w:rPr>
          <w:rFonts w:hint="default" w:ascii="Times New Roman" w:hAnsi="Times New Roman" w:eastAsia="宋体" w:cs="Times New Roman"/>
          <w:sz w:val="21"/>
          <w:szCs w:val="21"/>
        </w:rPr>
        <w:t>Concentration quenching of Tb</w:t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</w:rPr>
        <w:t>3+</w:t>
      </w:r>
      <w:r>
        <w:rPr>
          <w:rFonts w:hint="eastAsia" w:ascii="Times New Roman" w:hAnsi="Times New Roman" w:eastAsia="宋体" w:cs="Times New Roman"/>
          <w:sz w:val="21"/>
          <w:szCs w:val="21"/>
          <w:vertAlign w:val="superscript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doped in 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Sr</w:t>
      </w:r>
      <w:r>
        <w:rPr>
          <w:rFonts w:hint="default" w:ascii="Times New Roman" w:hAnsi="Times New Roman" w:cs="Times New Roman"/>
          <w:sz w:val="21"/>
          <w:szCs w:val="21"/>
        </w:rPr>
        <w:t>WO</w:t>
      </w:r>
      <w:r>
        <w:rPr>
          <w:rFonts w:hint="default" w:ascii="Times New Roman" w:hAnsi="Times New Roman" w:cs="Times New Roman"/>
          <w:sz w:val="21"/>
          <w:szCs w:val="21"/>
          <w:vertAlign w:val="subscript"/>
        </w:rPr>
        <w:t>4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phosphor Excited by 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>545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nm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(inset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>：The intensity of the 437 nm and 545 nm peak at different doping contents）</w:t>
      </w:r>
    </w:p>
    <w:p w14:paraId="40077862">
      <w:pPr>
        <w:keepNext w:val="0"/>
        <w:keepLines w:val="0"/>
        <w:widowControl/>
        <w:suppressLineNumbers w:val="0"/>
        <w:jc w:val="center"/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dvTTe692faf0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dvOTd3a5f740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TIXTwoTex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Palatino Linotype">
    <w:panose1 w:val="02040502050505030304"/>
    <w:charset w:val="00"/>
    <w:family w:val="auto"/>
    <w:pitch w:val="default"/>
    <w:sig w:usb0="E0000287" w:usb1="40000013" w:usb2="00000000" w:usb3="00000000" w:csb0="2000019F" w:csb1="00000000"/>
  </w:font>
  <w:font w:name="AdvOT999035f4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9249C"/>
    <w:rsid w:val="00203FD3"/>
    <w:rsid w:val="00C35EC1"/>
    <w:rsid w:val="00DA1736"/>
    <w:rsid w:val="01143F21"/>
    <w:rsid w:val="014D0433"/>
    <w:rsid w:val="01921D8D"/>
    <w:rsid w:val="01DB6D55"/>
    <w:rsid w:val="020511CA"/>
    <w:rsid w:val="02267AEA"/>
    <w:rsid w:val="026B4F25"/>
    <w:rsid w:val="034C2D0C"/>
    <w:rsid w:val="034E1D1C"/>
    <w:rsid w:val="035535EB"/>
    <w:rsid w:val="039275D0"/>
    <w:rsid w:val="03FA18A4"/>
    <w:rsid w:val="04422CCE"/>
    <w:rsid w:val="04490B9F"/>
    <w:rsid w:val="04EB6640"/>
    <w:rsid w:val="04FE1E66"/>
    <w:rsid w:val="05146489"/>
    <w:rsid w:val="05DF1D3E"/>
    <w:rsid w:val="05F70DCA"/>
    <w:rsid w:val="060F5BF6"/>
    <w:rsid w:val="069A3511"/>
    <w:rsid w:val="06EC4B7E"/>
    <w:rsid w:val="07016B5C"/>
    <w:rsid w:val="070D5468"/>
    <w:rsid w:val="079C3D5A"/>
    <w:rsid w:val="07DB5D90"/>
    <w:rsid w:val="08D13D62"/>
    <w:rsid w:val="08ED400F"/>
    <w:rsid w:val="08F03A3A"/>
    <w:rsid w:val="093A6F85"/>
    <w:rsid w:val="09BD3D24"/>
    <w:rsid w:val="09C83477"/>
    <w:rsid w:val="09F95B66"/>
    <w:rsid w:val="0A15529F"/>
    <w:rsid w:val="0A4E182E"/>
    <w:rsid w:val="0A64543D"/>
    <w:rsid w:val="0A786278"/>
    <w:rsid w:val="0A805C73"/>
    <w:rsid w:val="0B094496"/>
    <w:rsid w:val="0B355018"/>
    <w:rsid w:val="0B402D51"/>
    <w:rsid w:val="0B86514A"/>
    <w:rsid w:val="0B9A1292"/>
    <w:rsid w:val="0BD03EDE"/>
    <w:rsid w:val="0C25296B"/>
    <w:rsid w:val="0C667E4B"/>
    <w:rsid w:val="0C8F244E"/>
    <w:rsid w:val="0CA47648"/>
    <w:rsid w:val="0CC26142"/>
    <w:rsid w:val="0E2F1299"/>
    <w:rsid w:val="0E4E63AA"/>
    <w:rsid w:val="0E6836E8"/>
    <w:rsid w:val="0EFE705F"/>
    <w:rsid w:val="0F105899"/>
    <w:rsid w:val="0F634550"/>
    <w:rsid w:val="0FF82A30"/>
    <w:rsid w:val="10482EB7"/>
    <w:rsid w:val="10490EAF"/>
    <w:rsid w:val="107408CA"/>
    <w:rsid w:val="110753B1"/>
    <w:rsid w:val="11081491"/>
    <w:rsid w:val="110B261A"/>
    <w:rsid w:val="11116B5C"/>
    <w:rsid w:val="11575A9C"/>
    <w:rsid w:val="117522D2"/>
    <w:rsid w:val="11A03EC3"/>
    <w:rsid w:val="11AF7013"/>
    <w:rsid w:val="11CA3129"/>
    <w:rsid w:val="1247116D"/>
    <w:rsid w:val="12944A01"/>
    <w:rsid w:val="12E9547E"/>
    <w:rsid w:val="12F021A5"/>
    <w:rsid w:val="13952DF0"/>
    <w:rsid w:val="14145556"/>
    <w:rsid w:val="141934D6"/>
    <w:rsid w:val="142475D5"/>
    <w:rsid w:val="14441461"/>
    <w:rsid w:val="14571B73"/>
    <w:rsid w:val="14E11E84"/>
    <w:rsid w:val="15125E50"/>
    <w:rsid w:val="154713F9"/>
    <w:rsid w:val="15A47243"/>
    <w:rsid w:val="15B17B72"/>
    <w:rsid w:val="15EB617A"/>
    <w:rsid w:val="16AB6B24"/>
    <w:rsid w:val="16D62680"/>
    <w:rsid w:val="16DA6F46"/>
    <w:rsid w:val="17373120"/>
    <w:rsid w:val="17A3366C"/>
    <w:rsid w:val="17D14709"/>
    <w:rsid w:val="17E751F6"/>
    <w:rsid w:val="18101B6B"/>
    <w:rsid w:val="18461167"/>
    <w:rsid w:val="1869440F"/>
    <w:rsid w:val="192C7D32"/>
    <w:rsid w:val="19E80F89"/>
    <w:rsid w:val="1A591B61"/>
    <w:rsid w:val="1A5A58DF"/>
    <w:rsid w:val="1A731D02"/>
    <w:rsid w:val="1A76639A"/>
    <w:rsid w:val="1A8C2B36"/>
    <w:rsid w:val="1ADA63BE"/>
    <w:rsid w:val="1B2044B0"/>
    <w:rsid w:val="1B7C5C5F"/>
    <w:rsid w:val="1C50429E"/>
    <w:rsid w:val="1C6F0A5D"/>
    <w:rsid w:val="1C7D66B2"/>
    <w:rsid w:val="1D0625D1"/>
    <w:rsid w:val="1D8452C6"/>
    <w:rsid w:val="1DA068AF"/>
    <w:rsid w:val="1DB43C26"/>
    <w:rsid w:val="1E22199E"/>
    <w:rsid w:val="1E2A4092"/>
    <w:rsid w:val="1E865444"/>
    <w:rsid w:val="1ECB1514"/>
    <w:rsid w:val="1F0953E9"/>
    <w:rsid w:val="1F936265"/>
    <w:rsid w:val="1FC034B0"/>
    <w:rsid w:val="20112631"/>
    <w:rsid w:val="202C5090"/>
    <w:rsid w:val="21204E26"/>
    <w:rsid w:val="212A61D6"/>
    <w:rsid w:val="212C293F"/>
    <w:rsid w:val="21543FF8"/>
    <w:rsid w:val="217D7570"/>
    <w:rsid w:val="217F2A39"/>
    <w:rsid w:val="218E49AD"/>
    <w:rsid w:val="226333B6"/>
    <w:rsid w:val="22B474AD"/>
    <w:rsid w:val="22B47FD7"/>
    <w:rsid w:val="22D61858"/>
    <w:rsid w:val="22DB48EF"/>
    <w:rsid w:val="22E00251"/>
    <w:rsid w:val="22EB2A2C"/>
    <w:rsid w:val="23474A7D"/>
    <w:rsid w:val="23957205"/>
    <w:rsid w:val="23A80DEE"/>
    <w:rsid w:val="23C81441"/>
    <w:rsid w:val="23CE2BD9"/>
    <w:rsid w:val="240E5CEA"/>
    <w:rsid w:val="243D784B"/>
    <w:rsid w:val="24424B9A"/>
    <w:rsid w:val="24882B60"/>
    <w:rsid w:val="24DF1B3D"/>
    <w:rsid w:val="24E41F58"/>
    <w:rsid w:val="24F37087"/>
    <w:rsid w:val="250639E2"/>
    <w:rsid w:val="258E1E9E"/>
    <w:rsid w:val="25A240B0"/>
    <w:rsid w:val="25A40C77"/>
    <w:rsid w:val="2625573C"/>
    <w:rsid w:val="263E0325"/>
    <w:rsid w:val="264F7C2B"/>
    <w:rsid w:val="267C080E"/>
    <w:rsid w:val="269028C5"/>
    <w:rsid w:val="26AC1F97"/>
    <w:rsid w:val="271021EA"/>
    <w:rsid w:val="273B22E5"/>
    <w:rsid w:val="2761579B"/>
    <w:rsid w:val="276C2C40"/>
    <w:rsid w:val="27891184"/>
    <w:rsid w:val="28934B94"/>
    <w:rsid w:val="28DE1C8B"/>
    <w:rsid w:val="29870CEA"/>
    <w:rsid w:val="29A73522"/>
    <w:rsid w:val="29AC6657"/>
    <w:rsid w:val="29C220ED"/>
    <w:rsid w:val="2A0569B2"/>
    <w:rsid w:val="2A2B4E68"/>
    <w:rsid w:val="2A8065FB"/>
    <w:rsid w:val="2B10787D"/>
    <w:rsid w:val="2BEF3333"/>
    <w:rsid w:val="2C0F535E"/>
    <w:rsid w:val="2C3347A8"/>
    <w:rsid w:val="2C60284D"/>
    <w:rsid w:val="2CE1067C"/>
    <w:rsid w:val="2CF24AA1"/>
    <w:rsid w:val="2D1D11F4"/>
    <w:rsid w:val="2D7B383D"/>
    <w:rsid w:val="2DAB54F9"/>
    <w:rsid w:val="2E2B125B"/>
    <w:rsid w:val="2E91070E"/>
    <w:rsid w:val="2E935DCA"/>
    <w:rsid w:val="2E962CA4"/>
    <w:rsid w:val="2F9C62D3"/>
    <w:rsid w:val="2FA70E61"/>
    <w:rsid w:val="300248B3"/>
    <w:rsid w:val="302721E2"/>
    <w:rsid w:val="3065397F"/>
    <w:rsid w:val="30797B8F"/>
    <w:rsid w:val="312746B3"/>
    <w:rsid w:val="316F1D02"/>
    <w:rsid w:val="31A109D6"/>
    <w:rsid w:val="31D84230"/>
    <w:rsid w:val="31E7270B"/>
    <w:rsid w:val="31F128CA"/>
    <w:rsid w:val="32AF41F9"/>
    <w:rsid w:val="32B3118C"/>
    <w:rsid w:val="32B84046"/>
    <w:rsid w:val="32E529F3"/>
    <w:rsid w:val="33414926"/>
    <w:rsid w:val="335F2360"/>
    <w:rsid w:val="33B75DA8"/>
    <w:rsid w:val="34475252"/>
    <w:rsid w:val="34631C09"/>
    <w:rsid w:val="348A2BBF"/>
    <w:rsid w:val="356730B2"/>
    <w:rsid w:val="361C2EEE"/>
    <w:rsid w:val="36EB4E6B"/>
    <w:rsid w:val="378D39EA"/>
    <w:rsid w:val="37A57CC3"/>
    <w:rsid w:val="382E2A99"/>
    <w:rsid w:val="384051CA"/>
    <w:rsid w:val="38580C70"/>
    <w:rsid w:val="3875037C"/>
    <w:rsid w:val="38D92093"/>
    <w:rsid w:val="39102F7F"/>
    <w:rsid w:val="39420D8F"/>
    <w:rsid w:val="39635B33"/>
    <w:rsid w:val="396E42AC"/>
    <w:rsid w:val="39B84B10"/>
    <w:rsid w:val="39C634F9"/>
    <w:rsid w:val="3A4676AE"/>
    <w:rsid w:val="3A9C391E"/>
    <w:rsid w:val="3AE018BF"/>
    <w:rsid w:val="3B074C64"/>
    <w:rsid w:val="3B08064E"/>
    <w:rsid w:val="3B6E54AE"/>
    <w:rsid w:val="3BC247CD"/>
    <w:rsid w:val="3BE6401C"/>
    <w:rsid w:val="3C4C5433"/>
    <w:rsid w:val="3C676DCF"/>
    <w:rsid w:val="3C7F6ADD"/>
    <w:rsid w:val="3CBC0F0E"/>
    <w:rsid w:val="3CCB444C"/>
    <w:rsid w:val="3CD15FA2"/>
    <w:rsid w:val="3D0613B4"/>
    <w:rsid w:val="3D145C46"/>
    <w:rsid w:val="3D2C7544"/>
    <w:rsid w:val="3D7B7DCA"/>
    <w:rsid w:val="3DB91F07"/>
    <w:rsid w:val="3E49664C"/>
    <w:rsid w:val="3E671F49"/>
    <w:rsid w:val="3ED66868"/>
    <w:rsid w:val="3F0438AD"/>
    <w:rsid w:val="3F543FE1"/>
    <w:rsid w:val="3F5A79F4"/>
    <w:rsid w:val="3F7906BB"/>
    <w:rsid w:val="3FAD7130"/>
    <w:rsid w:val="3FC507E8"/>
    <w:rsid w:val="3FD806F9"/>
    <w:rsid w:val="3FD86A20"/>
    <w:rsid w:val="40E42DB1"/>
    <w:rsid w:val="411B4A1E"/>
    <w:rsid w:val="41393D02"/>
    <w:rsid w:val="416F2361"/>
    <w:rsid w:val="41FA721E"/>
    <w:rsid w:val="42224057"/>
    <w:rsid w:val="422363E9"/>
    <w:rsid w:val="422B294E"/>
    <w:rsid w:val="4257589A"/>
    <w:rsid w:val="42F602A1"/>
    <w:rsid w:val="43487D38"/>
    <w:rsid w:val="43491170"/>
    <w:rsid w:val="436F28BE"/>
    <w:rsid w:val="445339B4"/>
    <w:rsid w:val="44626133"/>
    <w:rsid w:val="4475614A"/>
    <w:rsid w:val="4493670D"/>
    <w:rsid w:val="44C41DA4"/>
    <w:rsid w:val="44FA6642"/>
    <w:rsid w:val="45230DE3"/>
    <w:rsid w:val="454B799D"/>
    <w:rsid w:val="458724AF"/>
    <w:rsid w:val="458D24AF"/>
    <w:rsid w:val="462E4B6B"/>
    <w:rsid w:val="4651246E"/>
    <w:rsid w:val="465E449E"/>
    <w:rsid w:val="46DC00F9"/>
    <w:rsid w:val="47847DE1"/>
    <w:rsid w:val="47966C1F"/>
    <w:rsid w:val="47B63113"/>
    <w:rsid w:val="47C43FDE"/>
    <w:rsid w:val="47D63EF9"/>
    <w:rsid w:val="47D70E57"/>
    <w:rsid w:val="47F570BF"/>
    <w:rsid w:val="47FC51A4"/>
    <w:rsid w:val="484264EE"/>
    <w:rsid w:val="485623DC"/>
    <w:rsid w:val="488514D4"/>
    <w:rsid w:val="48F47BA7"/>
    <w:rsid w:val="49615E1C"/>
    <w:rsid w:val="49E119F4"/>
    <w:rsid w:val="4A406B68"/>
    <w:rsid w:val="4A816A3D"/>
    <w:rsid w:val="4A934A4D"/>
    <w:rsid w:val="4AD13E68"/>
    <w:rsid w:val="4B847F58"/>
    <w:rsid w:val="4BE77B1C"/>
    <w:rsid w:val="4C427351"/>
    <w:rsid w:val="4C8519C7"/>
    <w:rsid w:val="4D3D4317"/>
    <w:rsid w:val="4DA8097F"/>
    <w:rsid w:val="4DF0121C"/>
    <w:rsid w:val="4E7834F5"/>
    <w:rsid w:val="4E8A0E94"/>
    <w:rsid w:val="4E8B4F54"/>
    <w:rsid w:val="4E982F02"/>
    <w:rsid w:val="4F5E482A"/>
    <w:rsid w:val="4F761B40"/>
    <w:rsid w:val="4FB76E64"/>
    <w:rsid w:val="5003621B"/>
    <w:rsid w:val="502E6621"/>
    <w:rsid w:val="502F7471"/>
    <w:rsid w:val="504A4637"/>
    <w:rsid w:val="50590E41"/>
    <w:rsid w:val="508425CC"/>
    <w:rsid w:val="509C3D21"/>
    <w:rsid w:val="509D22F8"/>
    <w:rsid w:val="50E13B7A"/>
    <w:rsid w:val="50E407E1"/>
    <w:rsid w:val="5164667B"/>
    <w:rsid w:val="51754E57"/>
    <w:rsid w:val="51BB3490"/>
    <w:rsid w:val="52287A04"/>
    <w:rsid w:val="522A294A"/>
    <w:rsid w:val="522C79F1"/>
    <w:rsid w:val="527F1783"/>
    <w:rsid w:val="538207D7"/>
    <w:rsid w:val="53B27703"/>
    <w:rsid w:val="53B67A28"/>
    <w:rsid w:val="53DB0AE0"/>
    <w:rsid w:val="5469397B"/>
    <w:rsid w:val="546D417C"/>
    <w:rsid w:val="54840D5F"/>
    <w:rsid w:val="54BA7C2B"/>
    <w:rsid w:val="54C26AAF"/>
    <w:rsid w:val="54F74055"/>
    <w:rsid w:val="553F6F59"/>
    <w:rsid w:val="55562594"/>
    <w:rsid w:val="55C65C7F"/>
    <w:rsid w:val="55D64535"/>
    <w:rsid w:val="55DA2AD4"/>
    <w:rsid w:val="561D7662"/>
    <w:rsid w:val="56564689"/>
    <w:rsid w:val="56835C21"/>
    <w:rsid w:val="56921DDB"/>
    <w:rsid w:val="56AC0EC5"/>
    <w:rsid w:val="56C456F7"/>
    <w:rsid w:val="57C170BD"/>
    <w:rsid w:val="57DD221B"/>
    <w:rsid w:val="58062F29"/>
    <w:rsid w:val="58094EDC"/>
    <w:rsid w:val="585656D7"/>
    <w:rsid w:val="58B449D6"/>
    <w:rsid w:val="58C24555"/>
    <w:rsid w:val="5917397C"/>
    <w:rsid w:val="596C7FED"/>
    <w:rsid w:val="5979581E"/>
    <w:rsid w:val="59905E71"/>
    <w:rsid w:val="599F7ECB"/>
    <w:rsid w:val="59E63813"/>
    <w:rsid w:val="59EE3D0C"/>
    <w:rsid w:val="5A0D0553"/>
    <w:rsid w:val="5A2B330A"/>
    <w:rsid w:val="5A842552"/>
    <w:rsid w:val="5ACF6AD2"/>
    <w:rsid w:val="5B000712"/>
    <w:rsid w:val="5B371A3D"/>
    <w:rsid w:val="5B4E07C7"/>
    <w:rsid w:val="5B5659D7"/>
    <w:rsid w:val="5B5C20A5"/>
    <w:rsid w:val="5B650356"/>
    <w:rsid w:val="5BC542D7"/>
    <w:rsid w:val="5BC60753"/>
    <w:rsid w:val="5BCC299B"/>
    <w:rsid w:val="5C3C51AF"/>
    <w:rsid w:val="5C726654"/>
    <w:rsid w:val="5CED0B1F"/>
    <w:rsid w:val="5D294C1D"/>
    <w:rsid w:val="5D2F051B"/>
    <w:rsid w:val="5D5058AD"/>
    <w:rsid w:val="5D8A445B"/>
    <w:rsid w:val="5DCD09F1"/>
    <w:rsid w:val="5DEB41EA"/>
    <w:rsid w:val="5E8A69FE"/>
    <w:rsid w:val="5E9113C1"/>
    <w:rsid w:val="5EC243E7"/>
    <w:rsid w:val="5F6C0DC8"/>
    <w:rsid w:val="5FCE159A"/>
    <w:rsid w:val="6011180F"/>
    <w:rsid w:val="602A4EA4"/>
    <w:rsid w:val="605333DA"/>
    <w:rsid w:val="60604134"/>
    <w:rsid w:val="60EF7EBA"/>
    <w:rsid w:val="6192063D"/>
    <w:rsid w:val="61DE5760"/>
    <w:rsid w:val="62AD04B4"/>
    <w:rsid w:val="62ED1B1E"/>
    <w:rsid w:val="630338D0"/>
    <w:rsid w:val="635C6F6A"/>
    <w:rsid w:val="6422681C"/>
    <w:rsid w:val="647D210D"/>
    <w:rsid w:val="64A16021"/>
    <w:rsid w:val="64A718C3"/>
    <w:rsid w:val="651155E1"/>
    <w:rsid w:val="651F58AE"/>
    <w:rsid w:val="656C4AD4"/>
    <w:rsid w:val="6579347C"/>
    <w:rsid w:val="65B82B9E"/>
    <w:rsid w:val="6630793B"/>
    <w:rsid w:val="666521D0"/>
    <w:rsid w:val="66AD793C"/>
    <w:rsid w:val="66FE21DF"/>
    <w:rsid w:val="672C0A9D"/>
    <w:rsid w:val="6775204A"/>
    <w:rsid w:val="679470E9"/>
    <w:rsid w:val="67BF3BF4"/>
    <w:rsid w:val="67D10AA9"/>
    <w:rsid w:val="682F3D0B"/>
    <w:rsid w:val="684F0D28"/>
    <w:rsid w:val="6861618E"/>
    <w:rsid w:val="68665FE9"/>
    <w:rsid w:val="689E0056"/>
    <w:rsid w:val="68D50138"/>
    <w:rsid w:val="68D97A22"/>
    <w:rsid w:val="68DF5192"/>
    <w:rsid w:val="69127215"/>
    <w:rsid w:val="691C0E9A"/>
    <w:rsid w:val="698C0B13"/>
    <w:rsid w:val="6A615F05"/>
    <w:rsid w:val="6A6A2613"/>
    <w:rsid w:val="6A6F3269"/>
    <w:rsid w:val="6A7B44E7"/>
    <w:rsid w:val="6AD25AF5"/>
    <w:rsid w:val="6ADB5806"/>
    <w:rsid w:val="6B0651E4"/>
    <w:rsid w:val="6B93773E"/>
    <w:rsid w:val="6BBA7C34"/>
    <w:rsid w:val="6BFD7050"/>
    <w:rsid w:val="6C6E45B0"/>
    <w:rsid w:val="6C9C3F04"/>
    <w:rsid w:val="6CF230CA"/>
    <w:rsid w:val="6E0953EA"/>
    <w:rsid w:val="6E206D8B"/>
    <w:rsid w:val="6E3D48F2"/>
    <w:rsid w:val="6E6D015D"/>
    <w:rsid w:val="6E876D2F"/>
    <w:rsid w:val="6E913069"/>
    <w:rsid w:val="6E922406"/>
    <w:rsid w:val="6EDD649B"/>
    <w:rsid w:val="6EF5312B"/>
    <w:rsid w:val="6F261653"/>
    <w:rsid w:val="6F416DAA"/>
    <w:rsid w:val="70AF081D"/>
    <w:rsid w:val="70FC44AD"/>
    <w:rsid w:val="711143F8"/>
    <w:rsid w:val="718F22C8"/>
    <w:rsid w:val="71997681"/>
    <w:rsid w:val="723E5249"/>
    <w:rsid w:val="727C07B9"/>
    <w:rsid w:val="72805F66"/>
    <w:rsid w:val="729F591E"/>
    <w:rsid w:val="72F253F4"/>
    <w:rsid w:val="73232F0C"/>
    <w:rsid w:val="73417B7B"/>
    <w:rsid w:val="73F93CC2"/>
    <w:rsid w:val="740E3530"/>
    <w:rsid w:val="741213BA"/>
    <w:rsid w:val="754D792E"/>
    <w:rsid w:val="758A7A36"/>
    <w:rsid w:val="75A20359"/>
    <w:rsid w:val="75C661B0"/>
    <w:rsid w:val="76296526"/>
    <w:rsid w:val="765C1851"/>
    <w:rsid w:val="76652EA5"/>
    <w:rsid w:val="7681192B"/>
    <w:rsid w:val="769E14F5"/>
    <w:rsid w:val="76D93BCD"/>
    <w:rsid w:val="76F03C7E"/>
    <w:rsid w:val="77742039"/>
    <w:rsid w:val="77A131A6"/>
    <w:rsid w:val="77AB15C5"/>
    <w:rsid w:val="77B52439"/>
    <w:rsid w:val="77BC364C"/>
    <w:rsid w:val="77D83036"/>
    <w:rsid w:val="77E042F5"/>
    <w:rsid w:val="780F74C1"/>
    <w:rsid w:val="78D31F49"/>
    <w:rsid w:val="7904706F"/>
    <w:rsid w:val="79306AA4"/>
    <w:rsid w:val="793D45EC"/>
    <w:rsid w:val="798F4CFB"/>
    <w:rsid w:val="79AC0BE7"/>
    <w:rsid w:val="79AD39B0"/>
    <w:rsid w:val="79CF12B0"/>
    <w:rsid w:val="7A7403A8"/>
    <w:rsid w:val="7AD041FE"/>
    <w:rsid w:val="7B264557"/>
    <w:rsid w:val="7B6D02CC"/>
    <w:rsid w:val="7B9D5C35"/>
    <w:rsid w:val="7BBC4277"/>
    <w:rsid w:val="7C1C4DBE"/>
    <w:rsid w:val="7C2B5B45"/>
    <w:rsid w:val="7C347E64"/>
    <w:rsid w:val="7C572CA5"/>
    <w:rsid w:val="7CE450C5"/>
    <w:rsid w:val="7D1C1506"/>
    <w:rsid w:val="7D427F88"/>
    <w:rsid w:val="7D6961B9"/>
    <w:rsid w:val="7DA93F82"/>
    <w:rsid w:val="7DDD3D82"/>
    <w:rsid w:val="7DEF5435"/>
    <w:rsid w:val="7E145CA8"/>
    <w:rsid w:val="7E2A02EB"/>
    <w:rsid w:val="7E317C9B"/>
    <w:rsid w:val="7E3355F0"/>
    <w:rsid w:val="7E4C5DDB"/>
    <w:rsid w:val="7E9E3737"/>
    <w:rsid w:val="7EB365E6"/>
    <w:rsid w:val="7EFC1F14"/>
    <w:rsid w:val="7F113233"/>
    <w:rsid w:val="7F1C627C"/>
    <w:rsid w:val="7F880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0" w:semiHidden="0" w:name="header"/>
    <w:lsdException w:qFormat="1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0"/>
    <w:pPr>
      <w:tabs>
        <w:tab w:val="center" w:pos="4153"/>
        <w:tab w:val="right" w:pos="8306"/>
      </w:tabs>
      <w:spacing w:beforeLines="0" w:afterLines="0"/>
      <w:jc w:val="left"/>
    </w:pPr>
    <w:rPr>
      <w:rFonts w:hint="default"/>
      <w:sz w:val="18"/>
      <w:szCs w:val="18"/>
    </w:rPr>
  </w:style>
  <w:style w:type="paragraph" w:styleId="3">
    <w:name w:val="header"/>
    <w:basedOn w:val="1"/>
    <w:unhideWhenUsed/>
    <w:qFormat/>
    <w:uiPriority w:val="0"/>
    <w:pPr>
      <w:tabs>
        <w:tab w:val="center" w:pos="4153"/>
        <w:tab w:val="right" w:pos="8306"/>
      </w:tabs>
      <w:spacing w:beforeLines="0" w:afterLines="0"/>
      <w:jc w:val="center"/>
    </w:pPr>
    <w:rPr>
      <w:rFonts w:hint="default"/>
      <w:sz w:val="18"/>
      <w:szCs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tiff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191</Words>
  <Characters>1068</Characters>
  <Lines>0</Lines>
  <Paragraphs>0</Paragraphs>
  <TotalTime>1</TotalTime>
  <ScaleCrop>false</ScaleCrop>
  <LinksUpToDate>false</LinksUpToDate>
  <CharactersWithSpaces>1230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2024-12-03T03:56:00Z</dcterms:created>
  <dc:creator>alpha</dc:creator>
  <cp:lastModifiedBy>Ma</cp:lastModifiedBy>
  <dcterms:modified xsi:type="dcterms:W3CDTF">2026-02-14T14:45:01Z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3D925A7221F04719A335DCEC05414D56_12</vt:lpwstr>
  </property>
  <property fmtid="{D5CDD505-2E9C-101B-9397-08002B2CF9AE}" pid="4" name="KSOTemplateDocerSaveRecord">
    <vt:lpwstr>eyJoZGlkIjoiNzMyZmQxNzc2MGJlNjgyM2FkZTk0YzNiMjA4N2I4MWEiLCJ1c2VySWQiOiIxNjUwMjcyNzQwIn0=</vt:lpwstr>
  </property>
</Properties>
</file>