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9A4C0" w14:textId="32E5D5DF" w:rsidR="006F2D5F" w:rsidRPr="00433C0E" w:rsidRDefault="006F2D5F" w:rsidP="006F2D5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33C0E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S2: </w:t>
      </w:r>
      <w:bookmarkStart w:id="0" w:name="_Hlk58583667"/>
      <w:r w:rsidRPr="00433C0E">
        <w:rPr>
          <w:rFonts w:ascii="Times New Roman" w:hAnsi="Times New Roman" w:cs="Times New Roman"/>
          <w:b/>
          <w:bCs/>
          <w:sz w:val="20"/>
          <w:szCs w:val="20"/>
        </w:rPr>
        <w:t xml:space="preserve">Sensitivity Analysis for the outcomes </w:t>
      </w:r>
      <w:r w:rsidR="00C00974">
        <w:rPr>
          <w:rFonts w:ascii="Times New Roman" w:hAnsi="Times New Roman" w:cs="Times New Roman"/>
          <w:b/>
          <w:bCs/>
          <w:sz w:val="20"/>
          <w:szCs w:val="20"/>
        </w:rPr>
        <w:t xml:space="preserve">of two feeding intervals (Three-hourly vs Two- hourly) </w:t>
      </w:r>
      <w:r w:rsidRPr="00433C0E">
        <w:rPr>
          <w:rFonts w:ascii="Times New Roman" w:hAnsi="Times New Roman" w:cs="Times New Roman"/>
          <w:b/>
          <w:bCs/>
          <w:sz w:val="20"/>
          <w:szCs w:val="20"/>
        </w:rPr>
        <w:t>using Fixed-Effect Meta-analysis</w:t>
      </w:r>
    </w:p>
    <w:tbl>
      <w:tblPr>
        <w:tblStyle w:val="TableGrid"/>
        <w:tblpPr w:leftFromText="181" w:rightFromText="181" w:vertAnchor="text" w:tblpX="-5" w:tblpY="1"/>
        <w:tblW w:w="5000" w:type="pct"/>
        <w:tblLook w:val="04A0" w:firstRow="1" w:lastRow="0" w:firstColumn="1" w:lastColumn="0" w:noHBand="0" w:noVBand="1"/>
      </w:tblPr>
      <w:tblGrid>
        <w:gridCol w:w="4066"/>
        <w:gridCol w:w="1394"/>
        <w:gridCol w:w="1753"/>
        <w:gridCol w:w="1803"/>
      </w:tblGrid>
      <w:tr w:rsidR="006F2D5F" w:rsidRPr="00433C0E" w14:paraId="0A25DCEB" w14:textId="77777777" w:rsidTr="00433C0E">
        <w:trPr>
          <w:trHeight w:val="691"/>
        </w:trPr>
        <w:tc>
          <w:tcPr>
            <w:tcW w:w="2255" w:type="pct"/>
          </w:tcPr>
          <w:bookmarkEnd w:id="0"/>
          <w:p w14:paraId="6F42354F" w14:textId="77777777" w:rsidR="006F2D5F" w:rsidRPr="00433C0E" w:rsidRDefault="006F2D5F" w:rsidP="006F2D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</w:tc>
        <w:tc>
          <w:tcPr>
            <w:tcW w:w="773" w:type="pct"/>
          </w:tcPr>
          <w:p w14:paraId="5A04168D" w14:textId="77777777" w:rsidR="006F2D5F" w:rsidRPr="00433C0E" w:rsidRDefault="006F2D5F" w:rsidP="006F2D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/>
                <w:sz w:val="20"/>
                <w:szCs w:val="20"/>
              </w:rPr>
              <w:t>No. of studies (Participants)</w:t>
            </w:r>
          </w:p>
        </w:tc>
        <w:tc>
          <w:tcPr>
            <w:tcW w:w="972" w:type="pct"/>
          </w:tcPr>
          <w:p w14:paraId="69E20CFE" w14:textId="77777777" w:rsidR="006F2D5F" w:rsidRPr="00433C0E" w:rsidRDefault="006F2D5F" w:rsidP="006F2D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RR/ MD </w:t>
            </w:r>
          </w:p>
          <w:p w14:paraId="20194A16" w14:textId="77777777" w:rsidR="006F2D5F" w:rsidRPr="00433C0E" w:rsidRDefault="006F2D5F" w:rsidP="006F2D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/>
                <w:sz w:val="20"/>
                <w:szCs w:val="20"/>
              </w:rPr>
              <w:t>[95% CI]</w:t>
            </w:r>
          </w:p>
        </w:tc>
        <w:tc>
          <w:tcPr>
            <w:tcW w:w="1000" w:type="pct"/>
          </w:tcPr>
          <w:p w14:paraId="053BF15B" w14:textId="77777777" w:rsidR="006F2D5F" w:rsidRPr="00433C0E" w:rsidRDefault="006F2D5F" w:rsidP="006F2D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/>
                <w:sz w:val="20"/>
                <w:szCs w:val="20"/>
              </w:rPr>
              <w:t>Heterogeneity (I</w:t>
            </w:r>
            <w:r w:rsidRPr="00433C0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433C0E">
              <w:rPr>
                <w:rFonts w:ascii="Times New Roman" w:hAnsi="Times New Roman" w:cs="Times New Roman"/>
                <w:b/>
                <w:sz w:val="20"/>
                <w:szCs w:val="20"/>
              </w:rPr>
              <w:t>), p-value</w:t>
            </w:r>
          </w:p>
        </w:tc>
      </w:tr>
      <w:tr w:rsidR="00433C0E" w:rsidRPr="00433C0E" w14:paraId="4A4F7C52" w14:textId="77777777" w:rsidTr="00433C0E">
        <w:trPr>
          <w:trHeight w:val="691"/>
        </w:trPr>
        <w:tc>
          <w:tcPr>
            <w:tcW w:w="2255" w:type="pct"/>
          </w:tcPr>
          <w:p w14:paraId="13844BE8" w14:textId="77777777" w:rsidR="00433C0E" w:rsidRPr="00433C0E" w:rsidRDefault="00433C0E" w:rsidP="00433C0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Primary Outcome</w:t>
            </w:r>
          </w:p>
          <w:p w14:paraId="47852893" w14:textId="62A0228D" w:rsidR="00433C0E" w:rsidRPr="00433C0E" w:rsidRDefault="00433C0E" w:rsidP="00433C0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Necrotizing enterocolitis (Stage 2 or more)</w:t>
            </w:r>
          </w:p>
        </w:tc>
        <w:tc>
          <w:tcPr>
            <w:tcW w:w="773" w:type="pct"/>
          </w:tcPr>
          <w:p w14:paraId="5A726A24" w14:textId="6C0CC579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3 (530) </w:t>
            </w:r>
          </w:p>
        </w:tc>
        <w:tc>
          <w:tcPr>
            <w:tcW w:w="972" w:type="pct"/>
          </w:tcPr>
          <w:p w14:paraId="725EBFA4" w14:textId="4AB3A3B0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1.43 [0.55, 3.69]</w:t>
            </w:r>
          </w:p>
        </w:tc>
        <w:tc>
          <w:tcPr>
            <w:tcW w:w="1000" w:type="pct"/>
          </w:tcPr>
          <w:p w14:paraId="37EAEB3E" w14:textId="0AFF321B" w:rsidR="00433C0E" w:rsidRPr="001267F9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267F9">
              <w:rPr>
                <w:rFonts w:ascii="Times New Roman" w:hAnsi="Times New Roman" w:cs="Times New Roman"/>
                <w:bCs/>
                <w:sz w:val="20"/>
                <w:szCs w:val="20"/>
              </w:rPr>
              <w:t>0%, 0.7</w:t>
            </w:r>
          </w:p>
        </w:tc>
      </w:tr>
      <w:tr w:rsidR="00433C0E" w:rsidRPr="00433C0E" w14:paraId="56971E08" w14:textId="77777777" w:rsidTr="00433C0E">
        <w:trPr>
          <w:trHeight w:val="541"/>
        </w:trPr>
        <w:tc>
          <w:tcPr>
            <w:tcW w:w="2255" w:type="pct"/>
          </w:tcPr>
          <w:p w14:paraId="6998CDEE" w14:textId="77777777" w:rsidR="00433C0E" w:rsidRPr="00433C0E" w:rsidRDefault="00433C0E" w:rsidP="00433C0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Necrotizing enterocolitis (Any stage)</w:t>
            </w:r>
          </w:p>
        </w:tc>
        <w:tc>
          <w:tcPr>
            <w:tcW w:w="773" w:type="pct"/>
          </w:tcPr>
          <w:p w14:paraId="262103E5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5 (767)</w:t>
            </w:r>
          </w:p>
        </w:tc>
        <w:tc>
          <w:tcPr>
            <w:tcW w:w="972" w:type="pct"/>
          </w:tcPr>
          <w:p w14:paraId="5B9F3943" w14:textId="0060EEED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1.00 [0.55, 1.82]</w:t>
            </w:r>
          </w:p>
        </w:tc>
        <w:tc>
          <w:tcPr>
            <w:tcW w:w="1000" w:type="pct"/>
          </w:tcPr>
          <w:p w14:paraId="0664ADB7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0%, 0.6</w:t>
            </w:r>
          </w:p>
        </w:tc>
      </w:tr>
      <w:tr w:rsidR="00433C0E" w:rsidRPr="00433C0E" w14:paraId="2C8F78ED" w14:textId="77777777" w:rsidTr="00433C0E">
        <w:trPr>
          <w:trHeight w:val="410"/>
        </w:trPr>
        <w:tc>
          <w:tcPr>
            <w:tcW w:w="2255" w:type="pct"/>
          </w:tcPr>
          <w:p w14:paraId="7E68010E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Culture-Positive Sepsis</w:t>
            </w:r>
          </w:p>
        </w:tc>
        <w:tc>
          <w:tcPr>
            <w:tcW w:w="773" w:type="pct"/>
          </w:tcPr>
          <w:p w14:paraId="76FD625B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2 (470)</w:t>
            </w:r>
          </w:p>
        </w:tc>
        <w:tc>
          <w:tcPr>
            <w:tcW w:w="972" w:type="pct"/>
          </w:tcPr>
          <w:p w14:paraId="71B32907" w14:textId="7EE55E7C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1.00 [0.51, 1.95]</w:t>
            </w:r>
          </w:p>
        </w:tc>
        <w:tc>
          <w:tcPr>
            <w:tcW w:w="1000" w:type="pct"/>
          </w:tcPr>
          <w:p w14:paraId="0139E802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20%, 0.3</w:t>
            </w:r>
          </w:p>
        </w:tc>
      </w:tr>
      <w:tr w:rsidR="00433C0E" w:rsidRPr="00433C0E" w14:paraId="190E9EF5" w14:textId="77777777" w:rsidTr="00433C0E">
        <w:trPr>
          <w:trHeight w:val="410"/>
        </w:trPr>
        <w:tc>
          <w:tcPr>
            <w:tcW w:w="2255" w:type="pct"/>
          </w:tcPr>
          <w:p w14:paraId="171EE75E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Any Sepsis</w:t>
            </w:r>
          </w:p>
        </w:tc>
        <w:tc>
          <w:tcPr>
            <w:tcW w:w="773" w:type="pct"/>
          </w:tcPr>
          <w:p w14:paraId="179EB304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4 (707)</w:t>
            </w:r>
          </w:p>
        </w:tc>
        <w:tc>
          <w:tcPr>
            <w:tcW w:w="972" w:type="pct"/>
          </w:tcPr>
          <w:p w14:paraId="3E466294" w14:textId="74EB8568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1.13 [0.76, 1.68]</w:t>
            </w:r>
          </w:p>
        </w:tc>
        <w:tc>
          <w:tcPr>
            <w:tcW w:w="1000" w:type="pct"/>
          </w:tcPr>
          <w:p w14:paraId="2D4099DA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0%, 0.6</w:t>
            </w:r>
          </w:p>
        </w:tc>
      </w:tr>
      <w:tr w:rsidR="00433C0E" w:rsidRPr="00433C0E" w14:paraId="20D7705F" w14:textId="77777777" w:rsidTr="00433C0E">
        <w:trPr>
          <w:trHeight w:val="336"/>
        </w:trPr>
        <w:tc>
          <w:tcPr>
            <w:tcW w:w="2255" w:type="pct"/>
          </w:tcPr>
          <w:p w14:paraId="60F4D9B2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All-cause mortality</w:t>
            </w:r>
          </w:p>
        </w:tc>
        <w:tc>
          <w:tcPr>
            <w:tcW w:w="773" w:type="pct"/>
          </w:tcPr>
          <w:p w14:paraId="2C506073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2 (500)</w:t>
            </w:r>
          </w:p>
        </w:tc>
        <w:tc>
          <w:tcPr>
            <w:tcW w:w="972" w:type="pct"/>
          </w:tcPr>
          <w:p w14:paraId="2290ED00" w14:textId="1680DA32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1.33 [0.47, 3.77]</w:t>
            </w:r>
          </w:p>
        </w:tc>
        <w:tc>
          <w:tcPr>
            <w:tcW w:w="1000" w:type="pct"/>
          </w:tcPr>
          <w:p w14:paraId="2CE0EEF2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0%, 0.5</w:t>
            </w:r>
          </w:p>
        </w:tc>
      </w:tr>
      <w:tr w:rsidR="00433C0E" w:rsidRPr="00433C0E" w14:paraId="4EFC06EF" w14:textId="77777777" w:rsidTr="00433C0E">
        <w:trPr>
          <w:trHeight w:val="487"/>
        </w:trPr>
        <w:tc>
          <w:tcPr>
            <w:tcW w:w="2255" w:type="pct"/>
          </w:tcPr>
          <w:p w14:paraId="03FEA742" w14:textId="77777777" w:rsidR="00433C0E" w:rsidRPr="00433C0E" w:rsidRDefault="00433C0E" w:rsidP="00433C0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Time to reach full enteral feeds (days)</w:t>
            </w:r>
          </w:p>
        </w:tc>
        <w:tc>
          <w:tcPr>
            <w:tcW w:w="773" w:type="pct"/>
          </w:tcPr>
          <w:p w14:paraId="5B635209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5 (755)</w:t>
            </w:r>
          </w:p>
        </w:tc>
        <w:tc>
          <w:tcPr>
            <w:tcW w:w="972" w:type="pct"/>
          </w:tcPr>
          <w:p w14:paraId="50956736" w14:textId="4FCC7A2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-0.00 [-0.32, 0.31]</w:t>
            </w:r>
          </w:p>
        </w:tc>
        <w:tc>
          <w:tcPr>
            <w:tcW w:w="1000" w:type="pct"/>
          </w:tcPr>
          <w:p w14:paraId="0EA5520B" w14:textId="34F8E9A0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0%, 0.6</w:t>
            </w:r>
          </w:p>
        </w:tc>
      </w:tr>
      <w:tr w:rsidR="00433C0E" w:rsidRPr="00433C0E" w14:paraId="501561FF" w14:textId="77777777" w:rsidTr="00433C0E">
        <w:trPr>
          <w:trHeight w:val="336"/>
        </w:trPr>
        <w:tc>
          <w:tcPr>
            <w:tcW w:w="2255" w:type="pct"/>
          </w:tcPr>
          <w:p w14:paraId="35A2E5DA" w14:textId="77777777" w:rsidR="00433C0E" w:rsidRPr="00433C0E" w:rsidRDefault="00433C0E" w:rsidP="00433C0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Time to reach full oral feeds (days)</w:t>
            </w:r>
          </w:p>
        </w:tc>
        <w:tc>
          <w:tcPr>
            <w:tcW w:w="773" w:type="pct"/>
          </w:tcPr>
          <w:p w14:paraId="4558ACAB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1 (100)</w:t>
            </w:r>
          </w:p>
        </w:tc>
        <w:tc>
          <w:tcPr>
            <w:tcW w:w="972" w:type="pct"/>
          </w:tcPr>
          <w:p w14:paraId="75E4F91B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2.00 [-4.70, 8.70]</w:t>
            </w:r>
          </w:p>
        </w:tc>
        <w:tc>
          <w:tcPr>
            <w:tcW w:w="1000" w:type="pct"/>
          </w:tcPr>
          <w:p w14:paraId="6C356A9B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Not applicable</w:t>
            </w:r>
          </w:p>
        </w:tc>
      </w:tr>
      <w:tr w:rsidR="00433C0E" w:rsidRPr="00433C0E" w14:paraId="5E2AC9EA" w14:textId="77777777" w:rsidTr="00433C0E">
        <w:trPr>
          <w:trHeight w:val="502"/>
        </w:trPr>
        <w:tc>
          <w:tcPr>
            <w:tcW w:w="2255" w:type="pct"/>
          </w:tcPr>
          <w:p w14:paraId="5F5D4BE7" w14:textId="77777777" w:rsidR="00433C0E" w:rsidRPr="00433C0E" w:rsidRDefault="00433C0E" w:rsidP="00433C0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Duration of transition from tube feeds to full oral feeds (days)</w:t>
            </w:r>
          </w:p>
        </w:tc>
        <w:tc>
          <w:tcPr>
            <w:tcW w:w="773" w:type="pct"/>
          </w:tcPr>
          <w:p w14:paraId="1935B5B6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Cs/>
                <w:sz w:val="20"/>
                <w:szCs w:val="20"/>
              </w:rPr>
              <w:t>1 (100)</w:t>
            </w:r>
          </w:p>
        </w:tc>
        <w:tc>
          <w:tcPr>
            <w:tcW w:w="972" w:type="pct"/>
          </w:tcPr>
          <w:p w14:paraId="3C88C3F6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1.00 [-1.03, 3.03]</w:t>
            </w:r>
          </w:p>
        </w:tc>
        <w:tc>
          <w:tcPr>
            <w:tcW w:w="1000" w:type="pct"/>
          </w:tcPr>
          <w:p w14:paraId="65D27AB9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Not applicable</w:t>
            </w:r>
          </w:p>
        </w:tc>
      </w:tr>
      <w:tr w:rsidR="00433C0E" w:rsidRPr="00433C0E" w14:paraId="3C868852" w14:textId="77777777" w:rsidTr="00433C0E">
        <w:trPr>
          <w:trHeight w:val="336"/>
        </w:trPr>
        <w:tc>
          <w:tcPr>
            <w:tcW w:w="2255" w:type="pct"/>
          </w:tcPr>
          <w:p w14:paraId="2A90F5EB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Time to regain birth weight (days)</w:t>
            </w:r>
          </w:p>
        </w:tc>
        <w:tc>
          <w:tcPr>
            <w:tcW w:w="773" w:type="pct"/>
          </w:tcPr>
          <w:p w14:paraId="1636FF08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4 (694)</w:t>
            </w:r>
          </w:p>
        </w:tc>
        <w:tc>
          <w:tcPr>
            <w:tcW w:w="972" w:type="pct"/>
          </w:tcPr>
          <w:p w14:paraId="56E29465" w14:textId="7326BCA2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0.03 [-0.44, 0.51]</w:t>
            </w:r>
          </w:p>
        </w:tc>
        <w:tc>
          <w:tcPr>
            <w:tcW w:w="1000" w:type="pct"/>
          </w:tcPr>
          <w:p w14:paraId="4D63D343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56%, 0.08</w:t>
            </w:r>
          </w:p>
        </w:tc>
      </w:tr>
      <w:tr w:rsidR="00433C0E" w:rsidRPr="00433C0E" w14:paraId="763A0369" w14:textId="77777777" w:rsidTr="00433C0E">
        <w:trPr>
          <w:trHeight w:val="426"/>
        </w:trPr>
        <w:tc>
          <w:tcPr>
            <w:tcW w:w="2255" w:type="pct"/>
          </w:tcPr>
          <w:p w14:paraId="102890F4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Duration of Hospital stay (days)</w:t>
            </w:r>
          </w:p>
        </w:tc>
        <w:tc>
          <w:tcPr>
            <w:tcW w:w="773" w:type="pct"/>
          </w:tcPr>
          <w:p w14:paraId="7F4D87F9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3 (307)</w:t>
            </w:r>
          </w:p>
        </w:tc>
        <w:tc>
          <w:tcPr>
            <w:tcW w:w="972" w:type="pct"/>
          </w:tcPr>
          <w:p w14:paraId="5C666985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0.94 [-3.38, 5.26]</w:t>
            </w:r>
          </w:p>
        </w:tc>
        <w:tc>
          <w:tcPr>
            <w:tcW w:w="1000" w:type="pct"/>
          </w:tcPr>
          <w:p w14:paraId="5FEAFC24" w14:textId="0905094D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0%, 0.4</w:t>
            </w:r>
          </w:p>
        </w:tc>
      </w:tr>
      <w:tr w:rsidR="00433C0E" w:rsidRPr="00433C0E" w14:paraId="4C5F3225" w14:textId="77777777" w:rsidTr="00433C0E">
        <w:trPr>
          <w:trHeight w:val="426"/>
        </w:trPr>
        <w:tc>
          <w:tcPr>
            <w:tcW w:w="2255" w:type="pct"/>
          </w:tcPr>
          <w:p w14:paraId="2AA1C5F0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Duration of intravenous fluid (days)</w:t>
            </w:r>
          </w:p>
        </w:tc>
        <w:tc>
          <w:tcPr>
            <w:tcW w:w="773" w:type="pct"/>
          </w:tcPr>
          <w:p w14:paraId="1B334628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 (87)</w:t>
            </w:r>
          </w:p>
        </w:tc>
        <w:tc>
          <w:tcPr>
            <w:tcW w:w="972" w:type="pct"/>
          </w:tcPr>
          <w:p w14:paraId="19172854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-0.40 [-2.12, 1.32]</w:t>
            </w:r>
          </w:p>
        </w:tc>
        <w:tc>
          <w:tcPr>
            <w:tcW w:w="1000" w:type="pct"/>
          </w:tcPr>
          <w:p w14:paraId="2872D00C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Not applicable</w:t>
            </w:r>
          </w:p>
        </w:tc>
      </w:tr>
      <w:tr w:rsidR="00433C0E" w:rsidRPr="00433C0E" w14:paraId="0C9A2D04" w14:textId="77777777" w:rsidTr="00433C0E">
        <w:trPr>
          <w:trHeight w:val="426"/>
        </w:trPr>
        <w:tc>
          <w:tcPr>
            <w:tcW w:w="2255" w:type="pct"/>
          </w:tcPr>
          <w:p w14:paraId="7B13A049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Weight at discharge (grams)</w:t>
            </w:r>
          </w:p>
        </w:tc>
        <w:tc>
          <w:tcPr>
            <w:tcW w:w="773" w:type="pct"/>
          </w:tcPr>
          <w:p w14:paraId="3AF91179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 (87)</w:t>
            </w:r>
          </w:p>
        </w:tc>
        <w:tc>
          <w:tcPr>
            <w:tcW w:w="972" w:type="pct"/>
          </w:tcPr>
          <w:p w14:paraId="002019AA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-57 [-244, 130]</w:t>
            </w:r>
          </w:p>
        </w:tc>
        <w:tc>
          <w:tcPr>
            <w:tcW w:w="1000" w:type="pct"/>
          </w:tcPr>
          <w:p w14:paraId="6A8545E7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Not applicable</w:t>
            </w:r>
          </w:p>
        </w:tc>
      </w:tr>
      <w:tr w:rsidR="00433C0E" w:rsidRPr="00433C0E" w14:paraId="3777F449" w14:textId="77777777" w:rsidTr="00433C0E">
        <w:trPr>
          <w:trHeight w:val="535"/>
        </w:trPr>
        <w:tc>
          <w:tcPr>
            <w:tcW w:w="2255" w:type="pct"/>
          </w:tcPr>
          <w:p w14:paraId="11BDA7E1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Weight gain after randomization (g/kg/day)</w:t>
            </w:r>
          </w:p>
        </w:tc>
        <w:tc>
          <w:tcPr>
            <w:tcW w:w="773" w:type="pct"/>
          </w:tcPr>
          <w:p w14:paraId="33DE29C5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 (100)</w:t>
            </w:r>
          </w:p>
        </w:tc>
        <w:tc>
          <w:tcPr>
            <w:tcW w:w="972" w:type="pct"/>
          </w:tcPr>
          <w:p w14:paraId="196D8E86" w14:textId="462643EF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1.60 [0.22, 2.98]</w:t>
            </w:r>
          </w:p>
        </w:tc>
        <w:tc>
          <w:tcPr>
            <w:tcW w:w="1000" w:type="pct"/>
          </w:tcPr>
          <w:p w14:paraId="1B0167C0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Not applicable</w:t>
            </w:r>
          </w:p>
        </w:tc>
      </w:tr>
      <w:tr w:rsidR="00433C0E" w:rsidRPr="00433C0E" w14:paraId="53B3A1B4" w14:textId="77777777" w:rsidTr="00433C0E">
        <w:trPr>
          <w:trHeight w:val="426"/>
        </w:trPr>
        <w:tc>
          <w:tcPr>
            <w:tcW w:w="2255" w:type="pct"/>
          </w:tcPr>
          <w:p w14:paraId="0FE36C57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 xml:space="preserve">Nursing time spent (in minutes) on feeding (per Infant per day) </w:t>
            </w:r>
          </w:p>
        </w:tc>
        <w:tc>
          <w:tcPr>
            <w:tcW w:w="773" w:type="pct"/>
          </w:tcPr>
          <w:p w14:paraId="22BFF496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 (87)</w:t>
            </w:r>
          </w:p>
        </w:tc>
        <w:tc>
          <w:tcPr>
            <w:tcW w:w="972" w:type="pct"/>
          </w:tcPr>
          <w:p w14:paraId="3916F410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-22.0 [-23.9, -20.1]</w:t>
            </w:r>
          </w:p>
        </w:tc>
        <w:tc>
          <w:tcPr>
            <w:tcW w:w="1000" w:type="pct"/>
          </w:tcPr>
          <w:p w14:paraId="409DCDEC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Not applicable</w:t>
            </w:r>
          </w:p>
        </w:tc>
      </w:tr>
      <w:tr w:rsidR="00433C0E" w:rsidRPr="00433C0E" w14:paraId="5FDE7BFB" w14:textId="77777777" w:rsidTr="006F2D5F">
        <w:trPr>
          <w:trHeight w:val="426"/>
        </w:trPr>
        <w:tc>
          <w:tcPr>
            <w:tcW w:w="5000" w:type="pct"/>
            <w:gridSpan w:val="4"/>
          </w:tcPr>
          <w:p w14:paraId="6DFEB7CF" w14:textId="659A1FBD" w:rsidR="00433C0E" w:rsidRPr="00433C0E" w:rsidRDefault="00433C0E" w:rsidP="00433C0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Adverse -Effects</w:t>
            </w:r>
          </w:p>
        </w:tc>
      </w:tr>
      <w:tr w:rsidR="00433C0E" w:rsidRPr="00433C0E" w14:paraId="6FE1332E" w14:textId="77777777" w:rsidTr="00433C0E">
        <w:trPr>
          <w:trHeight w:val="426"/>
        </w:trPr>
        <w:tc>
          <w:tcPr>
            <w:tcW w:w="2255" w:type="pct"/>
          </w:tcPr>
          <w:p w14:paraId="43185BF5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Feed intolerance</w:t>
            </w:r>
          </w:p>
        </w:tc>
        <w:tc>
          <w:tcPr>
            <w:tcW w:w="773" w:type="pct"/>
          </w:tcPr>
          <w:p w14:paraId="188C9009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6 (867)</w:t>
            </w:r>
          </w:p>
        </w:tc>
        <w:tc>
          <w:tcPr>
            <w:tcW w:w="972" w:type="pct"/>
          </w:tcPr>
          <w:p w14:paraId="637E6E6D" w14:textId="02059CA9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0.92 [0.70, 1.21]</w:t>
            </w:r>
          </w:p>
        </w:tc>
        <w:tc>
          <w:tcPr>
            <w:tcW w:w="1000" w:type="pct"/>
          </w:tcPr>
          <w:p w14:paraId="045F3E8B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0%, 0.7</w:t>
            </w:r>
          </w:p>
        </w:tc>
      </w:tr>
      <w:tr w:rsidR="00433C0E" w:rsidRPr="00433C0E" w14:paraId="71995D80" w14:textId="77777777" w:rsidTr="00433C0E">
        <w:trPr>
          <w:trHeight w:val="426"/>
        </w:trPr>
        <w:tc>
          <w:tcPr>
            <w:tcW w:w="2255" w:type="pct"/>
          </w:tcPr>
          <w:p w14:paraId="2D756AB7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GER requiring medication</w:t>
            </w:r>
          </w:p>
        </w:tc>
        <w:tc>
          <w:tcPr>
            <w:tcW w:w="773" w:type="pct"/>
          </w:tcPr>
          <w:p w14:paraId="0C8BC3D4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2 (237)</w:t>
            </w:r>
          </w:p>
        </w:tc>
        <w:tc>
          <w:tcPr>
            <w:tcW w:w="972" w:type="pct"/>
          </w:tcPr>
          <w:p w14:paraId="68E44B38" w14:textId="1D21BF2A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1.21 [0.54, 2.72]</w:t>
            </w:r>
          </w:p>
        </w:tc>
        <w:tc>
          <w:tcPr>
            <w:tcW w:w="1000" w:type="pct"/>
          </w:tcPr>
          <w:p w14:paraId="19268DD2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1%, 0.3</w:t>
            </w:r>
          </w:p>
        </w:tc>
      </w:tr>
      <w:tr w:rsidR="00433C0E" w:rsidRPr="00433C0E" w14:paraId="5ECC8860" w14:textId="77777777" w:rsidTr="00433C0E">
        <w:trPr>
          <w:trHeight w:val="426"/>
        </w:trPr>
        <w:tc>
          <w:tcPr>
            <w:tcW w:w="2255" w:type="pct"/>
          </w:tcPr>
          <w:p w14:paraId="23A4F29C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Hypoglycemia</w:t>
            </w:r>
          </w:p>
        </w:tc>
        <w:tc>
          <w:tcPr>
            <w:tcW w:w="773" w:type="pct"/>
          </w:tcPr>
          <w:p w14:paraId="09FC0EEF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5 (767)</w:t>
            </w:r>
          </w:p>
        </w:tc>
        <w:tc>
          <w:tcPr>
            <w:tcW w:w="972" w:type="pct"/>
          </w:tcPr>
          <w:p w14:paraId="25D5AC82" w14:textId="1937260C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1.15 [0.64, 2.04]</w:t>
            </w:r>
          </w:p>
        </w:tc>
        <w:tc>
          <w:tcPr>
            <w:tcW w:w="1000" w:type="pct"/>
          </w:tcPr>
          <w:p w14:paraId="1147CE39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0%, 0.9</w:t>
            </w:r>
          </w:p>
        </w:tc>
      </w:tr>
      <w:tr w:rsidR="00433C0E" w:rsidRPr="00433C0E" w14:paraId="04BA7BCD" w14:textId="77777777" w:rsidTr="00433C0E">
        <w:trPr>
          <w:trHeight w:val="426"/>
        </w:trPr>
        <w:tc>
          <w:tcPr>
            <w:tcW w:w="2255" w:type="pct"/>
          </w:tcPr>
          <w:p w14:paraId="6798B13A" w14:textId="77777777" w:rsidR="00433C0E" w:rsidRPr="00433C0E" w:rsidRDefault="00433C0E" w:rsidP="00433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Apnea</w:t>
            </w:r>
          </w:p>
        </w:tc>
        <w:tc>
          <w:tcPr>
            <w:tcW w:w="773" w:type="pct"/>
          </w:tcPr>
          <w:p w14:paraId="67D3DC8E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3 (267)</w:t>
            </w:r>
          </w:p>
        </w:tc>
        <w:tc>
          <w:tcPr>
            <w:tcW w:w="972" w:type="pct"/>
          </w:tcPr>
          <w:p w14:paraId="45C10F4C" w14:textId="7855E2F1" w:rsidR="00433C0E" w:rsidRPr="00433C0E" w:rsidRDefault="00433C0E" w:rsidP="00433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0.88 [0.50, 1.56]</w:t>
            </w:r>
          </w:p>
        </w:tc>
        <w:tc>
          <w:tcPr>
            <w:tcW w:w="1000" w:type="pct"/>
          </w:tcPr>
          <w:p w14:paraId="1A74BD0A" w14:textId="77777777" w:rsidR="00433C0E" w:rsidRPr="00433C0E" w:rsidRDefault="00433C0E" w:rsidP="00433C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3C0E">
              <w:rPr>
                <w:rFonts w:ascii="Times New Roman" w:hAnsi="Times New Roman" w:cs="Times New Roman"/>
                <w:sz w:val="20"/>
                <w:szCs w:val="20"/>
              </w:rPr>
              <w:t>0%, 0.7</w:t>
            </w:r>
          </w:p>
        </w:tc>
      </w:tr>
    </w:tbl>
    <w:p w14:paraId="012C27EA" w14:textId="77777777" w:rsidR="006F2D5F" w:rsidRPr="00433C0E" w:rsidRDefault="006F2D5F" w:rsidP="006F2D5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33C0E">
        <w:rPr>
          <w:rFonts w:ascii="Times New Roman" w:hAnsi="Times New Roman" w:cs="Times New Roman"/>
          <w:b/>
          <w:bCs/>
          <w:sz w:val="20"/>
          <w:szCs w:val="20"/>
        </w:rPr>
        <w:t>Abbreviations</w:t>
      </w:r>
      <w:r w:rsidRPr="00433C0E">
        <w:rPr>
          <w:rFonts w:ascii="Times New Roman" w:hAnsi="Times New Roman" w:cs="Times New Roman"/>
          <w:sz w:val="20"/>
          <w:szCs w:val="20"/>
        </w:rPr>
        <w:t xml:space="preserve">: </w:t>
      </w:r>
      <w:r w:rsidRPr="00433C0E">
        <w:rPr>
          <w:rFonts w:ascii="Times New Roman" w:eastAsia="Times New Roman" w:hAnsi="Times New Roman" w:cs="Times New Roman"/>
          <w:b/>
          <w:bCs/>
          <w:sz w:val="20"/>
          <w:szCs w:val="20"/>
        </w:rPr>
        <w:t>CI:</w:t>
      </w:r>
      <w:r w:rsidRPr="00433C0E">
        <w:rPr>
          <w:rFonts w:ascii="Times New Roman" w:eastAsia="Times New Roman" w:hAnsi="Times New Roman" w:cs="Times New Roman"/>
          <w:sz w:val="20"/>
          <w:szCs w:val="20"/>
        </w:rPr>
        <w:t xml:space="preserve"> Confidence interval; </w:t>
      </w:r>
      <w:r w:rsidRPr="00433C0E">
        <w:rPr>
          <w:rFonts w:ascii="Times New Roman" w:eastAsia="Times New Roman" w:hAnsi="Times New Roman" w:cs="Times New Roman"/>
          <w:b/>
          <w:bCs/>
          <w:sz w:val="20"/>
          <w:szCs w:val="20"/>
        </w:rPr>
        <w:t>RR:</w:t>
      </w:r>
      <w:r w:rsidRPr="00433C0E">
        <w:rPr>
          <w:rFonts w:ascii="Times New Roman" w:eastAsia="Times New Roman" w:hAnsi="Times New Roman" w:cs="Times New Roman"/>
          <w:sz w:val="20"/>
          <w:szCs w:val="20"/>
        </w:rPr>
        <w:t xml:space="preserve"> Risk ratio; </w:t>
      </w:r>
      <w:r w:rsidRPr="00433C0E">
        <w:rPr>
          <w:rFonts w:ascii="Times New Roman" w:eastAsia="Times New Roman" w:hAnsi="Times New Roman" w:cs="Times New Roman"/>
          <w:b/>
          <w:bCs/>
          <w:sz w:val="20"/>
          <w:szCs w:val="20"/>
        </w:rPr>
        <w:t>MD:</w:t>
      </w:r>
      <w:r w:rsidRPr="00433C0E">
        <w:rPr>
          <w:rFonts w:ascii="Times New Roman" w:eastAsia="Times New Roman" w:hAnsi="Times New Roman" w:cs="Times New Roman"/>
          <w:sz w:val="20"/>
          <w:szCs w:val="20"/>
        </w:rPr>
        <w:t xml:space="preserve"> Mean difference</w:t>
      </w:r>
      <w:r w:rsidRPr="00433C0E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433C0E">
        <w:rPr>
          <w:rFonts w:ascii="Times New Roman" w:hAnsi="Times New Roman" w:cs="Times New Roman"/>
          <w:sz w:val="20"/>
          <w:szCs w:val="20"/>
        </w:rPr>
        <w:t>GER- Gastroesophageal reflux</w:t>
      </w:r>
    </w:p>
    <w:p w14:paraId="701DD2C2" w14:textId="77777777" w:rsidR="00347043" w:rsidRPr="00433C0E" w:rsidRDefault="00C00974">
      <w:pPr>
        <w:rPr>
          <w:rFonts w:ascii="Times New Roman" w:hAnsi="Times New Roman" w:cs="Times New Roman"/>
          <w:sz w:val="20"/>
          <w:szCs w:val="20"/>
        </w:rPr>
      </w:pPr>
    </w:p>
    <w:sectPr w:rsidR="00347043" w:rsidRPr="00433C0E" w:rsidSect="00434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2MzIxMTc2NDGxMDFX0lEKTi0uzszPAykwrgUAF/oZkCwAAAA="/>
  </w:docVars>
  <w:rsids>
    <w:rsidRoot w:val="006F2D5F"/>
    <w:rsid w:val="001267F9"/>
    <w:rsid w:val="00433C0E"/>
    <w:rsid w:val="006F2D5F"/>
    <w:rsid w:val="00C00974"/>
    <w:rsid w:val="00C76017"/>
    <w:rsid w:val="00CC537C"/>
    <w:rsid w:val="00EE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6DCDA"/>
  <w15:chartTrackingRefBased/>
  <w15:docId w15:val="{7116D2CA-9D3F-4D29-A651-46E039CF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D5F"/>
    <w:pPr>
      <w:spacing w:after="200" w:line="276" w:lineRule="auto"/>
    </w:pPr>
    <w:rPr>
      <w:rFonts w:eastAsiaTheme="minorEastAsia"/>
      <w:szCs w:val="22"/>
      <w:lang w:eastAsia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ality-sign">
    <w:name w:val="quality-sign"/>
    <w:basedOn w:val="DefaultParagraphFont"/>
    <w:rsid w:val="006F2D5F"/>
  </w:style>
  <w:style w:type="character" w:customStyle="1" w:styleId="quality-text">
    <w:name w:val="quality-text"/>
    <w:basedOn w:val="DefaultParagraphFont"/>
    <w:rsid w:val="006F2D5F"/>
  </w:style>
  <w:style w:type="table" w:styleId="TableGrid">
    <w:name w:val="Table Grid"/>
    <w:basedOn w:val="TableNormal"/>
    <w:uiPriority w:val="39"/>
    <w:rsid w:val="006F2D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0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Arushi Yadav</dc:creator>
  <cp:keywords/>
  <dc:description/>
  <cp:lastModifiedBy>Arushi Yadav</cp:lastModifiedBy>
  <cp:revision>4</cp:revision>
  <dcterms:created xsi:type="dcterms:W3CDTF">2021-05-13T06:23:00Z</dcterms:created>
  <dcterms:modified xsi:type="dcterms:W3CDTF">2021-07-22T07:36:00Z</dcterms:modified>
</cp:coreProperties>
</file>