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1B7AC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  <w:t>Supplementary Materials</w:t>
      </w:r>
    </w:p>
    <w:p w14:paraId="19D0A6F0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09A38D24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0D23A47F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155C601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D60931E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10C38597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5A6F0EC5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7A60CE80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D151032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MuseoSans-700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3B20A97A">
      <w:pPr>
        <w:jc w:val="center"/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drawing>
          <wp:inline distT="0" distB="0" distL="114300" distR="114300">
            <wp:extent cx="5264785" cy="3723005"/>
            <wp:effectExtent l="0" t="0" r="2540" b="1270"/>
            <wp:docPr id="2" name="图片 2" descr="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na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7D117">
      <w:pPr>
        <w:ind w:firstLine="420" w:firstLineChars="0"/>
        <w:jc w:val="center"/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t xml:space="preserve">Figure S1 </w:t>
      </w:r>
      <w: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  <w:t>Study population selection flowchart.</w:t>
      </w:r>
    </w:p>
    <w:p w14:paraId="7B6FC258">
      <w:pP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  <w:br w:type="page"/>
      </w:r>
    </w:p>
    <w:p w14:paraId="4941A83B">
      <w:pPr>
        <w:spacing w:line="360" w:lineRule="auto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6690" cy="3291840"/>
            <wp:effectExtent l="0" t="0" r="635" b="3810"/>
            <wp:docPr id="6" name="图片 6" descr="Figure3_Subgroup_Combined_Q1Styl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3_Subgroup_Combined_Q1Style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04FAB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S2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Subgroup analyses of the association between GNRI and mortality in older ICU patients with ventilator-associated pneumonia.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</w:p>
    <w:p w14:paraId="4AFBF30E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1EE73EE9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04D96F1F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62F3845A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13CD958E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361820F1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7A6F2AFE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2AACC27D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73E1CBAD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 w14:paraId="397D622A">
      <w:pPr>
        <w:jc w:val="center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S1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8"/>
        </w:rPr>
        <w:t>Incremental prognostic value of adding GNRI to a base model for 28-day and 1-year mortality.</w:t>
      </w:r>
    </w:p>
    <w:tbl>
      <w:tblPr>
        <w:tblStyle w:val="5"/>
        <w:tblW w:w="10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425"/>
        <w:gridCol w:w="1023"/>
        <w:gridCol w:w="2271"/>
        <w:gridCol w:w="1118"/>
        <w:gridCol w:w="1084"/>
        <w:gridCol w:w="1575"/>
      </w:tblGrid>
      <w:tr w14:paraId="3981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4D3F5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Outcome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0ED4C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Base C-index</w:t>
            </w:r>
          </w:p>
        </w:tc>
        <w:tc>
          <w:tcPr>
            <w:tcW w:w="10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2035F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+GNRI C-index</w:t>
            </w:r>
          </w:p>
        </w:tc>
        <w:tc>
          <w:tcPr>
            <w:tcW w:w="227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341C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ΔC-index </w:t>
            </w:r>
          </w:p>
          <w:p w14:paraId="12B282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(bootstrap 95%CI)</w:t>
            </w:r>
          </w:p>
        </w:tc>
        <w:tc>
          <w:tcPr>
            <w:tcW w:w="111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A5BCA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LR χ²(df)</w:t>
            </w:r>
          </w:p>
        </w:tc>
        <w:tc>
          <w:tcPr>
            <w:tcW w:w="10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3B82B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(LRT)</w:t>
            </w:r>
          </w:p>
        </w:tc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8D1E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09A56C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(ΔC bootstrap)</w:t>
            </w:r>
          </w:p>
        </w:tc>
      </w:tr>
      <w:tr w14:paraId="233A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7E4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28-day mortality</w:t>
            </w:r>
          </w:p>
        </w:tc>
        <w:tc>
          <w:tcPr>
            <w:tcW w:w="14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823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0.56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681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0.58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2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FAC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(0.00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–0.04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1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F31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18.77 (1)</w:t>
            </w:r>
          </w:p>
        </w:tc>
        <w:tc>
          <w:tcPr>
            <w:tcW w:w="10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AC8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1.47e−05</w:t>
            </w:r>
          </w:p>
        </w:tc>
        <w:tc>
          <w:tcPr>
            <w:tcW w:w="15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267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0.001</w:t>
            </w:r>
          </w:p>
        </w:tc>
      </w:tr>
      <w:tr w14:paraId="704E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E4DBA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1-year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mortality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2F2F2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0.557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5BC7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0.582</w:t>
            </w:r>
          </w:p>
        </w:tc>
        <w:tc>
          <w:tcPr>
            <w:tcW w:w="22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40C03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0.025 (0.0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–0.04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788A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24.64 (1)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40FDE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6.92e−07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1AFA0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&lt;0.001</w:t>
            </w:r>
          </w:p>
        </w:tc>
      </w:tr>
    </w:tbl>
    <w:p w14:paraId="30EC90E8">
      <w:pPr>
        <w:rPr>
          <w:rFonts w:hint="default" w:ascii="Times New Roman" w:hAnsi="Times New Roman" w:cs="Times New Roman"/>
          <w:b w:val="0"/>
          <w:bCs w:val="0"/>
          <w:sz w:val="22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2"/>
          <w:szCs w:val="28"/>
          <w:lang w:val="en-US" w:eastAsia="zh-CN"/>
        </w:rPr>
        <w:t>Base model included age and SOFA group; the augmented model additionally included GNRI. ΔC-index and its 95% CI were estimated using bootstrap resampling (N=</w:t>
      </w:r>
      <w:r>
        <w:rPr>
          <w:rFonts w:hint="eastAsia" w:ascii="Times New Roman" w:hAnsi="Times New Roman" w:cs="Times New Roman"/>
          <w:b w:val="0"/>
          <w:bCs w:val="0"/>
          <w:sz w:val="22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2"/>
          <w:szCs w:val="28"/>
          <w:lang w:val="en-US" w:eastAsia="zh-CN"/>
        </w:rPr>
        <w:t xml:space="preserve"> resamples). </w:t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 w:val="22"/>
          <w:szCs w:val="28"/>
          <w:lang w:val="en-US" w:eastAsia="zh-CN"/>
        </w:rPr>
        <w:t xml:space="preserve"> value for ΔC-index was derived from the bootstrap distribution. Nested models were compared using the</w:t>
      </w:r>
      <w:r>
        <w:rPr>
          <w:rFonts w:hint="eastAsia" w:ascii="Times New Roman" w:hAnsi="Times New Roman" w:cs="Times New Roman"/>
          <w:b w:val="0"/>
          <w:bCs w:val="0"/>
          <w:sz w:val="22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8"/>
          <w:lang w:val="en-US" w:eastAsia="zh-CN"/>
        </w:rPr>
        <w:t>LRT. Abbreviations: C-index, Harrell’s concordance index; LRT, likelihood ratio test; CI, confidence interval.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useoSans-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06F72"/>
    <w:rsid w:val="023C0D1D"/>
    <w:rsid w:val="02781BC8"/>
    <w:rsid w:val="0B8833D1"/>
    <w:rsid w:val="11506F72"/>
    <w:rsid w:val="168A408B"/>
    <w:rsid w:val="1E2C329C"/>
    <w:rsid w:val="2D965FA1"/>
    <w:rsid w:val="2F1633F9"/>
    <w:rsid w:val="32353736"/>
    <w:rsid w:val="38B31AF6"/>
    <w:rsid w:val="38BA7F06"/>
    <w:rsid w:val="399E34B5"/>
    <w:rsid w:val="3AFC25C8"/>
    <w:rsid w:val="3B3E4D3B"/>
    <w:rsid w:val="3E363222"/>
    <w:rsid w:val="40395CEE"/>
    <w:rsid w:val="4A7235D6"/>
    <w:rsid w:val="4C3F7232"/>
    <w:rsid w:val="4E3450DC"/>
    <w:rsid w:val="4E5922C4"/>
    <w:rsid w:val="4FA56A77"/>
    <w:rsid w:val="57E96242"/>
    <w:rsid w:val="650D2C1F"/>
    <w:rsid w:val="66FB1A53"/>
    <w:rsid w:val="691E0643"/>
    <w:rsid w:val="6B4D0DBA"/>
    <w:rsid w:val="799D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3103</Characters>
  <Lines>0</Lines>
  <Paragraphs>0</Paragraphs>
  <TotalTime>1</TotalTime>
  <ScaleCrop>false</ScaleCrop>
  <LinksUpToDate>false</LinksUpToDate>
  <CharactersWithSpaces>3395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2025-12-25T06:44:00Z</dcterms:created>
  <dc:creator>momo</dc:creator>
  <cp:lastModifiedBy>momo</cp:lastModifiedBy>
  <dcterms:modified xsi:type="dcterms:W3CDTF">2026-02-15T01:05:45Z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C9255BF990AC437C83ACC489AC7E9D1C_11</vt:lpwstr>
  </property>
  <property fmtid="{D5CDD505-2E9C-101B-9397-08002B2CF9AE}" pid="4" name="KSOTemplateDocerSaveRecord">
    <vt:lpwstr>eyJoZGlkIjoiZDZlY2JjNmMyNWY5YmIyZjk2ZjA4ZmI4NDQ4YjU4MzMiLCJ1c2VySWQiOiI3MzY2MDY0NTcifQ==</vt:lpwstr>
  </property>
</Properties>
</file>