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13" w:rsidRPr="00244813" w:rsidRDefault="00244813" w:rsidP="002448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B7F">
        <w:rPr>
          <w:rStyle w:val="IOPP-LabelChar"/>
          <w:bCs/>
          <w:lang w:val="en-GB"/>
        </w:rPr>
        <w:t>Table S1.</w:t>
      </w:r>
      <w:r w:rsidRPr="002448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1B7F">
        <w:rPr>
          <w:rStyle w:val="IOPP-CaptionTextChar"/>
          <w:iCs/>
          <w:lang w:val="en-GB"/>
        </w:rPr>
        <w:t>Validation of ERA5-Land reanalysis data against Meteorological station observations</w:t>
      </w:r>
      <w:r w:rsidRPr="0024481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tbl>
      <w:tblPr>
        <w:tblW w:w="11030" w:type="dxa"/>
        <w:jc w:val="center"/>
        <w:tblLook w:val="04A0" w:firstRow="1" w:lastRow="0" w:firstColumn="1" w:lastColumn="0" w:noHBand="0" w:noVBand="1"/>
      </w:tblPr>
      <w:tblGrid>
        <w:gridCol w:w="1231"/>
        <w:gridCol w:w="1341"/>
        <w:gridCol w:w="720"/>
        <w:gridCol w:w="852"/>
        <w:gridCol w:w="601"/>
        <w:gridCol w:w="644"/>
        <w:gridCol w:w="96"/>
        <w:gridCol w:w="1121"/>
        <w:gridCol w:w="1341"/>
        <w:gridCol w:w="711"/>
        <w:gridCol w:w="852"/>
        <w:gridCol w:w="601"/>
        <w:gridCol w:w="919"/>
      </w:tblGrid>
      <w:tr w:rsidR="00244813" w:rsidRPr="00271B7F" w:rsidTr="00271B7F">
        <w:trPr>
          <w:trHeight w:val="300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Station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Variable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Bias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RMSE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R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NSE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Station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Variable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Bias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RMSE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R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NSE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Al-Ahsa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-1.02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8.42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Wadi Al-Dawasser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-0.34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5.83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0.61</w:t>
            </w:r>
          </w:p>
        </w:tc>
        <w:tc>
          <w:tcPr>
            <w:tcW w:w="9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0.35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-1.67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1.80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0.94</w:t>
            </w:r>
          </w:p>
        </w:tc>
        <w:tc>
          <w:tcPr>
            <w:tcW w:w="112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-0.85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1.08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0.97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-1.75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1.80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0.96</w:t>
            </w:r>
          </w:p>
        </w:tc>
        <w:tc>
          <w:tcPr>
            <w:tcW w:w="112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-1.52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1.58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0.95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Al-Olaa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-3.74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9.08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0.85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0.33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Al-Baha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1.11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16.84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0.62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0.28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-4.53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4.59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0.57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-1.49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1.63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0.89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-2.12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2.14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0.92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-0.75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0.96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Hafr Al-Batin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0.02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9.78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0.83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0.70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Bisha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-2.41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11.17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0.71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0.44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-0.42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-0.95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1.34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0.95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-1.07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1.26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-1.58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1.70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0.88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KFIA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-0.73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9.35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0.83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0.68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Gizan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-2.10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22.67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0.76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0.56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-0.16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0.49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0.96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0.89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-1.09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1.20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-2.70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2.75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0.07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Madinah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-1.69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8.71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0.71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0.48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Khamis Mushait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12.61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25.03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0.71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0.10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-3.49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3.60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0.71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0.58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0.93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-1.15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1.27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0.97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-1.49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1.74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0.97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0.79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Qaisumah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0.16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8.74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0.88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0.77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Najran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-3.98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12.88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0.77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0.35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-1.30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1.43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0.97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-1.77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2.02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0.88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-1.68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1.75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0.97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-2.49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2.55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0.75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Arafat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-2.90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15.30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0.53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0.25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Sharorah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-3.93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13.13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0.48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0.08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-1.15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1.40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0.89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-1.41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1.65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0.92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-3.31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3.36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0.53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-2.37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2.43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0.82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Dawadami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-0.65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8.01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0.92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0.85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Al-Jouf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-0.86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5.62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0.89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0.78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-0.82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-2.21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2.33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0.91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-1.40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1.45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0.96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-1.54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1.62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0.97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Gassim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-2.16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13.04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0.77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0.58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Arar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0.20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8.00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0.77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0.59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-1.10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1.31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0.97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-1.28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1.42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0.97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-1.55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1.73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0.96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-2.04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2.21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0.95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Hail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8.42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0.76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0.45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Guriat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-0.02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6.43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0.65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0.41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-0.17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0.40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0.71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-1.18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1.24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-1.72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1.78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0.96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Jeddah KAIA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1.18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10.36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0.66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0.36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Rafha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7.96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0.77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0.50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-1.07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1.59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0.95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0.81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-0.52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1.16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-1.58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1.78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0.77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-1.63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1.80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0.96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Makkah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2.49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16.93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0.58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0.07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Tabuk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-0.79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5.79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0.67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0.38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-3.36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3.44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0.28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-2.43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2.62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0.87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-2.73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2.83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  <w:hideMark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0.63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-1.13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1.18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 xml:space="preserve">Riyadh 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-1.13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8.20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0.82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0.66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Turaif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0.41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6.32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0.61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-1.02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1.27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0.97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-0.40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-1.38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1.51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740" w:type="dxa"/>
            <w:gridSpan w:val="2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0.97</w:t>
            </w:r>
          </w:p>
        </w:tc>
        <w:tc>
          <w:tcPr>
            <w:tcW w:w="112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-0.91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lastRenderedPageBreak/>
              <w:t>Taif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0.31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15.30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0.70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0.48</w:t>
            </w:r>
          </w:p>
        </w:tc>
        <w:tc>
          <w:tcPr>
            <w:tcW w:w="1217" w:type="dxa"/>
            <w:gridSpan w:val="2"/>
            <w:vMerge w:val="restart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Wejh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Precipitation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0.36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6.70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0.71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0.43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-0.18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1.08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0.96</w:t>
            </w:r>
          </w:p>
        </w:tc>
        <w:tc>
          <w:tcPr>
            <w:tcW w:w="1217" w:type="dxa"/>
            <w:gridSpan w:val="2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Tmin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0.36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0.60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0.99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</w:tr>
      <w:tr w:rsidR="00244813" w:rsidRPr="00271B7F" w:rsidTr="00271B7F">
        <w:trPr>
          <w:trHeight w:val="300"/>
          <w:jc w:val="center"/>
        </w:trPr>
        <w:tc>
          <w:tcPr>
            <w:tcW w:w="1231" w:type="dxa"/>
            <w:vMerge/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-1.41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1.49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1.00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0.90</w:t>
            </w: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44813" w:rsidRPr="00271B7F" w:rsidRDefault="00244813" w:rsidP="00271B7F">
            <w:pPr>
              <w:pStyle w:val="IOPP-Table-LeftColumn"/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Tmax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-0.65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1.24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0.98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4813" w:rsidRPr="00271B7F" w:rsidRDefault="00244813" w:rsidP="00271B7F">
            <w:pPr>
              <w:pStyle w:val="IOPP-Table-LeftColumn"/>
            </w:pPr>
            <w:r w:rsidRPr="00271B7F">
              <w:t>0.88</w:t>
            </w:r>
          </w:p>
        </w:tc>
      </w:tr>
    </w:tbl>
    <w:p w:rsidR="00244813" w:rsidRDefault="00244813"/>
    <w:p w:rsidR="00271B7F" w:rsidRDefault="00271B7F">
      <w:r>
        <w:rPr>
          <w:noProof/>
        </w:rPr>
        <mc:AlternateContent>
          <mc:Choice Requires="wps">
            <w:drawing>
              <wp:anchor distT="45720" distB="180340" distL="114300" distR="114300" simplePos="0" relativeHeight="251659264" behindDoc="0" locked="0" layoutInCell="1" allowOverlap="0" wp14:anchorId="4F3B831F" wp14:editId="39221427">
                <wp:simplePos x="0" y="0"/>
                <wp:positionH relativeFrom="column">
                  <wp:posOffset>346075</wp:posOffset>
                </wp:positionH>
                <wp:positionV relativeFrom="page">
                  <wp:posOffset>2307590</wp:posOffset>
                </wp:positionV>
                <wp:extent cx="5659120" cy="1404620"/>
                <wp:effectExtent l="0" t="0" r="17780" b="1460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B7F" w:rsidRDefault="00271B7F" w:rsidP="00271B7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DD898" wp14:editId="695B1B27">
                                  <wp:extent cx="5463540" cy="4222532"/>
                                  <wp:effectExtent l="0" t="0" r="3810" b="698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omparison_1_3month_spei_spedi.jpg"/>
                                          <pic:cNvPicPr/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7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3540" cy="4222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71B7F" w:rsidRPr="00F909F7" w:rsidRDefault="00271B7F" w:rsidP="00271B7F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30643B">
                              <w:rPr>
                                <w:rStyle w:val="IOPP-LabelChar"/>
                              </w:rPr>
                              <w:t xml:space="preserve">Figure </w:t>
                            </w:r>
                            <w:r>
                              <w:rPr>
                                <w:rStyle w:val="IOPP-LabelChar"/>
                              </w:rPr>
                              <w:t>S</w:t>
                            </w:r>
                            <w:r w:rsidRPr="0030643B">
                              <w:rPr>
                                <w:rStyle w:val="IOPP-LabelChar"/>
                              </w:rPr>
                              <w:t>1.</w:t>
                            </w:r>
                            <w:r w:rsidRPr="00F909F7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1B7F">
                              <w:rPr>
                                <w:rStyle w:val="IOPP-CaptionTextChar"/>
                              </w:rPr>
                              <w:t>Comparison of 3-month SPEI and SPEDI variability with ENSO (Niño3.4 SST anomalies) and both monthly and decadal phases of the AMO over the Arabian Peninsula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3B8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25pt;margin-top:181.7pt;width:445.6pt;height:110.6pt;z-index:251659264;visibility:visible;mso-wrap-style:square;mso-width-percent:0;mso-height-percent:200;mso-wrap-distance-left:9pt;mso-wrap-distance-top:3.6pt;mso-wrap-distance-right:9pt;mso-wrap-distance-bottom:14.2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" o:allowoverlap="f" strokecolor="#a5a5a5 [2092]" strokeweight="1pt">
                <v:textbox style="mso-fit-shape-to-text:t">
                  <w:txbxContent>
                    <w:p w:rsidR="00271B7F" w:rsidRDefault="00271B7F" w:rsidP="00271B7F">
                      <w:pPr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ADD898" wp14:editId="695B1B27">
                            <wp:extent cx="5463540" cy="4222532"/>
                            <wp:effectExtent l="0" t="0" r="3810" b="698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omparison_1_3month_spei_spedi.jpg"/>
                                    <pic:cNvPicPr/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7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463540" cy="422253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1B7F" w:rsidRPr="00F909F7" w:rsidRDefault="00271B7F" w:rsidP="00271B7F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30643B">
                        <w:rPr>
                          <w:rStyle w:val="IOPP-LabelChar"/>
                        </w:rPr>
                        <w:t xml:space="preserve">Figure </w:t>
                      </w:r>
                      <w:r>
                        <w:rPr>
                          <w:rStyle w:val="IOPP-LabelChar"/>
                        </w:rPr>
                        <w:t>S</w:t>
                      </w:r>
                      <w:r w:rsidRPr="0030643B">
                        <w:rPr>
                          <w:rStyle w:val="IOPP-LabelChar"/>
                        </w:rPr>
                        <w:t>1.</w:t>
                      </w:r>
                      <w:r w:rsidRPr="00F909F7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71B7F">
                        <w:rPr>
                          <w:rStyle w:val="IOPP-CaptionTextChar"/>
                        </w:rPr>
                        <w:t>Comparison of 3-month SPEI and SPEDI variability with ENSO (Niño3.4 SST anomalies) and both monthly and decadal phases of the AMO over the Arabian Peninsula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271B7F" w:rsidRDefault="00271B7F"/>
    <w:p w:rsidR="00135DC2" w:rsidRDefault="00135DC2"/>
    <w:p w:rsidR="00271B7F" w:rsidRDefault="00271B7F"/>
    <w:p w:rsidR="00271B7F" w:rsidRDefault="00271B7F"/>
    <w:p w:rsidR="00271B7F" w:rsidRDefault="00271B7F"/>
    <w:p w:rsidR="00271B7F" w:rsidRDefault="00271B7F"/>
    <w:p w:rsidR="00271B7F" w:rsidRDefault="00271B7F">
      <w:r>
        <w:rPr>
          <w:noProof/>
        </w:rPr>
        <w:lastRenderedPageBreak/>
        <mc:AlternateContent>
          <mc:Choice Requires="wps">
            <w:drawing>
              <wp:anchor distT="45720" distB="180340" distL="114300" distR="114300" simplePos="0" relativeHeight="251661312" behindDoc="0" locked="0" layoutInCell="1" allowOverlap="0" wp14:anchorId="16B47C90" wp14:editId="251B5D15">
                <wp:simplePos x="0" y="0"/>
                <wp:positionH relativeFrom="column">
                  <wp:posOffset>0</wp:posOffset>
                </wp:positionH>
                <wp:positionV relativeFrom="page">
                  <wp:posOffset>1411605</wp:posOffset>
                </wp:positionV>
                <wp:extent cx="5659120" cy="1404620"/>
                <wp:effectExtent l="0" t="0" r="17780" b="1460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B7F" w:rsidRDefault="00271B7F" w:rsidP="00271B7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E131C" wp14:editId="54EFF795">
                                  <wp:extent cx="5463540" cy="4265642"/>
                                  <wp:effectExtent l="0" t="0" r="3810" b="190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omparison_2_6month_spei_spedi.jp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7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3540" cy="4265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71B7F" w:rsidRPr="00F909F7" w:rsidRDefault="00271B7F" w:rsidP="00271B7F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30643B">
                              <w:rPr>
                                <w:rStyle w:val="IOPP-LabelChar"/>
                              </w:rPr>
                              <w:t xml:space="preserve">Figure </w:t>
                            </w:r>
                            <w:r>
                              <w:rPr>
                                <w:rStyle w:val="IOPP-LabelChar"/>
                              </w:rPr>
                              <w:t>S</w:t>
                            </w:r>
                            <w:r>
                              <w:rPr>
                                <w:rStyle w:val="IOPP-LabelChar"/>
                              </w:rPr>
                              <w:t>2</w:t>
                            </w:r>
                            <w:r w:rsidRPr="0030643B">
                              <w:rPr>
                                <w:rStyle w:val="IOPP-LabelChar"/>
                              </w:rPr>
                              <w:t>.</w:t>
                            </w:r>
                            <w:r w:rsidRPr="00F909F7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1B7F">
                              <w:rPr>
                                <w:rStyle w:val="IOPP-CaptionTextChar"/>
                              </w:rPr>
                              <w:t>Comparison of 6-month SPEI and SPEDI variability with ENSO (Niño3.4 SST anomalies) and both monthly and decadal phases of the AMO over the Arabian Peninsula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47C90" id="_x0000_s1027" type="#_x0000_t202" style="position:absolute;margin-left:0;margin-top:111.15pt;width:445.6pt;height:110.6pt;z-index:251661312;visibility:visible;mso-wrap-style:square;mso-width-percent:0;mso-height-percent:200;mso-wrap-distance-left:9pt;mso-wrap-distance-top:3.6pt;mso-wrap-distance-right:9pt;mso-wrap-distance-bottom:14.2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" o:allowoverlap="f" strokecolor="#a5a5a5 [2092]" strokeweight="1pt">
                <v:textbox style="mso-fit-shape-to-text:t">
                  <w:txbxContent>
                    <w:p w:rsidR="00271B7F" w:rsidRDefault="00271B7F" w:rsidP="00271B7F">
                      <w:pPr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BE131C" wp14:editId="54EFF795">
                            <wp:extent cx="5463540" cy="4265642"/>
                            <wp:effectExtent l="0" t="0" r="3810" b="190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omparison_2_6month_spei_spedi.jpg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7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463540" cy="426564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1B7F" w:rsidRPr="00F909F7" w:rsidRDefault="00271B7F" w:rsidP="00271B7F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30643B">
                        <w:rPr>
                          <w:rStyle w:val="IOPP-LabelChar"/>
                        </w:rPr>
                        <w:t xml:space="preserve">Figure </w:t>
                      </w:r>
                      <w:r>
                        <w:rPr>
                          <w:rStyle w:val="IOPP-LabelChar"/>
                        </w:rPr>
                        <w:t>S</w:t>
                      </w:r>
                      <w:r>
                        <w:rPr>
                          <w:rStyle w:val="IOPP-LabelChar"/>
                        </w:rPr>
                        <w:t>2</w:t>
                      </w:r>
                      <w:r w:rsidRPr="0030643B">
                        <w:rPr>
                          <w:rStyle w:val="IOPP-LabelChar"/>
                        </w:rPr>
                        <w:t>.</w:t>
                      </w:r>
                      <w:r w:rsidRPr="00F909F7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71B7F">
                        <w:rPr>
                          <w:rStyle w:val="IOPP-CaptionTextChar"/>
                        </w:rPr>
                        <w:t>Comparison of 6-month SPEI and SPEDI variability with ENSO (Niño3.4 SST anomalies) and both monthly and decadal phases of the AMO over the Arabian Peninsula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135DC2" w:rsidRDefault="00135DC2">
      <w:bookmarkStart w:id="0" w:name="_GoBack"/>
      <w:bookmarkEnd w:id="0"/>
    </w:p>
    <w:sectPr w:rsidR="00135DC2" w:rsidSect="00D4026C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2E" w:rsidRDefault="001F762E" w:rsidP="00D4026C">
      <w:pPr>
        <w:spacing w:after="0" w:line="240" w:lineRule="auto"/>
      </w:pPr>
      <w:r>
        <w:separator/>
      </w:r>
    </w:p>
  </w:endnote>
  <w:endnote w:type="continuationSeparator" w:id="0">
    <w:p w:rsidR="001F762E" w:rsidRDefault="001F762E" w:rsidP="00D4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2E" w:rsidRDefault="001F762E" w:rsidP="00D4026C">
      <w:pPr>
        <w:spacing w:after="0" w:line="240" w:lineRule="auto"/>
      </w:pPr>
      <w:r>
        <w:separator/>
      </w:r>
    </w:p>
  </w:footnote>
  <w:footnote w:type="continuationSeparator" w:id="0">
    <w:p w:rsidR="001F762E" w:rsidRDefault="001F762E" w:rsidP="00D40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6C"/>
    <w:rsid w:val="00132766"/>
    <w:rsid w:val="00135DC2"/>
    <w:rsid w:val="001F762E"/>
    <w:rsid w:val="00244813"/>
    <w:rsid w:val="00271B7F"/>
    <w:rsid w:val="0047580B"/>
    <w:rsid w:val="005A3CEC"/>
    <w:rsid w:val="005B4426"/>
    <w:rsid w:val="008058C8"/>
    <w:rsid w:val="00855A87"/>
    <w:rsid w:val="00AD4B3F"/>
    <w:rsid w:val="00AF7044"/>
    <w:rsid w:val="00B73D20"/>
    <w:rsid w:val="00CC18FD"/>
    <w:rsid w:val="00D4026C"/>
    <w:rsid w:val="00E64C5F"/>
    <w:rsid w:val="00E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F4D7"/>
  <w15:chartTrackingRefBased/>
  <w15:docId w15:val="{5692EB8E-1AFB-461F-A5E9-5AB0F539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26C"/>
  </w:style>
  <w:style w:type="paragraph" w:styleId="Footer">
    <w:name w:val="footer"/>
    <w:basedOn w:val="Normal"/>
    <w:link w:val="FooterChar"/>
    <w:uiPriority w:val="99"/>
    <w:unhideWhenUsed/>
    <w:rsid w:val="00D40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26C"/>
  </w:style>
  <w:style w:type="paragraph" w:customStyle="1" w:styleId="font-claude-response-body">
    <w:name w:val="font-claude-response-body"/>
    <w:basedOn w:val="Normal"/>
    <w:rsid w:val="0013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813"/>
    <w:rPr>
      <w:b/>
      <w:bCs/>
    </w:rPr>
  </w:style>
  <w:style w:type="character" w:styleId="Emphasis">
    <w:name w:val="Emphasis"/>
    <w:basedOn w:val="DefaultParagraphFont"/>
    <w:uiPriority w:val="20"/>
    <w:qFormat/>
    <w:rsid w:val="00244813"/>
    <w:rPr>
      <w:i/>
      <w:iCs/>
    </w:rPr>
  </w:style>
  <w:style w:type="paragraph" w:customStyle="1" w:styleId="IOPP-Table-LeftColumn">
    <w:name w:val="IOPP-Table-LeftColumn"/>
    <w:basedOn w:val="Normal"/>
    <w:link w:val="IOPP-Table-LeftColumnChar"/>
    <w:qFormat/>
    <w:rsid w:val="00271B7F"/>
    <w:pPr>
      <w:spacing w:after="0" w:line="240" w:lineRule="auto"/>
    </w:pPr>
    <w:rPr>
      <w:rFonts w:ascii="Cambria" w:hAnsi="Cambria"/>
      <w:sz w:val="20"/>
      <w:szCs w:val="20"/>
      <w:lang w:val="en-GB"/>
    </w:rPr>
  </w:style>
  <w:style w:type="character" w:customStyle="1" w:styleId="IOPP-Table-LeftColumnChar">
    <w:name w:val="IOPP-Table-LeftColumn Char"/>
    <w:basedOn w:val="DefaultParagraphFont"/>
    <w:link w:val="IOPP-Table-LeftColumn"/>
    <w:rsid w:val="00271B7F"/>
    <w:rPr>
      <w:rFonts w:ascii="Cambria" w:hAnsi="Cambria"/>
      <w:sz w:val="20"/>
      <w:szCs w:val="20"/>
      <w:lang w:val="en-GB"/>
    </w:rPr>
  </w:style>
  <w:style w:type="character" w:customStyle="1" w:styleId="IOPP-LabelChar">
    <w:name w:val="IOPP-Label Char"/>
    <w:basedOn w:val="DefaultParagraphFont"/>
    <w:link w:val="IOPP-Label"/>
    <w:rsid w:val="00271B7F"/>
    <w:rPr>
      <w:rFonts w:ascii="Cambria" w:hAnsi="Cambria"/>
      <w:b/>
      <w:sz w:val="20"/>
      <w:szCs w:val="20"/>
    </w:rPr>
  </w:style>
  <w:style w:type="paragraph" w:customStyle="1" w:styleId="IOPP-Label">
    <w:name w:val="IOPP-Label"/>
    <w:basedOn w:val="Normal"/>
    <w:link w:val="IOPP-LabelChar"/>
    <w:qFormat/>
    <w:rsid w:val="00271B7F"/>
    <w:pPr>
      <w:spacing w:after="200" w:line="276" w:lineRule="auto"/>
    </w:pPr>
    <w:rPr>
      <w:rFonts w:ascii="Cambria" w:hAnsi="Cambria"/>
      <w:b/>
      <w:sz w:val="20"/>
      <w:szCs w:val="20"/>
    </w:rPr>
  </w:style>
  <w:style w:type="character" w:customStyle="1" w:styleId="IOPP-CaptionTextChar">
    <w:name w:val="IOPP-CaptionText Char"/>
    <w:basedOn w:val="DefaultParagraphFont"/>
    <w:link w:val="IOPP-CaptionText"/>
    <w:rsid w:val="00271B7F"/>
    <w:rPr>
      <w:rFonts w:ascii="Cambria" w:hAnsi="Cambria"/>
      <w:sz w:val="20"/>
      <w:szCs w:val="20"/>
    </w:rPr>
  </w:style>
  <w:style w:type="paragraph" w:customStyle="1" w:styleId="IOPP-CaptionText">
    <w:name w:val="IOPP-CaptionText"/>
    <w:basedOn w:val="Normal"/>
    <w:link w:val="IOPP-CaptionTextChar"/>
    <w:qFormat/>
    <w:rsid w:val="00271B7F"/>
    <w:pPr>
      <w:spacing w:after="200" w:line="276" w:lineRule="auto"/>
    </w:pPr>
    <w:rPr>
      <w:rFonts w:ascii="Cambria" w:hAnsi="Cambr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1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2026-02-10T07:11:00Z</dcterms:created>
  <dcterms:modified xsi:type="dcterms:W3CDTF">2026-02-10T07:11:00Z</dcterms:modified>
</cp:coreProperties>
</file>