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445DB"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>. Basic Myopia Knowledge</w:t>
      </w:r>
    </w:p>
    <w:p w14:paraId="0331B596">
      <w:pPr>
        <w:ind w:firstLine="420"/>
      </w:pPr>
      <w:r>
        <w:t xml:space="preserve">A Kruskal-Wallis test revealed significant differences in basic myopia knowledge scores across the eight cities (H = 77.44, df = 7, </w:t>
      </w:r>
      <w:r>
        <w:rPr>
          <w:i/>
          <w:iCs/>
        </w:rPr>
        <w:t>P</w:t>
      </w:r>
      <w:r>
        <w:t xml:space="preserve"> &lt; 0.001). See Figure 1 for the results of pairwise comparisons.</w:t>
      </w:r>
    </w:p>
    <w:p w14:paraId="39720883">
      <w:pPr>
        <w:keepNext/>
        <w:jc w:val="center"/>
      </w:pPr>
      <w:r>
        <w:drawing>
          <wp:inline distT="0" distB="0" distL="114300" distR="114300">
            <wp:extent cx="2169795" cy="2169795"/>
            <wp:effectExtent l="0" t="0" r="14605" b="1460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91D59">
      <w:pPr>
        <w:pStyle w:val="11"/>
        <w:jc w:val="center"/>
        <w:rPr>
          <w:rFonts w:hint="eastAsia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1</w:t>
      </w:r>
      <w:r>
        <w:fldChar w:fldCharType="end"/>
      </w:r>
      <w:r>
        <w:t xml:space="preserve"> Pairwise comparisons of basic myopia knowledge across eight cities.</w:t>
      </w:r>
    </w:p>
    <w:p w14:paraId="250FE873">
      <w:pPr>
        <w:ind w:firstLine="420"/>
      </w:pPr>
      <w:r>
        <w:rPr>
          <w:rFonts w:hint="eastAsia"/>
        </w:rPr>
        <w:t xml:space="preserve">Dalian </w:t>
      </w:r>
      <w:r>
        <w:t xml:space="preserve">demonstrated the highest knowledge level (median = 40.5, IQR = 36.0–47.0), significantly outperforming most other cities in pairwise comparisons (Bonferroni-corrected </w:t>
      </w:r>
      <w:r>
        <w:rPr>
          <w:i/>
          <w:iCs/>
        </w:rPr>
        <w:t>P</w:t>
      </w:r>
      <w:r>
        <w:t xml:space="preserve"> &lt; 0.05). Beijing (median = 40.0, IQR = 36.0–46.0) and Taiyuan (median = 39.0, IQR = 31.3–44.8) also showed relatively high scores, while Nanjing ranked lowest (median = 36.0, IQR = 32.0–42.0). Full city rankings are presented in Table 1.</w:t>
      </w:r>
    </w:p>
    <w:p w14:paraId="6FD27B4E"/>
    <w:p w14:paraId="7C2CAC16">
      <w:pPr>
        <w:pStyle w:val="11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 xml:space="preserve"> Median [IQR] of basic myopia knowledge scores by city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3"/>
        <w:gridCol w:w="5019"/>
      </w:tblGrid>
      <w:tr w14:paraId="6387F6DB">
        <w:tc>
          <w:tcPr>
            <w:tcW w:w="205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</w:tcPr>
          <w:p w14:paraId="0858E2B2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City </w:t>
            </w:r>
          </w:p>
        </w:tc>
        <w:tc>
          <w:tcPr>
            <w:tcW w:w="294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54FD7797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Median [IQR] </w:t>
            </w:r>
          </w:p>
        </w:tc>
      </w:tr>
      <w:tr w14:paraId="1EF5854F">
        <w:tc>
          <w:tcPr>
            <w:tcW w:w="205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5064077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Dalian </w:t>
            </w:r>
          </w:p>
        </w:tc>
        <w:tc>
          <w:tcPr>
            <w:tcW w:w="294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287F004D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40.5 [36.0–47.0] </w:t>
            </w:r>
          </w:p>
        </w:tc>
      </w:tr>
      <w:tr w14:paraId="4A15B32B"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753E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Beijing </w:t>
            </w:r>
          </w:p>
        </w:tc>
        <w:tc>
          <w:tcPr>
            <w:tcW w:w="2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A6ECD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40.0 [36.0–46.0] </w:t>
            </w:r>
          </w:p>
        </w:tc>
      </w:tr>
      <w:tr w14:paraId="559CC288"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58CED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Xiamen </w:t>
            </w:r>
          </w:p>
        </w:tc>
        <w:tc>
          <w:tcPr>
            <w:tcW w:w="2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C227D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39.0 [34.0–46.0] </w:t>
            </w:r>
          </w:p>
        </w:tc>
      </w:tr>
      <w:tr w14:paraId="4F579129"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7D924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Taiyuan </w:t>
            </w:r>
          </w:p>
        </w:tc>
        <w:tc>
          <w:tcPr>
            <w:tcW w:w="2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20A79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39.0 [31.3–44.8] </w:t>
            </w:r>
          </w:p>
        </w:tc>
      </w:tr>
      <w:tr w14:paraId="23D0A244"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01E0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Changsha </w:t>
            </w:r>
          </w:p>
        </w:tc>
        <w:tc>
          <w:tcPr>
            <w:tcW w:w="2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E0B6D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39.0 [33.0–46.0] </w:t>
            </w:r>
          </w:p>
        </w:tc>
      </w:tr>
      <w:tr w14:paraId="0F896219"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0C9E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Xi'an </w:t>
            </w:r>
          </w:p>
        </w:tc>
        <w:tc>
          <w:tcPr>
            <w:tcW w:w="2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DFB5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38.0 [32.0–43.0] </w:t>
            </w:r>
          </w:p>
        </w:tc>
      </w:tr>
      <w:tr w14:paraId="68C6FC06"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3BAB8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Chengdu </w:t>
            </w:r>
          </w:p>
        </w:tc>
        <w:tc>
          <w:tcPr>
            <w:tcW w:w="2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EE162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38.0 [34.0–46.0] </w:t>
            </w:r>
          </w:p>
        </w:tc>
      </w:tr>
      <w:tr w14:paraId="49F1F5D4">
        <w:tc>
          <w:tcPr>
            <w:tcW w:w="205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2EE1B34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Nanjing </w:t>
            </w:r>
          </w:p>
        </w:tc>
        <w:tc>
          <w:tcPr>
            <w:tcW w:w="294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23A8109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36.0 [32.0–42.0] </w:t>
            </w:r>
          </w:p>
        </w:tc>
      </w:tr>
    </w:tbl>
    <w:p w14:paraId="02FA476C"/>
    <w:p w14:paraId="5692A1CC">
      <w:pPr>
        <w:rPr>
          <w:b/>
          <w:bCs/>
        </w:rPr>
      </w:pPr>
      <w:r>
        <w:rPr>
          <w:b/>
          <w:bCs/>
        </w:rPr>
        <w:t>2. 0.01% Atropine Eye Drops</w:t>
      </w:r>
    </w:p>
    <w:p w14:paraId="5255E55A"/>
    <w:p w14:paraId="69966117">
      <w:pPr>
        <w:ind w:firstLine="420"/>
      </w:pPr>
      <w:r>
        <w:t>0.01% Atropine Eye Drops-related knowledge: No significant differences were detected across cities (</w:t>
      </w:r>
      <w:r>
        <w:rPr>
          <w:rFonts w:hint="eastAsia"/>
          <w:i/>
          <w:iCs/>
          <w:lang w:val="en-US" w:eastAsia="zh-CN"/>
        </w:rPr>
        <w:t>P</w:t>
      </w:r>
      <w:r>
        <w:rPr>
          <w:rFonts w:hint="eastAsia"/>
          <w:lang w:val="en-US" w:eastAsia="zh-CN"/>
        </w:rPr>
        <w:t xml:space="preserve"> &gt; 0.05</w:t>
      </w:r>
      <w:r>
        <w:t xml:space="preserve">). </w:t>
      </w:r>
    </w:p>
    <w:p w14:paraId="1443930D">
      <w:pPr>
        <w:ind w:firstLine="420"/>
      </w:pPr>
      <w:r>
        <w:t xml:space="preserve">0.01% Atropine Eye Drops-related behavior:  Significant inter-city differences were observed (H = —, df = 7, </w:t>
      </w:r>
      <w:r>
        <w:rPr>
          <w:i/>
          <w:iCs/>
        </w:rPr>
        <w:t>P</w:t>
      </w:r>
      <w:r>
        <w:t xml:space="preserve"> </w:t>
      </w:r>
      <w:r>
        <w:rPr>
          <w:rFonts w:hint="eastAsia"/>
          <w:lang w:val="en-US" w:eastAsia="zh-CN"/>
        </w:rPr>
        <w:t>&lt; 0.005</w:t>
      </w:r>
      <w:r>
        <w:t xml:space="preserve">). Beijing exhibited the highest behavioral adherence (median = 21.0, IQR = 15.0–24.0), significantly outperforming both Nanjing (median = 15.0, IQR = 13.0–15.0; adjusted </w:t>
      </w:r>
      <w:r>
        <w:rPr>
          <w:i/>
          <w:iCs/>
        </w:rPr>
        <w:t>P</w:t>
      </w:r>
      <w:r>
        <w:t xml:space="preserve"> </w:t>
      </w:r>
      <w:r>
        <w:rPr>
          <w:rFonts w:hint="eastAsia"/>
          <w:lang w:val="en-US" w:eastAsia="zh-CN"/>
        </w:rPr>
        <w:t>&lt; 0.005</w:t>
      </w:r>
      <w:r>
        <w:t xml:space="preserve">) and Xiamen (median = 16.0, IQR = 15.0–17.0; adjusted </w:t>
      </w:r>
      <w:r>
        <w:rPr>
          <w:i/>
          <w:iCs/>
        </w:rPr>
        <w:t>P</w:t>
      </w:r>
      <w:r>
        <w:t xml:space="preserve"> </w:t>
      </w:r>
      <w:r>
        <w:rPr>
          <w:rFonts w:hint="eastAsia"/>
          <w:lang w:val="en-US" w:eastAsia="zh-CN"/>
        </w:rPr>
        <w:t>&lt; 0.05</w:t>
      </w:r>
      <w:r>
        <w:t>). No other pairwise comparisons reached statistical significance after Bonferroni correction. See Figure 2 for the results of pairwise comparisons.</w:t>
      </w:r>
      <w:bookmarkStart w:id="0" w:name="_GoBack"/>
      <w:bookmarkEnd w:id="0"/>
    </w:p>
    <w:p w14:paraId="454D0217">
      <w:pPr>
        <w:keepNext/>
        <w:jc w:val="center"/>
      </w:pPr>
      <w:r>
        <w:drawing>
          <wp:inline distT="0" distB="0" distL="114300" distR="114300">
            <wp:extent cx="2019300" cy="2019300"/>
            <wp:effectExtent l="0" t="0" r="12700" b="1270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D0E9E">
      <w:pPr>
        <w:pStyle w:val="11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2</w:t>
      </w:r>
      <w:r>
        <w:fldChar w:fldCharType="end"/>
      </w:r>
      <w:r>
        <w:t xml:space="preserve"> Pairwise comparisons of 0.01% atropine eye drops</w:t>
      </w:r>
      <w:r>
        <w:rPr>
          <w:rFonts w:hint="eastAsia"/>
        </w:rPr>
        <w:t>-related</w:t>
      </w:r>
      <w:r>
        <w:t xml:space="preserve"> behavior across eight cities.</w:t>
      </w:r>
    </w:p>
    <w:p w14:paraId="66DB2774">
      <w:pPr>
        <w:pStyle w:val="11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2</w:t>
      </w:r>
      <w:r>
        <w:fldChar w:fldCharType="end"/>
      </w:r>
      <w:r>
        <w:t xml:space="preserve"> Median [IQR] of atropine behavior scores by city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00301CF">
        <w:tc>
          <w:tcPr>
            <w:tcW w:w="250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</w:tcPr>
          <w:p w14:paraId="7D20457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City </w:t>
            </w:r>
          </w:p>
        </w:tc>
        <w:tc>
          <w:tcPr>
            <w:tcW w:w="250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5A16A2F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Median [IQR] </w:t>
            </w:r>
          </w:p>
        </w:tc>
      </w:tr>
      <w:tr w14:paraId="6DE32121">
        <w:tc>
          <w:tcPr>
            <w:tcW w:w="250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213942C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Beijing </w:t>
            </w:r>
          </w:p>
        </w:tc>
        <w:tc>
          <w:tcPr>
            <w:tcW w:w="250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2CC4BB4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21.0 [15.0–24.0]</w:t>
            </w:r>
          </w:p>
        </w:tc>
      </w:tr>
      <w:tr w14:paraId="000D36F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E8872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Xi'an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55947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17.0 [5.0–17.0] </w:t>
            </w:r>
          </w:p>
        </w:tc>
      </w:tr>
      <w:tr w14:paraId="7D04CC4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268B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Changsha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8944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17.0 [15.0–17.0] </w:t>
            </w:r>
          </w:p>
        </w:tc>
      </w:tr>
      <w:tr w14:paraId="5D8B760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0574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Xiamen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0F66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16.0 [15.0–17.0] </w:t>
            </w:r>
          </w:p>
        </w:tc>
      </w:tr>
      <w:tr w14:paraId="53285EC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22152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Taiyuan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54AB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16.0 [14.5–17.0] </w:t>
            </w:r>
          </w:p>
        </w:tc>
      </w:tr>
      <w:tr w14:paraId="77522B7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0409D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Nanjing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B6F0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15.0 [13.0–15.0] </w:t>
            </w:r>
          </w:p>
        </w:tc>
      </w:tr>
      <w:tr w14:paraId="71FD9E1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D514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Dalian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37777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14.0 [13.0–17.0] </w:t>
            </w:r>
          </w:p>
        </w:tc>
      </w:tr>
      <w:tr w14:paraId="2E998417">
        <w:tc>
          <w:tcPr>
            <w:tcW w:w="250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2740FCE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Chengdu</w:t>
            </w:r>
            <w:r>
              <w:rPr>
                <w:b w:val="0"/>
                <w:color w:val="000000"/>
                <w:vertAlign w:val="superscript"/>
              </w:rPr>
              <w:t>a</w:t>
            </w:r>
            <w:r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033251A8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 — </w:t>
            </w:r>
          </w:p>
        </w:tc>
      </w:tr>
    </w:tbl>
    <w:p w14:paraId="3CC6F7CE">
      <w:r>
        <w:t>a: n=3, identical scores</w:t>
      </w:r>
    </w:p>
    <w:p w14:paraId="09A0DC35"/>
    <w:p w14:paraId="79EF6E20">
      <w:pPr>
        <w:rPr>
          <w:b/>
          <w:bCs/>
        </w:rPr>
      </w:pPr>
      <w:r>
        <w:rPr>
          <w:b/>
          <w:bCs/>
        </w:rPr>
        <w:t>3. Spectacles</w:t>
      </w:r>
    </w:p>
    <w:p w14:paraId="26FBBF25">
      <w:pPr>
        <w:ind w:firstLine="420"/>
      </w:pPr>
      <w:r>
        <w:t xml:space="preserve">Spectacles-related knowledge: Significant differences were found across cities (H = 39.72, df = 7, </w:t>
      </w:r>
      <w:r>
        <w:rPr>
          <w:i/>
          <w:iCs/>
        </w:rPr>
        <w:t>P</w:t>
      </w:r>
      <w:r>
        <w:t xml:space="preserve"> &lt; 0.001). Dalian scored highest (median = 40.0, IQR = 32.0–40.0) and significantly outperformed all other cities except Taiyuan (adjusted </w:t>
      </w:r>
      <w:r>
        <w:rPr>
          <w:i/>
          <w:iCs/>
        </w:rPr>
        <w:t>P</w:t>
      </w:r>
      <w:r>
        <w:t xml:space="preserve"> &lt; 0.05). Changsha ranked lowest (median = 26.5, IQR = 24.0–32.0). See Figure 3 for the results of pairwise comparisons.</w:t>
      </w:r>
    </w:p>
    <w:p w14:paraId="5C2CEC26">
      <w:pPr>
        <w:keepNext/>
        <w:jc w:val="center"/>
      </w:pPr>
      <w:r>
        <w:drawing>
          <wp:inline distT="0" distB="0" distL="114300" distR="114300">
            <wp:extent cx="2013585" cy="2013585"/>
            <wp:effectExtent l="0" t="0" r="1841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6E484">
      <w:pPr>
        <w:pStyle w:val="11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3</w:t>
      </w:r>
      <w:r>
        <w:fldChar w:fldCharType="end"/>
      </w:r>
      <w:r>
        <w:t xml:space="preserve"> Pairwise comparisons of spectacle knowledge across eight cities.</w:t>
      </w:r>
    </w:p>
    <w:p w14:paraId="22485CA9">
      <w:pPr>
        <w:ind w:firstLine="420"/>
      </w:pPr>
      <w:r>
        <w:t>Spectacles-related attitude: No significant differences were detected (</w:t>
      </w:r>
      <w:r>
        <w:rPr>
          <w:rFonts w:hint="eastAsia"/>
          <w:i/>
          <w:iCs/>
          <w:lang w:val="en-US" w:eastAsia="zh-CN"/>
        </w:rPr>
        <w:t>P</w:t>
      </w:r>
      <w:r>
        <w:rPr>
          <w:rFonts w:hint="eastAsia"/>
          <w:lang w:val="en-US" w:eastAsia="zh-CN"/>
        </w:rPr>
        <w:t xml:space="preserve"> &gt; 0.05</w:t>
      </w:r>
      <w:r>
        <w:t>).</w:t>
      </w:r>
    </w:p>
    <w:p w14:paraId="4D178A66">
      <w:pPr>
        <w:ind w:firstLine="420"/>
      </w:pPr>
      <w:r>
        <w:t xml:space="preserve">Spectacles-related bahavior: Significant inter-city differences emerged (H = 35.95, df = 7, </w:t>
      </w:r>
      <w:r>
        <w:rPr>
          <w:i/>
          <w:iCs/>
        </w:rPr>
        <w:t>P</w:t>
      </w:r>
      <w:r>
        <w:t xml:space="preserve"> &lt; 0.001). Dalian again showed the highest adherence (median = 14.0, IQR = 12.0–15.0), significantly exceeding Changsha (median = 10.5, IQR = 9.0–12.3; adjusted </w:t>
      </w:r>
      <w:r>
        <w:rPr>
          <w:i/>
          <w:iCs/>
        </w:rPr>
        <w:t>P</w:t>
      </w:r>
      <w:r>
        <w:t xml:space="preserve"> &lt; 0.001), Taiyuan (median = 13.0, IQR = 10.0–15.0; adjusted </w:t>
      </w:r>
      <w:r>
        <w:rPr>
          <w:i/>
          <w:iCs/>
        </w:rPr>
        <w:t>P</w:t>
      </w:r>
      <w:r>
        <w:t xml:space="preserve"> </w:t>
      </w:r>
      <w:r>
        <w:rPr>
          <w:rFonts w:hint="eastAsia"/>
          <w:lang w:val="en-US" w:eastAsia="zh-CN"/>
        </w:rPr>
        <w:t>&lt; 0.05</w:t>
      </w:r>
      <w:r>
        <w:t xml:space="preserve">), and Beijing (median = 12.5, IQR = 11.0–15.0; adjusted </w:t>
      </w:r>
      <w:r>
        <w:rPr>
          <w:i/>
          <w:iCs/>
        </w:rPr>
        <w:t>P</w:t>
      </w:r>
      <w:r>
        <w:t xml:space="preserve"> </w:t>
      </w:r>
      <w:r>
        <w:rPr>
          <w:rFonts w:hint="eastAsia"/>
          <w:lang w:val="en-US" w:eastAsia="zh-CN"/>
        </w:rPr>
        <w:t>&lt; 0.05</w:t>
      </w:r>
      <w:r>
        <w:t>). See Figure 4 for the results of pairwise comparisons.</w:t>
      </w:r>
    </w:p>
    <w:p w14:paraId="2EE014EC">
      <w:pPr>
        <w:keepNext/>
        <w:jc w:val="center"/>
      </w:pPr>
      <w:r>
        <w:drawing>
          <wp:inline distT="0" distB="0" distL="114300" distR="114300">
            <wp:extent cx="2035175" cy="2035175"/>
            <wp:effectExtent l="0" t="0" r="22225" b="222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53E14">
      <w:pPr>
        <w:pStyle w:val="11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4</w:t>
      </w:r>
      <w:r>
        <w:fldChar w:fldCharType="end"/>
      </w:r>
      <w:r>
        <w:t xml:space="preserve"> Pairwise comparisons of spectacle behavior across eight cities.</w:t>
      </w:r>
    </w:p>
    <w:p w14:paraId="11B10DFD">
      <w:pPr>
        <w:pStyle w:val="11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3</w:t>
      </w:r>
      <w:r>
        <w:fldChar w:fldCharType="end"/>
      </w:r>
      <w:r>
        <w:t xml:space="preserve"> Median [IQR] of spectacle knowledge and behavior scores by city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 w14:paraId="7E771169">
        <w:tc>
          <w:tcPr>
            <w:tcW w:w="16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</w:tcPr>
          <w:p w14:paraId="2A9044B7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City </w:t>
            </w:r>
          </w:p>
        </w:tc>
        <w:tc>
          <w:tcPr>
            <w:tcW w:w="16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7BA8DD9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Knowledge </w:t>
            </w:r>
          </w:p>
        </w:tc>
        <w:tc>
          <w:tcPr>
            <w:tcW w:w="16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184AFEF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Behavior </w:t>
            </w:r>
          </w:p>
        </w:tc>
      </w:tr>
      <w:tr w14:paraId="00534C08">
        <w:tc>
          <w:tcPr>
            <w:tcW w:w="166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424E1B52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Dalian 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497ADF2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40.0 [32.0–40.0] 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09CF7DC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14.0 [12.0–15.0] </w:t>
            </w:r>
          </w:p>
        </w:tc>
      </w:tr>
      <w:tr w14:paraId="56A06709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EDC61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Taiyuan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9702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32.0 [24.0–40.0]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152D4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13.0 [10.0–15.0] </w:t>
            </w:r>
          </w:p>
        </w:tc>
      </w:tr>
      <w:tr w14:paraId="259921E8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30448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Beijing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82629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31.0 [25.0–35.0]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CAAD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12.5 [11.0–15.0] </w:t>
            </w:r>
          </w:p>
        </w:tc>
      </w:tr>
      <w:tr w14:paraId="4D18BA3E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AD56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Xiamen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96D6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29.0 [24.0–36.0]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760A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12.0 [10.0–14.0] </w:t>
            </w:r>
          </w:p>
        </w:tc>
      </w:tr>
      <w:tr w14:paraId="2B7714DF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6D41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Xi'an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2CB4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29.0 [24.0–35.0]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D054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12.0 [9.0–14.0] </w:t>
            </w:r>
          </w:p>
        </w:tc>
      </w:tr>
      <w:tr w14:paraId="508D39C9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A4744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Chengdu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CEB1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28.0 [24.0–38.5]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4E1E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12.0 [9.0–14.5] </w:t>
            </w:r>
          </w:p>
        </w:tc>
      </w:tr>
      <w:tr w14:paraId="62A0EA9E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B69A2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Nanjing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04F81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28.0 [24.0–34.0]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6F809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11.0 [9.0–13.0] </w:t>
            </w:r>
          </w:p>
        </w:tc>
      </w:tr>
      <w:tr w14:paraId="20061662">
        <w:tc>
          <w:tcPr>
            <w:tcW w:w="166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39FCB29D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Changsha 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2E5CFAC4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26.5 [24.0–32.0] 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400D00D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10.5 [9.0–12.3] </w:t>
            </w:r>
          </w:p>
        </w:tc>
      </w:tr>
    </w:tbl>
    <w:p w14:paraId="39F6CEB8"/>
    <w:p w14:paraId="3FBB5C7C">
      <w:pPr>
        <w:rPr>
          <w:b/>
          <w:bCs/>
        </w:rPr>
      </w:pPr>
      <w:r>
        <w:rPr>
          <w:b/>
          <w:bCs/>
        </w:rPr>
        <w:t>4. Contact Lenses</w:t>
      </w:r>
    </w:p>
    <w:p w14:paraId="1F00DEA4">
      <w:pPr>
        <w:ind w:firstLine="420"/>
      </w:pPr>
      <w:r>
        <w:t>Contact lenses-related knowledge: No significant differences were detected across cities (</w:t>
      </w:r>
      <w:r>
        <w:rPr>
          <w:rFonts w:hint="eastAsia"/>
          <w:i/>
          <w:iCs/>
          <w:lang w:val="en-US" w:eastAsia="zh-CN"/>
        </w:rPr>
        <w:t>P</w:t>
      </w:r>
      <w:r>
        <w:rPr>
          <w:rFonts w:hint="eastAsia"/>
          <w:lang w:val="en-US" w:eastAsia="zh-CN"/>
        </w:rPr>
        <w:t xml:space="preserve"> &gt; 0.05</w:t>
      </w:r>
      <w:r>
        <w:t>).</w:t>
      </w:r>
    </w:p>
    <w:p w14:paraId="21A056C1">
      <w:pPr>
        <w:ind w:firstLine="420"/>
      </w:pPr>
      <w:r>
        <w:t xml:space="preserve">Contact lenses-related attitude: Significant differences were observed (H = 16.09, df = 7, </w:t>
      </w:r>
      <w:r>
        <w:rPr>
          <w:i/>
          <w:iCs/>
        </w:rPr>
        <w:t>P</w:t>
      </w:r>
      <w:r>
        <w:t xml:space="preserve"> </w:t>
      </w:r>
      <w:r>
        <w:rPr>
          <w:rFonts w:hint="eastAsia"/>
          <w:lang w:val="en-US" w:eastAsia="zh-CN"/>
        </w:rPr>
        <w:t>&lt; 0.05</w:t>
      </w:r>
      <w:r>
        <w:t xml:space="preserve">). Taiyuan (median = 29.0, IQR = 29.0–29.8) and Dalian (median = 26.5, IQR = 22.3–30.0) scored highest, while Changsha ranked lowest (median = 19.0, IQR = 17.5–20.8). Only the Changsha–Dalian comparison remained significant after Bonferroni correction (adjusted </w:t>
      </w:r>
      <w:r>
        <w:rPr>
          <w:i/>
          <w:iCs/>
        </w:rPr>
        <w:t>P</w:t>
      </w:r>
      <w:r>
        <w:t xml:space="preserve"> </w:t>
      </w:r>
      <w:r>
        <w:rPr>
          <w:rFonts w:hint="eastAsia"/>
          <w:lang w:val="en-US" w:eastAsia="zh-CN"/>
        </w:rPr>
        <w:t>&lt; 0.05</w:t>
      </w:r>
      <w:r>
        <w:t>). See Figure 5 for the results of pairwise comparisons.</w:t>
      </w:r>
    </w:p>
    <w:p w14:paraId="0497FCE8">
      <w:pPr>
        <w:keepNext/>
        <w:jc w:val="center"/>
      </w:pPr>
      <w:r>
        <w:drawing>
          <wp:inline distT="0" distB="0" distL="114300" distR="114300">
            <wp:extent cx="2018665" cy="2018665"/>
            <wp:effectExtent l="0" t="0" r="13335" b="133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686CD">
      <w:pPr>
        <w:pStyle w:val="11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5</w:t>
      </w:r>
      <w:r>
        <w:fldChar w:fldCharType="end"/>
      </w:r>
      <w:r>
        <w:t xml:space="preserve"> Pairwise comparisons of contact lens attitude across eight cities.</w:t>
      </w:r>
    </w:p>
    <w:p w14:paraId="1F2CF4D2">
      <w:pPr>
        <w:ind w:firstLine="420"/>
      </w:pPr>
      <w:r>
        <w:t xml:space="preserve">Contact lenses-related behavior: Significant inter-city differences were found (H = 22.30, df = 7, </w:t>
      </w:r>
      <w:r>
        <w:rPr>
          <w:rFonts w:hint="eastAsia"/>
          <w:i/>
          <w:iCs/>
          <w:lang w:val="en-US" w:eastAsia="zh-CN"/>
        </w:rPr>
        <w:t>P</w:t>
      </w:r>
      <w:r>
        <w:rPr>
          <w:rFonts w:hint="eastAsia"/>
          <w:lang w:val="en-US" w:eastAsia="zh-CN"/>
        </w:rPr>
        <w:t xml:space="preserve"> &lt; 0.005</w:t>
      </w:r>
      <w:r>
        <w:t xml:space="preserve">). Taiyuan (median = 19.5, IQR = 19.5–20.0) and Dalian (median = 19.0, IQR = 16.0–20.0) demonstrated the highest adherence. Only the Nanjing–Dalian comparison remained significant after Bonferroni correction (adjusted </w:t>
      </w:r>
      <w:r>
        <w:rPr>
          <w:rFonts w:hint="eastAsia"/>
          <w:i/>
          <w:iCs/>
          <w:lang w:val="en-US" w:eastAsia="zh-CN"/>
        </w:rPr>
        <w:t>P</w:t>
      </w:r>
      <w:r>
        <w:rPr>
          <w:rFonts w:hint="eastAsia"/>
          <w:lang w:val="en-US" w:eastAsia="zh-CN"/>
        </w:rPr>
        <w:t xml:space="preserve"> &lt; 0.05</w:t>
      </w:r>
      <w:r>
        <w:t>). See Figure 6 for the results of pairwise comparisons.</w:t>
      </w:r>
    </w:p>
    <w:p w14:paraId="640B4007">
      <w:pPr>
        <w:keepNext/>
        <w:jc w:val="center"/>
      </w:pPr>
      <w:r>
        <w:rPr>
          <w:rFonts w:hint="eastAsia"/>
        </w:rPr>
        <w:drawing>
          <wp:inline distT="0" distB="0" distL="114300" distR="114300">
            <wp:extent cx="1892300" cy="1857375"/>
            <wp:effectExtent l="0" t="0" r="12700" b="22225"/>
            <wp:docPr id="5" name="图片 5" descr="截屏2025-12-13 下午3.50.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截屏2025-12-13 下午3.50.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8D370">
      <w:pPr>
        <w:pStyle w:val="11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t>6</w:t>
      </w:r>
      <w:r>
        <w:fldChar w:fldCharType="end"/>
      </w:r>
      <w:r>
        <w:t xml:space="preserve"> Pairwise comparisons of contact lens behavior across eight cities.</w:t>
      </w:r>
    </w:p>
    <w:p w14:paraId="4CA819B6">
      <w:pPr>
        <w:pStyle w:val="11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4</w:t>
      </w:r>
      <w:r>
        <w:fldChar w:fldCharType="end"/>
      </w:r>
      <w:r>
        <w:t xml:space="preserve"> Median [IQR] of contact lens attitude and behavior scores by city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 w14:paraId="3672373D">
        <w:tc>
          <w:tcPr>
            <w:tcW w:w="16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</w:tcPr>
          <w:p w14:paraId="4936C89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City </w:t>
            </w:r>
          </w:p>
        </w:tc>
        <w:tc>
          <w:tcPr>
            <w:tcW w:w="16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55BAC789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Attitude </w:t>
            </w:r>
          </w:p>
        </w:tc>
        <w:tc>
          <w:tcPr>
            <w:tcW w:w="16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7985BBD1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Behavior </w:t>
            </w:r>
          </w:p>
        </w:tc>
      </w:tr>
      <w:tr w14:paraId="236782D4">
        <w:tc>
          <w:tcPr>
            <w:tcW w:w="166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4603A4D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Taiyuan 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14D8A1C8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29.0 [29.0–29.8] </w:t>
            </w:r>
          </w:p>
        </w:tc>
        <w:tc>
          <w:tcPr>
            <w:tcW w:w="166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55C333E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19.5 [19.5–20.0] </w:t>
            </w:r>
          </w:p>
        </w:tc>
      </w:tr>
      <w:tr w14:paraId="278F95B2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EB697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Dalian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FA402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26.5 [22.3–30.0]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3C2C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19.0 [16.0–20.0] </w:t>
            </w:r>
          </w:p>
        </w:tc>
      </w:tr>
      <w:tr w14:paraId="0CC12F61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C80A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Beijing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0E8F4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25.0 [21.5–29.0]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5A16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19.0 [16.0–19.0] </w:t>
            </w:r>
          </w:p>
        </w:tc>
      </w:tr>
      <w:tr w14:paraId="79DE21DF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AB1FC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Chengdu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AEE3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24.0 [19.0–26.0]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1430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15.0 [14.0–17.0] </w:t>
            </w:r>
          </w:p>
        </w:tc>
      </w:tr>
      <w:tr w14:paraId="68F84B42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0FAE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Xi'an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5A3C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22.0 [18.0–30.0]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9679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18.0 [18.0–18.0] </w:t>
            </w:r>
          </w:p>
        </w:tc>
      </w:tr>
      <w:tr w14:paraId="1AFB575F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7CFD8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Nanjing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D4611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21.5 [18.0–28.0]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5E7A6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16.0 [16.0–17.0] </w:t>
            </w:r>
          </w:p>
        </w:tc>
      </w:tr>
      <w:tr w14:paraId="310FA9F9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06CA5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Xiamen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4A63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21.0 [21.0–24.8]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8A51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17.0 [17.0–17.8] </w:t>
            </w:r>
          </w:p>
        </w:tc>
      </w:tr>
      <w:tr w14:paraId="707A3D7A">
        <w:tc>
          <w:tcPr>
            <w:tcW w:w="166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18342417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Changsha 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23593D0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19.0 [17.5–20.8] 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31880C7E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15.0 [13.8–16.8] </w:t>
            </w:r>
          </w:p>
        </w:tc>
      </w:tr>
    </w:tbl>
    <w:p w14:paraId="0EF519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DB"/>
    <w:rsid w:val="0007094B"/>
    <w:rsid w:val="000919BF"/>
    <w:rsid w:val="001769B6"/>
    <w:rsid w:val="001A3767"/>
    <w:rsid w:val="00280604"/>
    <w:rsid w:val="002A51C0"/>
    <w:rsid w:val="002C5620"/>
    <w:rsid w:val="002D39C3"/>
    <w:rsid w:val="00361C19"/>
    <w:rsid w:val="00411BD4"/>
    <w:rsid w:val="00411FD6"/>
    <w:rsid w:val="00467C82"/>
    <w:rsid w:val="00554290"/>
    <w:rsid w:val="00572E69"/>
    <w:rsid w:val="005B0D16"/>
    <w:rsid w:val="00616FD6"/>
    <w:rsid w:val="00617A94"/>
    <w:rsid w:val="007234B6"/>
    <w:rsid w:val="00734F57"/>
    <w:rsid w:val="00744848"/>
    <w:rsid w:val="007912DB"/>
    <w:rsid w:val="00792519"/>
    <w:rsid w:val="008118B0"/>
    <w:rsid w:val="00831F37"/>
    <w:rsid w:val="008420C3"/>
    <w:rsid w:val="008501E5"/>
    <w:rsid w:val="0085494E"/>
    <w:rsid w:val="009360E9"/>
    <w:rsid w:val="009746B2"/>
    <w:rsid w:val="00A459E3"/>
    <w:rsid w:val="00AB5FBA"/>
    <w:rsid w:val="00B12113"/>
    <w:rsid w:val="00B91DF5"/>
    <w:rsid w:val="00CE06E5"/>
    <w:rsid w:val="00D210DE"/>
    <w:rsid w:val="00E83133"/>
    <w:rsid w:val="00F37DA3"/>
    <w:rsid w:val="00F66056"/>
    <w:rsid w:val="00F80286"/>
    <w:rsid w:val="00FC0FB5"/>
    <w:rsid w:val="2FFF29DC"/>
    <w:rsid w:val="943E3412"/>
    <w:rsid w:val="9FEEBEC9"/>
    <w:rsid w:val="F7F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65599CC4-CCE7-344B-A64E-0A77A57270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807</Words>
  <Characters>4606</Characters>
  <Lines>38</Lines>
  <Paragraphs>10</Paragraphs>
  <TotalTime>4</TotalTime>
  <ScaleCrop>false</ScaleCrop>
  <LinksUpToDate>false</LinksUpToDate>
  <CharactersWithSpaces>5403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2026-02-12T16:04:00Z</dcterms:created>
  <dc:creator>YF L</dc:creator>
  <cp:lastModifiedBy>：）</cp:lastModifiedBy>
  <dcterms:modified xsi:type="dcterms:W3CDTF">2026-02-12T16:37:28Z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AADA62E0617C029C2E908D69E1D3EA48_42</vt:lpwstr>
  </property>
</Properties>
</file>