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BD1C" w14:textId="77777777" w:rsidR="00126D59" w:rsidRPr="00E114D2" w:rsidRDefault="00126D59" w:rsidP="00126D59">
      <w:pPr>
        <w:pStyle w:val="Ttulo1"/>
        <w:spacing w:line="480" w:lineRule="auto"/>
        <w:jc w:val="both"/>
        <w:rPr>
          <w:rFonts w:ascii="Calibri" w:hAnsi="Calibri" w:cs="Calibri"/>
        </w:rPr>
      </w:pPr>
      <w:r w:rsidRPr="00E114D2">
        <w:rPr>
          <w:rFonts w:ascii="Calibri" w:hAnsi="Calibri" w:cs="Calibri"/>
        </w:rPr>
        <w:t>Supplementary Material</w:t>
      </w:r>
    </w:p>
    <w:p w14:paraId="05738955" w14:textId="77777777" w:rsidR="00126D59" w:rsidRPr="00E114D2" w:rsidRDefault="00126D59" w:rsidP="00126D59">
      <w:pPr>
        <w:pStyle w:val="Ttulo2"/>
        <w:spacing w:line="480" w:lineRule="auto"/>
        <w:jc w:val="both"/>
        <w:rPr>
          <w:rFonts w:ascii="Calibri" w:hAnsi="Calibri" w:cs="Calibri"/>
        </w:rPr>
      </w:pPr>
      <w:bookmarkStart w:id="0" w:name="Xbf99b5e4c277f8605a51fe434fb6c1191a1ed54"/>
      <w:r w:rsidRPr="00E114D2">
        <w:rPr>
          <w:rFonts w:ascii="Calibri" w:hAnsi="Calibri" w:cs="Calibri"/>
        </w:rPr>
        <w:t>IGI Scale Description and Data Processing</w:t>
      </w:r>
    </w:p>
    <w:p w14:paraId="3C683129" w14:textId="77777777" w:rsidR="00126D59" w:rsidRPr="00E114D2" w:rsidRDefault="00126D59" w:rsidP="00126D59">
      <w:pPr>
        <w:pStyle w:val="FirstParagraph"/>
        <w:spacing w:line="480" w:lineRule="auto"/>
        <w:jc w:val="both"/>
        <w:rPr>
          <w:rFonts w:ascii="Calibri" w:hAnsi="Calibri" w:cs="Calibri"/>
        </w:rPr>
      </w:pPr>
      <w:r w:rsidRPr="00E114D2">
        <w:rPr>
          <w:rFonts w:ascii="Calibri" w:hAnsi="Calibri" w:cs="Calibri"/>
        </w:rPr>
        <w:t xml:space="preserve">The </w:t>
      </w:r>
      <w:proofErr w:type="spellStart"/>
      <w:r w:rsidRPr="00E114D2">
        <w:rPr>
          <w:rFonts w:ascii="Calibri" w:hAnsi="Calibri" w:cs="Calibri"/>
          <w:i/>
          <w:iCs/>
        </w:rPr>
        <w:t>Inventario</w:t>
      </w:r>
      <w:proofErr w:type="spellEnd"/>
      <w:r w:rsidRPr="00E114D2">
        <w:rPr>
          <w:rFonts w:ascii="Calibri" w:hAnsi="Calibri" w:cs="Calibri"/>
          <w:i/>
          <w:iCs/>
        </w:rPr>
        <w:t xml:space="preserve"> de </w:t>
      </w:r>
      <w:proofErr w:type="spellStart"/>
      <w:r w:rsidRPr="00E114D2">
        <w:rPr>
          <w:rFonts w:ascii="Calibri" w:hAnsi="Calibri" w:cs="Calibri"/>
          <w:i/>
          <w:iCs/>
        </w:rPr>
        <w:t>Gestión</w:t>
      </w:r>
      <w:proofErr w:type="spellEnd"/>
      <w:r w:rsidRPr="00E114D2">
        <w:rPr>
          <w:rFonts w:ascii="Calibri" w:hAnsi="Calibri" w:cs="Calibri"/>
          <w:i/>
          <w:iCs/>
        </w:rPr>
        <w:t xml:space="preserve"> de </w:t>
      </w:r>
      <w:proofErr w:type="spellStart"/>
      <w:r w:rsidRPr="00E114D2">
        <w:rPr>
          <w:rFonts w:ascii="Calibri" w:hAnsi="Calibri" w:cs="Calibri"/>
          <w:i/>
          <w:iCs/>
        </w:rPr>
        <w:t>Intervención</w:t>
      </w:r>
      <w:proofErr w:type="spellEnd"/>
      <w:r w:rsidRPr="00E114D2">
        <w:rPr>
          <w:rFonts w:ascii="Calibri" w:hAnsi="Calibri" w:cs="Calibri"/>
        </w:rPr>
        <w:t xml:space="preserve"> (IGI) consists of 43 items grouped into 8 domains assessing dynamic risk and need factors (see Table S1).</w:t>
      </w:r>
    </w:p>
    <w:p w14:paraId="0432BCFA" w14:textId="77777777" w:rsidR="00126D59" w:rsidRPr="00E114D2" w:rsidRDefault="00126D59" w:rsidP="00126D59">
      <w:pPr>
        <w:pStyle w:val="Textoindependiente"/>
        <w:spacing w:line="480" w:lineRule="auto"/>
        <w:jc w:val="both"/>
        <w:rPr>
          <w:rFonts w:ascii="Calibri" w:hAnsi="Calibri" w:cs="Calibri"/>
        </w:rPr>
      </w:pPr>
      <w:r w:rsidRPr="00E114D2">
        <w:rPr>
          <w:rFonts w:ascii="Calibri" w:hAnsi="Calibri" w:cs="Calibri"/>
        </w:rPr>
        <w:t>[Table S1]. IGI Domains and Items</w:t>
      </w:r>
    </w:p>
    <w:tbl>
      <w:tblPr>
        <w:tblStyle w:val="Table"/>
        <w:tblW w:w="5000" w:type="pct"/>
        <w:tblLayout w:type="fixed"/>
        <w:tblLook w:val="0020" w:firstRow="1" w:lastRow="0" w:firstColumn="0" w:lastColumn="0" w:noHBand="0" w:noVBand="0"/>
      </w:tblPr>
      <w:tblGrid>
        <w:gridCol w:w="2209"/>
        <w:gridCol w:w="3683"/>
        <w:gridCol w:w="2946"/>
      </w:tblGrid>
      <w:tr w:rsidR="00126D59" w:rsidRPr="00E114D2" w14:paraId="597F8B90" w14:textId="77777777" w:rsidTr="005E2FD2">
        <w:trPr>
          <w:cnfStyle w:val="100000000000" w:firstRow="1" w:lastRow="0" w:firstColumn="0" w:lastColumn="0" w:oddVBand="0" w:evenVBand="0" w:oddHBand="0" w:evenHBand="0" w:firstRowFirstColumn="0" w:firstRowLastColumn="0" w:lastRowFirstColumn="0" w:lastRowLastColumn="0"/>
          <w:tblHeader/>
        </w:trPr>
        <w:tc>
          <w:tcPr>
            <w:tcW w:w="1980" w:type="dxa"/>
          </w:tcPr>
          <w:p w14:paraId="29887673"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Domain Code</w:t>
            </w:r>
          </w:p>
        </w:tc>
        <w:tc>
          <w:tcPr>
            <w:tcW w:w="3300" w:type="dxa"/>
          </w:tcPr>
          <w:p w14:paraId="7334D305"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Domain Name</w:t>
            </w:r>
          </w:p>
        </w:tc>
        <w:tc>
          <w:tcPr>
            <w:tcW w:w="2640" w:type="dxa"/>
          </w:tcPr>
          <w:p w14:paraId="4C905E54"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Items</w:t>
            </w:r>
          </w:p>
        </w:tc>
      </w:tr>
      <w:tr w:rsidR="00126D59" w:rsidRPr="00E114D2" w14:paraId="4D6386DB" w14:textId="77777777" w:rsidTr="005E2FD2">
        <w:tc>
          <w:tcPr>
            <w:tcW w:w="1980" w:type="dxa"/>
          </w:tcPr>
          <w:p w14:paraId="0D1A055B"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HD</w:t>
            </w:r>
          </w:p>
        </w:tc>
        <w:tc>
          <w:tcPr>
            <w:tcW w:w="3300" w:type="dxa"/>
          </w:tcPr>
          <w:p w14:paraId="3A4C3911"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 xml:space="preserve">Historia </w:t>
            </w:r>
            <w:proofErr w:type="spellStart"/>
            <w:r w:rsidRPr="00E114D2">
              <w:rPr>
                <w:rFonts w:ascii="Calibri" w:hAnsi="Calibri" w:cs="Calibri"/>
              </w:rPr>
              <w:t>Delictual</w:t>
            </w:r>
            <w:proofErr w:type="spellEnd"/>
            <w:r w:rsidRPr="00E114D2">
              <w:rPr>
                <w:rFonts w:ascii="Calibri" w:hAnsi="Calibri" w:cs="Calibri"/>
              </w:rPr>
              <w:t xml:space="preserve"> (Criminal History)</w:t>
            </w:r>
          </w:p>
        </w:tc>
        <w:tc>
          <w:tcPr>
            <w:tcW w:w="2640" w:type="dxa"/>
          </w:tcPr>
          <w:p w14:paraId="1936262F"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HD1–HD8</w:t>
            </w:r>
          </w:p>
        </w:tc>
      </w:tr>
      <w:tr w:rsidR="00126D59" w:rsidRPr="00E114D2" w14:paraId="7489B8B6" w14:textId="77777777" w:rsidTr="005E2FD2">
        <w:tc>
          <w:tcPr>
            <w:tcW w:w="1980" w:type="dxa"/>
          </w:tcPr>
          <w:p w14:paraId="7E3958B8"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EDU</w:t>
            </w:r>
          </w:p>
        </w:tc>
        <w:tc>
          <w:tcPr>
            <w:tcW w:w="3300" w:type="dxa"/>
          </w:tcPr>
          <w:p w14:paraId="790D90E3" w14:textId="77777777" w:rsidR="00126D59" w:rsidRPr="00E114D2" w:rsidRDefault="00126D59" w:rsidP="005E2FD2">
            <w:pPr>
              <w:pStyle w:val="Compact"/>
              <w:spacing w:line="480" w:lineRule="auto"/>
              <w:jc w:val="both"/>
              <w:rPr>
                <w:rFonts w:ascii="Calibri" w:hAnsi="Calibri" w:cs="Calibri"/>
              </w:rPr>
            </w:pPr>
            <w:proofErr w:type="spellStart"/>
            <w:r w:rsidRPr="00E114D2">
              <w:rPr>
                <w:rFonts w:ascii="Calibri" w:hAnsi="Calibri" w:cs="Calibri"/>
              </w:rPr>
              <w:t>Educación</w:t>
            </w:r>
            <w:proofErr w:type="spellEnd"/>
            <w:r w:rsidRPr="00E114D2">
              <w:rPr>
                <w:rFonts w:ascii="Calibri" w:hAnsi="Calibri" w:cs="Calibri"/>
              </w:rPr>
              <w:t>/Empleo (Education/Employment)</w:t>
            </w:r>
          </w:p>
        </w:tc>
        <w:tc>
          <w:tcPr>
            <w:tcW w:w="2640" w:type="dxa"/>
          </w:tcPr>
          <w:p w14:paraId="187C5305"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EDU9–EDU17</w:t>
            </w:r>
          </w:p>
        </w:tc>
      </w:tr>
      <w:tr w:rsidR="00126D59" w:rsidRPr="00E114D2" w14:paraId="1BB502BE" w14:textId="77777777" w:rsidTr="005E2FD2">
        <w:tc>
          <w:tcPr>
            <w:tcW w:w="1980" w:type="dxa"/>
          </w:tcPr>
          <w:p w14:paraId="62800C69"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FAM</w:t>
            </w:r>
          </w:p>
        </w:tc>
        <w:tc>
          <w:tcPr>
            <w:tcW w:w="3300" w:type="dxa"/>
          </w:tcPr>
          <w:p w14:paraId="6569005E"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Familia (Family)</w:t>
            </w:r>
          </w:p>
        </w:tc>
        <w:tc>
          <w:tcPr>
            <w:tcW w:w="2640" w:type="dxa"/>
          </w:tcPr>
          <w:p w14:paraId="08400964"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FAM18–FAM21</w:t>
            </w:r>
          </w:p>
        </w:tc>
      </w:tr>
      <w:tr w:rsidR="00126D59" w:rsidRPr="00E114D2" w14:paraId="2F2B87A9" w14:textId="77777777" w:rsidTr="005E2FD2">
        <w:tc>
          <w:tcPr>
            <w:tcW w:w="1980" w:type="dxa"/>
          </w:tcPr>
          <w:p w14:paraId="0A36FC75"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UTL</w:t>
            </w:r>
          </w:p>
        </w:tc>
        <w:tc>
          <w:tcPr>
            <w:tcW w:w="3300" w:type="dxa"/>
          </w:tcPr>
          <w:p w14:paraId="7A7FC847"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Uso Tiempo Libre (Leisure Time Use)</w:t>
            </w:r>
          </w:p>
        </w:tc>
        <w:tc>
          <w:tcPr>
            <w:tcW w:w="2640" w:type="dxa"/>
          </w:tcPr>
          <w:p w14:paraId="13333957"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UTL22–UTL23</w:t>
            </w:r>
          </w:p>
        </w:tc>
      </w:tr>
      <w:tr w:rsidR="00126D59" w:rsidRPr="00E114D2" w14:paraId="57C52F1D" w14:textId="77777777" w:rsidTr="005E2FD2">
        <w:tc>
          <w:tcPr>
            <w:tcW w:w="1980" w:type="dxa"/>
          </w:tcPr>
          <w:p w14:paraId="34003C0E"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PAR</w:t>
            </w:r>
          </w:p>
        </w:tc>
        <w:tc>
          <w:tcPr>
            <w:tcW w:w="3300" w:type="dxa"/>
          </w:tcPr>
          <w:p w14:paraId="080CC0E0"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Pares (Peers)</w:t>
            </w:r>
          </w:p>
        </w:tc>
        <w:tc>
          <w:tcPr>
            <w:tcW w:w="2640" w:type="dxa"/>
          </w:tcPr>
          <w:p w14:paraId="6C501868"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PAR24–PAR27</w:t>
            </w:r>
          </w:p>
        </w:tc>
      </w:tr>
      <w:tr w:rsidR="00126D59" w:rsidRPr="00E114D2" w14:paraId="60BB119B" w14:textId="77777777" w:rsidTr="005E2FD2">
        <w:tc>
          <w:tcPr>
            <w:tcW w:w="1980" w:type="dxa"/>
          </w:tcPr>
          <w:p w14:paraId="42AD4393"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CAD</w:t>
            </w:r>
          </w:p>
        </w:tc>
        <w:tc>
          <w:tcPr>
            <w:tcW w:w="3300" w:type="dxa"/>
          </w:tcPr>
          <w:p w14:paraId="0C0648A7" w14:textId="77777777" w:rsidR="00126D59" w:rsidRPr="00E114D2" w:rsidRDefault="00126D59" w:rsidP="005E2FD2">
            <w:pPr>
              <w:pStyle w:val="Compact"/>
              <w:spacing w:line="480" w:lineRule="auto"/>
              <w:jc w:val="both"/>
              <w:rPr>
                <w:rFonts w:ascii="Calibri" w:hAnsi="Calibri" w:cs="Calibri"/>
              </w:rPr>
            </w:pPr>
            <w:proofErr w:type="spellStart"/>
            <w:r w:rsidRPr="00E114D2">
              <w:rPr>
                <w:rFonts w:ascii="Calibri" w:hAnsi="Calibri" w:cs="Calibri"/>
              </w:rPr>
              <w:t>Actitud</w:t>
            </w:r>
            <w:proofErr w:type="spellEnd"/>
            <w:r w:rsidRPr="00E114D2">
              <w:rPr>
                <w:rFonts w:ascii="Calibri" w:hAnsi="Calibri" w:cs="Calibri"/>
              </w:rPr>
              <w:t>/</w:t>
            </w:r>
            <w:proofErr w:type="spellStart"/>
            <w:r w:rsidRPr="00E114D2">
              <w:rPr>
                <w:rFonts w:ascii="Calibri" w:hAnsi="Calibri" w:cs="Calibri"/>
              </w:rPr>
              <w:t>Comportamiento</w:t>
            </w:r>
            <w:proofErr w:type="spellEnd"/>
            <w:r w:rsidRPr="00E114D2">
              <w:rPr>
                <w:rFonts w:ascii="Calibri" w:hAnsi="Calibri" w:cs="Calibri"/>
              </w:rPr>
              <w:t xml:space="preserve"> (Attitude/Behavior)</w:t>
            </w:r>
          </w:p>
        </w:tc>
        <w:tc>
          <w:tcPr>
            <w:tcW w:w="2640" w:type="dxa"/>
          </w:tcPr>
          <w:p w14:paraId="681DF7DF"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CAD28–CAD35</w:t>
            </w:r>
          </w:p>
        </w:tc>
      </w:tr>
      <w:tr w:rsidR="00126D59" w:rsidRPr="00E114D2" w14:paraId="51174820" w14:textId="77777777" w:rsidTr="005E2FD2">
        <w:tc>
          <w:tcPr>
            <w:tcW w:w="1980" w:type="dxa"/>
          </w:tcPr>
          <w:p w14:paraId="039F6139"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PRO</w:t>
            </w:r>
          </w:p>
        </w:tc>
        <w:tc>
          <w:tcPr>
            <w:tcW w:w="3300" w:type="dxa"/>
          </w:tcPr>
          <w:p w14:paraId="14616921" w14:textId="77777777" w:rsidR="00126D59" w:rsidRPr="00E114D2" w:rsidRDefault="00126D59" w:rsidP="005E2FD2">
            <w:pPr>
              <w:pStyle w:val="Compact"/>
              <w:spacing w:line="480" w:lineRule="auto"/>
              <w:jc w:val="both"/>
              <w:rPr>
                <w:rFonts w:ascii="Calibri" w:hAnsi="Calibri" w:cs="Calibri"/>
              </w:rPr>
            </w:pPr>
            <w:proofErr w:type="spellStart"/>
            <w:r w:rsidRPr="00E114D2">
              <w:rPr>
                <w:rFonts w:ascii="Calibri" w:hAnsi="Calibri" w:cs="Calibri"/>
              </w:rPr>
              <w:t>Orientación</w:t>
            </w:r>
            <w:proofErr w:type="spellEnd"/>
            <w:r w:rsidRPr="00E114D2">
              <w:rPr>
                <w:rFonts w:ascii="Calibri" w:hAnsi="Calibri" w:cs="Calibri"/>
              </w:rPr>
              <w:t xml:space="preserve"> </w:t>
            </w:r>
            <w:proofErr w:type="spellStart"/>
            <w:r w:rsidRPr="00E114D2">
              <w:rPr>
                <w:rFonts w:ascii="Calibri" w:hAnsi="Calibri" w:cs="Calibri"/>
              </w:rPr>
              <w:t>Procriminal</w:t>
            </w:r>
            <w:proofErr w:type="spellEnd"/>
            <w:r w:rsidRPr="00E114D2">
              <w:rPr>
                <w:rFonts w:ascii="Calibri" w:hAnsi="Calibri" w:cs="Calibri"/>
              </w:rPr>
              <w:t xml:space="preserve"> (Pro-criminal Orientation)</w:t>
            </w:r>
          </w:p>
        </w:tc>
        <w:tc>
          <w:tcPr>
            <w:tcW w:w="2640" w:type="dxa"/>
          </w:tcPr>
          <w:p w14:paraId="780ACAE9"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PRO36–PRO39</w:t>
            </w:r>
          </w:p>
        </w:tc>
      </w:tr>
      <w:tr w:rsidR="00126D59" w:rsidRPr="00E114D2" w14:paraId="72505A9C" w14:textId="77777777" w:rsidTr="005E2FD2">
        <w:tc>
          <w:tcPr>
            <w:tcW w:w="1980" w:type="dxa"/>
          </w:tcPr>
          <w:p w14:paraId="0536DAA8"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lastRenderedPageBreak/>
              <w:t>PAT</w:t>
            </w:r>
          </w:p>
        </w:tc>
        <w:tc>
          <w:tcPr>
            <w:tcW w:w="3300" w:type="dxa"/>
          </w:tcPr>
          <w:p w14:paraId="246F0925" w14:textId="77777777" w:rsidR="00126D59" w:rsidRPr="00E114D2" w:rsidRDefault="00126D59" w:rsidP="005E2FD2">
            <w:pPr>
              <w:pStyle w:val="Compact"/>
              <w:spacing w:line="480" w:lineRule="auto"/>
              <w:jc w:val="both"/>
              <w:rPr>
                <w:rFonts w:ascii="Calibri" w:hAnsi="Calibri" w:cs="Calibri"/>
              </w:rPr>
            </w:pPr>
            <w:proofErr w:type="spellStart"/>
            <w:r w:rsidRPr="00E114D2">
              <w:rPr>
                <w:rFonts w:ascii="Calibri" w:hAnsi="Calibri" w:cs="Calibri"/>
              </w:rPr>
              <w:t>Patrones</w:t>
            </w:r>
            <w:proofErr w:type="spellEnd"/>
            <w:r w:rsidRPr="00E114D2">
              <w:rPr>
                <w:rFonts w:ascii="Calibri" w:hAnsi="Calibri" w:cs="Calibri"/>
              </w:rPr>
              <w:t xml:space="preserve"> </w:t>
            </w:r>
            <w:proofErr w:type="spellStart"/>
            <w:r w:rsidRPr="00E114D2">
              <w:rPr>
                <w:rFonts w:ascii="Calibri" w:hAnsi="Calibri" w:cs="Calibri"/>
              </w:rPr>
              <w:t>Delictivos</w:t>
            </w:r>
            <w:proofErr w:type="spellEnd"/>
            <w:r w:rsidRPr="00E114D2">
              <w:rPr>
                <w:rFonts w:ascii="Calibri" w:hAnsi="Calibri" w:cs="Calibri"/>
              </w:rPr>
              <w:t xml:space="preserve"> (Offending Patterns)</w:t>
            </w:r>
          </w:p>
        </w:tc>
        <w:tc>
          <w:tcPr>
            <w:tcW w:w="2640" w:type="dxa"/>
          </w:tcPr>
          <w:p w14:paraId="52BE8710" w14:textId="77777777" w:rsidR="00126D59" w:rsidRPr="00E114D2" w:rsidRDefault="00126D59" w:rsidP="005E2FD2">
            <w:pPr>
              <w:pStyle w:val="Compact"/>
              <w:spacing w:line="480" w:lineRule="auto"/>
              <w:jc w:val="both"/>
              <w:rPr>
                <w:rFonts w:ascii="Calibri" w:hAnsi="Calibri" w:cs="Calibri"/>
              </w:rPr>
            </w:pPr>
            <w:r w:rsidRPr="00E114D2">
              <w:rPr>
                <w:rFonts w:ascii="Calibri" w:hAnsi="Calibri" w:cs="Calibri"/>
              </w:rPr>
              <w:t>PAT40–PAT43</w:t>
            </w:r>
          </w:p>
        </w:tc>
      </w:tr>
    </w:tbl>
    <w:p w14:paraId="0FB0FECC" w14:textId="77777777" w:rsidR="00126D59" w:rsidRPr="00E114D2" w:rsidRDefault="00126D59" w:rsidP="00126D59">
      <w:pPr>
        <w:pStyle w:val="Textoindependiente"/>
        <w:spacing w:line="480" w:lineRule="auto"/>
        <w:jc w:val="both"/>
        <w:rPr>
          <w:rFonts w:ascii="Calibri" w:hAnsi="Calibri" w:cs="Calibri"/>
        </w:rPr>
      </w:pPr>
      <w:r w:rsidRPr="00E114D2">
        <w:rPr>
          <w:rFonts w:ascii="Calibri" w:hAnsi="Calibri" w:cs="Calibri"/>
        </w:rPr>
        <w:t xml:space="preserve">The original IGI items are scored on a 4-point scale (0–3), where lower values typically indicate higher needs for intervention (0) and higher values indicate strength or stability (3). </w:t>
      </w:r>
      <w:proofErr w:type="gramStart"/>
      <w:r w:rsidRPr="00E114D2">
        <w:rPr>
          <w:rFonts w:ascii="Calibri" w:hAnsi="Calibri" w:cs="Calibri"/>
        </w:rPr>
        <w:t>For the purpose of</w:t>
      </w:r>
      <w:proofErr w:type="gramEnd"/>
      <w:r w:rsidRPr="00E114D2">
        <w:rPr>
          <w:rFonts w:ascii="Calibri" w:hAnsi="Calibri" w:cs="Calibri"/>
        </w:rPr>
        <w:t xml:space="preserve"> network estimation, which focuses on the presence or absence of specific risk factors, items were binarized as follows:</w:t>
      </w:r>
    </w:p>
    <w:p w14:paraId="142B8FC9" w14:textId="77777777" w:rsidR="00126D59" w:rsidRPr="00E114D2" w:rsidRDefault="00126D59" w:rsidP="00126D59">
      <w:pPr>
        <w:pStyle w:val="Compact"/>
        <w:numPr>
          <w:ilvl w:val="0"/>
          <w:numId w:val="1"/>
        </w:numPr>
        <w:spacing w:line="480" w:lineRule="auto"/>
        <w:jc w:val="both"/>
        <w:rPr>
          <w:rFonts w:ascii="Calibri" w:hAnsi="Calibri" w:cs="Calibri"/>
        </w:rPr>
      </w:pPr>
      <w:r w:rsidRPr="00E114D2">
        <w:rPr>
          <w:rFonts w:ascii="Calibri" w:hAnsi="Calibri" w:cs="Calibri"/>
        </w:rPr>
        <w:t>1 (Risk Present): Original score of 0 (Needs Intervention).</w:t>
      </w:r>
    </w:p>
    <w:p w14:paraId="6637C3EB" w14:textId="77777777" w:rsidR="00126D59" w:rsidRPr="00E114D2" w:rsidRDefault="00126D59" w:rsidP="00126D59">
      <w:pPr>
        <w:pStyle w:val="Compact"/>
        <w:numPr>
          <w:ilvl w:val="0"/>
          <w:numId w:val="1"/>
        </w:numPr>
        <w:spacing w:line="480" w:lineRule="auto"/>
        <w:jc w:val="both"/>
        <w:rPr>
          <w:rFonts w:ascii="Calibri" w:hAnsi="Calibri" w:cs="Calibri"/>
        </w:rPr>
      </w:pPr>
      <w:r w:rsidRPr="00E114D2">
        <w:rPr>
          <w:rFonts w:ascii="Calibri" w:hAnsi="Calibri" w:cs="Calibri"/>
        </w:rPr>
        <w:t>0 (Risk Absent): Original scores of 1, 2, or 3 (Adequate functioning or strength).</w:t>
      </w:r>
    </w:p>
    <w:p w14:paraId="04640D87" w14:textId="68460799" w:rsidR="00126D59" w:rsidRPr="00E114D2" w:rsidRDefault="00126D59" w:rsidP="00126D59">
      <w:pPr>
        <w:pStyle w:val="FirstParagraph"/>
        <w:spacing w:line="480" w:lineRule="auto"/>
        <w:jc w:val="both"/>
        <w:rPr>
          <w:rFonts w:ascii="Calibri" w:hAnsi="Calibri" w:cs="Calibri"/>
        </w:rPr>
      </w:pPr>
      <w:r w:rsidRPr="00E114D2">
        <w:rPr>
          <w:rFonts w:ascii="Calibri" w:hAnsi="Calibri" w:cs="Calibri"/>
        </w:rPr>
        <w:t xml:space="preserve">This transformation ensures that the network edges represent the conditional dependence of </w:t>
      </w:r>
      <w:r w:rsidRPr="00E114D2">
        <w:rPr>
          <w:rFonts w:ascii="Calibri" w:hAnsi="Calibri" w:cs="Calibri"/>
          <w:i/>
          <w:iCs/>
        </w:rPr>
        <w:t>active</w:t>
      </w:r>
      <w:r w:rsidRPr="00E114D2">
        <w:rPr>
          <w:rFonts w:ascii="Calibri" w:hAnsi="Calibri" w:cs="Calibri"/>
        </w:rPr>
        <w:t xml:space="preserve"> risk factors. Using this convention, the distribution of total IGI scores (sum of binarized items) in the analytical sample covers the full range of severity, showing a slightly right-skewed distribution</w:t>
      </w:r>
      <w:r w:rsidR="00A52D55" w:rsidRPr="00E114D2">
        <w:rPr>
          <w:rFonts w:ascii="Calibri" w:hAnsi="Calibri" w:cs="Calibri"/>
        </w:rPr>
        <w:t xml:space="preserve"> (Figure S</w:t>
      </w:r>
      <w:r w:rsidR="00455302" w:rsidRPr="00E114D2">
        <w:rPr>
          <w:rFonts w:ascii="Calibri" w:hAnsi="Calibri" w:cs="Calibri"/>
        </w:rPr>
        <w:t>1</w:t>
      </w:r>
      <w:r w:rsidR="00A52D55" w:rsidRPr="00E114D2">
        <w:rPr>
          <w:rFonts w:ascii="Calibri" w:hAnsi="Calibri" w:cs="Calibri"/>
        </w:rPr>
        <w:t>)</w:t>
      </w:r>
      <w:r w:rsidRPr="00E114D2">
        <w:rPr>
          <w:rFonts w:ascii="Calibri" w:hAnsi="Calibri" w:cs="Calibri"/>
        </w:rPr>
        <w:t>.</w:t>
      </w:r>
    </w:p>
    <w:tbl>
      <w:tblPr>
        <w:tblStyle w:val="Table"/>
        <w:tblW w:w="5000" w:type="pct"/>
        <w:tblLayout w:type="fixed"/>
        <w:tblLook w:val="0000" w:firstRow="0" w:lastRow="0" w:firstColumn="0" w:lastColumn="0" w:noHBand="0" w:noVBand="0"/>
      </w:tblPr>
      <w:tblGrid>
        <w:gridCol w:w="8838"/>
      </w:tblGrid>
      <w:tr w:rsidR="00126D59" w:rsidRPr="00E114D2" w14:paraId="5080F9A2" w14:textId="77777777" w:rsidTr="005E2FD2">
        <w:tc>
          <w:tcPr>
            <w:tcW w:w="7920" w:type="dxa"/>
          </w:tcPr>
          <w:p w14:paraId="0D67B0E3" w14:textId="63B701B9" w:rsidR="00126D59" w:rsidRPr="00E114D2" w:rsidRDefault="00A52D55" w:rsidP="00455302">
            <w:pPr>
              <w:pStyle w:val="Compact"/>
              <w:spacing w:line="480" w:lineRule="auto"/>
              <w:jc w:val="center"/>
              <w:rPr>
                <w:rFonts w:ascii="Calibri" w:hAnsi="Calibri" w:cs="Calibri"/>
              </w:rPr>
            </w:pPr>
            <w:bookmarkStart w:id="1" w:name="fig-dist"/>
            <w:r w:rsidRPr="00E114D2">
              <w:rPr>
                <w:rFonts w:ascii="Calibri" w:hAnsi="Calibri" w:cs="Calibri"/>
              </w:rPr>
              <w:lastRenderedPageBreak/>
              <w:drawing>
                <wp:inline distT="0" distB="0" distL="0" distR="0" wp14:anchorId="7ECA034D" wp14:editId="26ED8CCC">
                  <wp:extent cx="5474970" cy="3638550"/>
                  <wp:effectExtent l="0" t="0" r="0" b="0"/>
                  <wp:docPr id="541368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6890" name=""/>
                          <pic:cNvPicPr/>
                        </pic:nvPicPr>
                        <pic:blipFill>
                          <a:blip r:embed="rId5"/>
                          <a:stretch>
                            <a:fillRect/>
                          </a:stretch>
                        </pic:blipFill>
                        <pic:spPr>
                          <a:xfrm>
                            <a:off x="0" y="0"/>
                            <a:ext cx="5474970" cy="3638550"/>
                          </a:xfrm>
                          <a:prstGeom prst="rect">
                            <a:avLst/>
                          </a:prstGeom>
                        </pic:spPr>
                      </pic:pic>
                    </a:graphicData>
                  </a:graphic>
                </wp:inline>
              </w:drawing>
            </w:r>
          </w:p>
          <w:p w14:paraId="5DF9BAD2" w14:textId="1602BA69" w:rsidR="00126D59" w:rsidRPr="00E114D2" w:rsidRDefault="00126D59" w:rsidP="005E2FD2">
            <w:pPr>
              <w:pStyle w:val="ImageCaption"/>
              <w:spacing w:before="200" w:line="480" w:lineRule="auto"/>
              <w:jc w:val="both"/>
              <w:rPr>
                <w:rFonts w:ascii="Calibri" w:hAnsi="Calibri" w:cs="Calibri"/>
              </w:rPr>
            </w:pPr>
            <w:r w:rsidRPr="00E114D2">
              <w:rPr>
                <w:rFonts w:ascii="Calibri" w:hAnsi="Calibri" w:cs="Calibri"/>
              </w:rPr>
              <w:t>Figure </w:t>
            </w:r>
            <w:r w:rsidR="00A52D55" w:rsidRPr="00E114D2">
              <w:rPr>
                <w:rFonts w:ascii="Calibri" w:hAnsi="Calibri" w:cs="Calibri"/>
              </w:rPr>
              <w:t>S</w:t>
            </w:r>
            <w:r w:rsidR="00455302" w:rsidRPr="00E114D2">
              <w:rPr>
                <w:rFonts w:ascii="Calibri" w:hAnsi="Calibri" w:cs="Calibri"/>
              </w:rPr>
              <w:t>1</w:t>
            </w:r>
            <w:r w:rsidRPr="00E114D2">
              <w:rPr>
                <w:rFonts w:ascii="Calibri" w:hAnsi="Calibri" w:cs="Calibri"/>
              </w:rPr>
              <w:t>: Distribution of total IGI scores (binarized items)</w:t>
            </w:r>
          </w:p>
        </w:tc>
        <w:bookmarkEnd w:id="1"/>
      </w:tr>
    </w:tbl>
    <w:p w14:paraId="7EF5928A" w14:textId="77777777" w:rsidR="00126D59" w:rsidRPr="00E114D2" w:rsidRDefault="00126D59" w:rsidP="00126D59">
      <w:pPr>
        <w:pStyle w:val="Ttulo2"/>
        <w:spacing w:line="480" w:lineRule="auto"/>
        <w:jc w:val="both"/>
        <w:rPr>
          <w:rFonts w:ascii="Calibri" w:hAnsi="Calibri" w:cs="Calibri"/>
        </w:rPr>
      </w:pPr>
      <w:bookmarkStart w:id="2" w:name="sequential-clustering-mapping"/>
      <w:bookmarkEnd w:id="0"/>
      <w:r w:rsidRPr="00E114D2">
        <w:rPr>
          <w:rFonts w:ascii="Calibri" w:hAnsi="Calibri" w:cs="Calibri"/>
        </w:rPr>
        <w:t>Sequential Clustering Mapping</w:t>
      </w:r>
    </w:p>
    <w:p w14:paraId="2E03BE68" w14:textId="77777777" w:rsidR="00126D59" w:rsidRPr="00E114D2" w:rsidRDefault="00126D59" w:rsidP="00126D59">
      <w:pPr>
        <w:pStyle w:val="FirstParagraph"/>
        <w:spacing w:line="480" w:lineRule="auto"/>
        <w:jc w:val="both"/>
        <w:rPr>
          <w:rFonts w:ascii="Calibri" w:hAnsi="Calibri" w:cs="Calibri"/>
        </w:rPr>
      </w:pPr>
      <w:r w:rsidRPr="00E114D2">
        <w:rPr>
          <w:rFonts w:ascii="Calibri" w:hAnsi="Calibri" w:cs="Calibri"/>
        </w:rPr>
        <w:t xml:space="preserve">To ensure that cluster labels remain comparable across overlapping windows as severity increases, we implemented a sequential mapping strategy rather than treating each window as an independent clustering task. Since adjacent windows </w:t>
      </w:r>
      <m:oMath>
        <m:sSub>
          <m:sSubPr>
            <m:ctrlPr>
              <w:rPr>
                <w:rFonts w:ascii="Cambria Math" w:hAnsi="Cambria Math" w:cs="Calibri"/>
              </w:rPr>
            </m:ctrlPr>
          </m:sSubPr>
          <m:e>
            <m:r>
              <w:rPr>
                <w:rFonts w:ascii="Cambria Math" w:hAnsi="Cambria Math" w:cs="Calibri"/>
              </w:rPr>
              <m:t>w</m:t>
            </m:r>
          </m:e>
          <m:sub>
            <m:r>
              <w:rPr>
                <w:rFonts w:ascii="Cambria Math" w:hAnsi="Cambria Math" w:cs="Calibri"/>
              </w:rPr>
              <m:t>t</m:t>
            </m:r>
          </m:sub>
        </m:sSub>
      </m:oMath>
      <w:r w:rsidRPr="00E114D2">
        <w:rPr>
          <w:rFonts w:ascii="Calibri" w:hAnsi="Calibri" w:cs="Calibri"/>
        </w:rPr>
        <w:t xml:space="preserve"> and </w:t>
      </w:r>
      <m:oMath>
        <m:sSub>
          <m:sSubPr>
            <m:ctrlPr>
              <w:rPr>
                <w:rFonts w:ascii="Cambria Math" w:hAnsi="Cambria Math" w:cs="Calibri"/>
              </w:rPr>
            </m:ctrlPr>
          </m:sSubPr>
          <m:e>
            <m:r>
              <w:rPr>
                <w:rFonts w:ascii="Cambria Math" w:hAnsi="Cambria Math" w:cs="Calibri"/>
              </w:rPr>
              <m:t>w</m:t>
            </m:r>
          </m:e>
          <m:sub>
            <m:r>
              <w:rPr>
                <w:rFonts w:ascii="Cambria Math" w:hAnsi="Cambria Math" w:cs="Calibri"/>
              </w:rPr>
              <m:t>t</m:t>
            </m:r>
            <m:r>
              <m:rPr>
                <m:sty m:val="p"/>
              </m:rPr>
              <w:rPr>
                <w:rFonts w:ascii="Cambria Math" w:hAnsi="Cambria Math" w:cs="Calibri"/>
              </w:rPr>
              <m:t>+</m:t>
            </m:r>
            <m:r>
              <w:rPr>
                <w:rFonts w:ascii="Cambria Math" w:hAnsi="Cambria Math" w:cs="Calibri"/>
              </w:rPr>
              <m:t>1</m:t>
            </m:r>
          </m:sub>
        </m:sSub>
      </m:oMath>
      <w:r w:rsidRPr="00E114D2">
        <w:rPr>
          <w:rFonts w:ascii="Calibri" w:hAnsi="Calibri" w:cs="Calibri"/>
        </w:rPr>
        <w:t xml:space="preserve"> share a substantial proportion of individuals, we use the structure of window </w:t>
      </w:r>
      <m:oMath>
        <m:r>
          <w:rPr>
            <w:rFonts w:ascii="Cambria Math" w:hAnsi="Cambria Math" w:cs="Calibri"/>
          </w:rPr>
          <m:t>t</m:t>
        </m:r>
      </m:oMath>
      <w:r w:rsidRPr="00E114D2">
        <w:rPr>
          <w:rFonts w:ascii="Calibri" w:hAnsi="Calibri" w:cs="Calibri"/>
        </w:rPr>
        <w:t xml:space="preserve"> to inform the initialization of window </w:t>
      </w:r>
      <m:oMath>
        <m:r>
          <w:rPr>
            <w:rFonts w:ascii="Cambria Math" w:hAnsi="Cambria Math" w:cs="Calibri"/>
          </w:rPr>
          <m:t>t</m:t>
        </m:r>
        <m:r>
          <m:rPr>
            <m:sty m:val="p"/>
          </m:rPr>
          <w:rPr>
            <w:rFonts w:ascii="Cambria Math" w:hAnsi="Cambria Math" w:cs="Calibri"/>
          </w:rPr>
          <m:t>+</m:t>
        </m:r>
        <m:r>
          <w:rPr>
            <w:rFonts w:ascii="Cambria Math" w:hAnsi="Cambria Math" w:cs="Calibri"/>
          </w:rPr>
          <m:t>1</m:t>
        </m:r>
      </m:oMath>
      <w:r w:rsidRPr="00E114D2">
        <w:rPr>
          <w:rFonts w:ascii="Calibri" w:hAnsi="Calibri" w:cs="Calibri"/>
        </w:rPr>
        <w:t>.</w:t>
      </w:r>
    </w:p>
    <w:p w14:paraId="60AC6270" w14:textId="77777777" w:rsidR="00126D59" w:rsidRPr="00E114D2" w:rsidRDefault="00126D59" w:rsidP="00126D59">
      <w:pPr>
        <w:pStyle w:val="Textoindependiente"/>
        <w:spacing w:line="480" w:lineRule="auto"/>
        <w:jc w:val="both"/>
        <w:rPr>
          <w:rFonts w:ascii="Calibri" w:hAnsi="Calibri" w:cs="Calibri"/>
        </w:rPr>
      </w:pPr>
      <w:r w:rsidRPr="00E114D2">
        <w:rPr>
          <w:rFonts w:ascii="Calibri" w:hAnsi="Calibri" w:cs="Calibri"/>
        </w:rPr>
        <w:t xml:space="preserve">Formally, let </w:t>
      </w:r>
      <m:oMath>
        <m:sSub>
          <m:sSubPr>
            <m:ctrlPr>
              <w:rPr>
                <w:rFonts w:ascii="Cambria Math" w:hAnsi="Cambria Math" w:cs="Calibri"/>
              </w:rPr>
            </m:ctrlPr>
          </m:sSubPr>
          <m:e>
            <m:r>
              <m:rPr>
                <m:scr m:val="script"/>
                <m:sty m:val="p"/>
              </m:rPr>
              <w:rPr>
                <w:rFonts w:ascii="Cambria Math" w:hAnsi="Cambria Math" w:cs="Calibri"/>
              </w:rPr>
              <m:t>M</m:t>
            </m:r>
          </m:e>
          <m:sub>
            <m:r>
              <w:rPr>
                <w:rFonts w:ascii="Cambria Math" w:hAnsi="Cambria Math" w:cs="Calibri"/>
              </w:rPr>
              <m:t>t</m:t>
            </m:r>
          </m:sub>
        </m:sSub>
        <m:r>
          <m:rPr>
            <m:sty m:val="p"/>
          </m:rPr>
          <w:rPr>
            <w:rFonts w:ascii="Cambria Math" w:hAnsi="Cambria Math" w:cs="Calibri"/>
          </w:rPr>
          <m:t>={</m:t>
        </m:r>
        <m:sSub>
          <m:sSubPr>
            <m:ctrlPr>
              <w:rPr>
                <w:rFonts w:ascii="Cambria Math" w:hAnsi="Cambria Math" w:cs="Calibri"/>
              </w:rPr>
            </m:ctrlPr>
          </m:sSubPr>
          <m:e>
            <m:r>
              <m:rPr>
                <m:sty m:val="b"/>
              </m:rPr>
              <w:rPr>
                <w:rFonts w:ascii="Cambria Math" w:hAnsi="Cambria Math" w:cs="Calibri"/>
              </w:rPr>
              <m:t>μ</m:t>
            </m:r>
          </m:e>
          <m:sub>
            <m:r>
              <w:rPr>
                <w:rFonts w:ascii="Cambria Math" w:hAnsi="Cambria Math" w:cs="Calibri"/>
              </w:rPr>
              <m:t>t</m:t>
            </m:r>
            <m:r>
              <m:rPr>
                <m:sty m:val="p"/>
              </m:rPr>
              <w:rPr>
                <w:rFonts w:ascii="Cambria Math" w:hAnsi="Cambria Math" w:cs="Calibri"/>
              </w:rPr>
              <m:t>,</m:t>
            </m:r>
            <m:r>
              <w:rPr>
                <w:rFonts w:ascii="Cambria Math" w:hAnsi="Cambria Math" w:cs="Calibri"/>
              </w:rPr>
              <m:t>1</m:t>
            </m:r>
          </m:sub>
        </m:sSub>
        <m:r>
          <m:rPr>
            <m:sty m:val="p"/>
          </m:rPr>
          <w:rPr>
            <w:rFonts w:ascii="Cambria Math" w:hAnsi="Cambria Math" w:cs="Calibri"/>
          </w:rPr>
          <m:t>,…,</m:t>
        </m:r>
        <m:sSub>
          <m:sSubPr>
            <m:ctrlPr>
              <w:rPr>
                <w:rFonts w:ascii="Cambria Math" w:hAnsi="Cambria Math" w:cs="Calibri"/>
              </w:rPr>
            </m:ctrlPr>
          </m:sSubPr>
          <m:e>
            <m:r>
              <m:rPr>
                <m:sty m:val="b"/>
              </m:rPr>
              <w:rPr>
                <w:rFonts w:ascii="Cambria Math" w:hAnsi="Cambria Math" w:cs="Calibri"/>
              </w:rPr>
              <m:t>μ</m:t>
            </m:r>
          </m:e>
          <m:sub>
            <m:r>
              <w:rPr>
                <w:rFonts w:ascii="Cambria Math" w:hAnsi="Cambria Math" w:cs="Calibri"/>
              </w:rPr>
              <m:t>t</m:t>
            </m:r>
            <m:r>
              <m:rPr>
                <m:sty m:val="p"/>
              </m:rPr>
              <w:rPr>
                <w:rFonts w:ascii="Cambria Math" w:hAnsi="Cambria Math" w:cs="Calibri"/>
              </w:rPr>
              <m:t>,</m:t>
            </m:r>
            <m:r>
              <w:rPr>
                <w:rFonts w:ascii="Cambria Math" w:hAnsi="Cambria Math" w:cs="Calibri"/>
              </w:rPr>
              <m:t>K</m:t>
            </m:r>
          </m:sub>
        </m:sSub>
        <m:r>
          <m:rPr>
            <m:sty m:val="p"/>
          </m:rPr>
          <w:rPr>
            <w:rFonts w:ascii="Cambria Math" w:hAnsi="Cambria Math" w:cs="Calibri"/>
          </w:rPr>
          <m:t>}</m:t>
        </m:r>
      </m:oMath>
      <w:r w:rsidRPr="00E114D2">
        <w:rPr>
          <w:rFonts w:ascii="Calibri" w:hAnsi="Calibri" w:cs="Calibri"/>
        </w:rPr>
        <w:t xml:space="preserve"> be the set of medoids (representative profiles) identified for the </w:t>
      </w:r>
      <m:oMath>
        <m:r>
          <w:rPr>
            <w:rFonts w:ascii="Cambria Math" w:hAnsi="Cambria Math" w:cs="Calibri"/>
          </w:rPr>
          <m:t>K</m:t>
        </m:r>
      </m:oMath>
      <w:r w:rsidRPr="00E114D2">
        <w:rPr>
          <w:rFonts w:ascii="Calibri" w:hAnsi="Calibri" w:cs="Calibri"/>
        </w:rPr>
        <w:t xml:space="preserve"> clusters in window </w:t>
      </w:r>
      <m:oMath>
        <m:r>
          <w:rPr>
            <w:rFonts w:ascii="Cambria Math" w:hAnsi="Cambria Math" w:cs="Calibri"/>
          </w:rPr>
          <m:t>t</m:t>
        </m:r>
      </m:oMath>
      <w:r w:rsidRPr="00E114D2">
        <w:rPr>
          <w:rFonts w:ascii="Calibri" w:hAnsi="Calibri" w:cs="Calibri"/>
        </w:rPr>
        <w:t xml:space="preserve">. For the subsequent window </w:t>
      </w:r>
      <m:oMath>
        <m:r>
          <w:rPr>
            <w:rFonts w:ascii="Cambria Math" w:hAnsi="Cambria Math" w:cs="Calibri"/>
          </w:rPr>
          <m:t>t</m:t>
        </m:r>
        <m:r>
          <m:rPr>
            <m:sty m:val="p"/>
          </m:rPr>
          <w:rPr>
            <w:rFonts w:ascii="Cambria Math" w:hAnsi="Cambria Math" w:cs="Calibri"/>
          </w:rPr>
          <m:t>+</m:t>
        </m:r>
        <m:r>
          <w:rPr>
            <w:rFonts w:ascii="Cambria Math" w:hAnsi="Cambria Math" w:cs="Calibri"/>
          </w:rPr>
          <m:t>1</m:t>
        </m:r>
      </m:oMath>
      <w:r w:rsidRPr="00E114D2">
        <w:rPr>
          <w:rFonts w:ascii="Calibri" w:hAnsi="Calibri" w:cs="Calibri"/>
        </w:rPr>
        <w:t xml:space="preserve">, we initialize the cluster centers using these projected medoids. For any individual </w:t>
      </w:r>
      <m:oMath>
        <m:r>
          <w:rPr>
            <w:rFonts w:ascii="Cambria Math" w:hAnsi="Cambria Math" w:cs="Calibri"/>
          </w:rPr>
          <m:t>v</m:t>
        </m:r>
      </m:oMath>
      <w:r w:rsidRPr="00E114D2">
        <w:rPr>
          <w:rFonts w:ascii="Calibri" w:hAnsi="Calibri" w:cs="Calibri"/>
        </w:rPr>
        <w:t xml:space="preserve"> residing in the overlap region </w:t>
      </w:r>
      <m:oMath>
        <m:sSub>
          <m:sSubPr>
            <m:ctrlPr>
              <w:rPr>
                <w:rFonts w:ascii="Cambria Math" w:hAnsi="Cambria Math" w:cs="Calibri"/>
              </w:rPr>
            </m:ctrlPr>
          </m:sSubPr>
          <m:e>
            <m:r>
              <w:rPr>
                <w:rFonts w:ascii="Cambria Math" w:hAnsi="Cambria Math" w:cs="Calibri"/>
              </w:rPr>
              <m:t>I</m:t>
            </m:r>
          </m:e>
          <m:sub>
            <m:r>
              <w:rPr>
                <w:rFonts w:ascii="Cambria Math" w:hAnsi="Cambria Math" w:cs="Calibri"/>
              </w:rPr>
              <m:t>t</m:t>
            </m:r>
          </m:sub>
        </m:sSub>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I</m:t>
            </m:r>
          </m:e>
          <m:sub>
            <m:r>
              <w:rPr>
                <w:rFonts w:ascii="Cambria Math" w:hAnsi="Cambria Math" w:cs="Calibri"/>
              </w:rPr>
              <m:t>t</m:t>
            </m:r>
            <m:r>
              <m:rPr>
                <m:sty m:val="p"/>
              </m:rPr>
              <w:rPr>
                <w:rFonts w:ascii="Cambria Math" w:hAnsi="Cambria Math" w:cs="Calibri"/>
              </w:rPr>
              <m:t>+</m:t>
            </m:r>
            <m:r>
              <w:rPr>
                <w:rFonts w:ascii="Cambria Math" w:hAnsi="Cambria Math" w:cs="Calibri"/>
              </w:rPr>
              <m:t>1</m:t>
            </m:r>
          </m:sub>
        </m:sSub>
      </m:oMath>
      <w:r w:rsidRPr="00E114D2">
        <w:rPr>
          <w:rFonts w:ascii="Calibri" w:hAnsi="Calibri" w:cs="Calibri"/>
        </w:rPr>
        <w:t xml:space="preserve">, let </w:t>
      </w:r>
      <m:oMath>
        <m:sSub>
          <m:sSubPr>
            <m:ctrlPr>
              <w:rPr>
                <w:rFonts w:ascii="Cambria Math" w:hAnsi="Cambria Math" w:cs="Calibri"/>
              </w:rPr>
            </m:ctrlPr>
          </m:sSubPr>
          <m:e>
            <m:r>
              <w:rPr>
                <w:rFonts w:ascii="Cambria Math" w:hAnsi="Cambria Math" w:cs="Calibri"/>
              </w:rPr>
              <m:t>c</m:t>
            </m:r>
          </m:e>
          <m:sub>
            <m:r>
              <w:rPr>
                <w:rFonts w:ascii="Cambria Math" w:hAnsi="Cambria Math" w:cs="Calibri"/>
              </w:rPr>
              <m:t>t</m:t>
            </m:r>
          </m:sub>
        </m:sSub>
        <m:d>
          <m:dPr>
            <m:ctrlPr>
              <w:rPr>
                <w:rFonts w:ascii="Cambria Math" w:hAnsi="Cambria Math" w:cs="Calibri"/>
              </w:rPr>
            </m:ctrlPr>
          </m:dPr>
          <m:e>
            <m:r>
              <w:rPr>
                <w:rFonts w:ascii="Cambria Math" w:hAnsi="Cambria Math" w:cs="Calibri"/>
              </w:rPr>
              <m:t>v</m:t>
            </m:r>
          </m:e>
        </m:d>
      </m:oMath>
      <w:r w:rsidRPr="00E114D2">
        <w:rPr>
          <w:rFonts w:ascii="Calibri" w:hAnsi="Calibri" w:cs="Calibri"/>
        </w:rPr>
        <w:t xml:space="preserve"> denote their cluster assignment in the previous window. We apply a soft drift rule to determine their new assignment </w:t>
      </w:r>
      <m:oMath>
        <m:sSub>
          <m:sSubPr>
            <m:ctrlPr>
              <w:rPr>
                <w:rFonts w:ascii="Cambria Math" w:hAnsi="Cambria Math" w:cs="Calibri"/>
              </w:rPr>
            </m:ctrlPr>
          </m:sSubPr>
          <m:e>
            <m:r>
              <w:rPr>
                <w:rFonts w:ascii="Cambria Math" w:hAnsi="Cambria Math" w:cs="Calibri"/>
              </w:rPr>
              <m:t>c</m:t>
            </m:r>
          </m:e>
          <m:sub>
            <m:r>
              <w:rPr>
                <w:rFonts w:ascii="Cambria Math" w:hAnsi="Cambria Math" w:cs="Calibri"/>
              </w:rPr>
              <m:t>t</m:t>
            </m:r>
            <m:r>
              <m:rPr>
                <m:sty m:val="p"/>
              </m:rPr>
              <w:rPr>
                <w:rFonts w:ascii="Cambria Math" w:hAnsi="Cambria Math" w:cs="Calibri"/>
              </w:rPr>
              <m:t>+</m:t>
            </m:r>
            <m:r>
              <w:rPr>
                <w:rFonts w:ascii="Cambria Math" w:hAnsi="Cambria Math" w:cs="Calibri"/>
              </w:rPr>
              <m:t>1</m:t>
            </m:r>
          </m:sub>
        </m:sSub>
        <m:d>
          <m:dPr>
            <m:ctrlPr>
              <w:rPr>
                <w:rFonts w:ascii="Cambria Math" w:hAnsi="Cambria Math" w:cs="Calibri"/>
              </w:rPr>
            </m:ctrlPr>
          </m:dPr>
          <m:e>
            <m:r>
              <w:rPr>
                <w:rFonts w:ascii="Cambria Math" w:hAnsi="Cambria Math" w:cs="Calibri"/>
              </w:rPr>
              <m:t>v</m:t>
            </m:r>
          </m:e>
        </m:d>
      </m:oMath>
      <w:r w:rsidRPr="00E114D2">
        <w:rPr>
          <w:rFonts w:ascii="Calibri" w:hAnsi="Calibri" w:cs="Calibri"/>
        </w:rPr>
        <w:t xml:space="preserve">. The individual retains their previous label </w:t>
      </w:r>
      <m:oMath>
        <m:sSub>
          <m:sSubPr>
            <m:ctrlPr>
              <w:rPr>
                <w:rFonts w:ascii="Cambria Math" w:hAnsi="Cambria Math" w:cs="Calibri"/>
              </w:rPr>
            </m:ctrlPr>
          </m:sSubPr>
          <m:e>
            <m:r>
              <w:rPr>
                <w:rFonts w:ascii="Cambria Math" w:hAnsi="Cambria Math" w:cs="Calibri"/>
              </w:rPr>
              <m:t>c</m:t>
            </m:r>
          </m:e>
          <m:sub>
            <m:r>
              <w:rPr>
                <w:rFonts w:ascii="Cambria Math" w:hAnsi="Cambria Math" w:cs="Calibri"/>
              </w:rPr>
              <m:t>t</m:t>
            </m:r>
          </m:sub>
        </m:sSub>
        <m:d>
          <m:dPr>
            <m:ctrlPr>
              <w:rPr>
                <w:rFonts w:ascii="Cambria Math" w:hAnsi="Cambria Math" w:cs="Calibri"/>
              </w:rPr>
            </m:ctrlPr>
          </m:dPr>
          <m:e>
            <m:r>
              <w:rPr>
                <w:rFonts w:ascii="Cambria Math" w:hAnsi="Cambria Math" w:cs="Calibri"/>
              </w:rPr>
              <m:t>v</m:t>
            </m:r>
          </m:e>
        </m:d>
      </m:oMath>
      <w:r w:rsidRPr="00E114D2">
        <w:rPr>
          <w:rFonts w:ascii="Calibri" w:hAnsi="Calibri" w:cs="Calibri"/>
        </w:rPr>
        <w:t xml:space="preserve"> unless a different cluster </w:t>
      </w:r>
      <m:oMath>
        <m:r>
          <w:rPr>
            <w:rFonts w:ascii="Cambria Math" w:hAnsi="Cambria Math" w:cs="Calibri"/>
          </w:rPr>
          <m:t>c</m:t>
        </m:r>
        <m:r>
          <m:rPr>
            <m:sty m:val="p"/>
          </m:rPr>
          <w:rPr>
            <w:rFonts w:ascii="Cambria Math" w:hAnsi="Cambria Math" w:cs="Calibri"/>
          </w:rPr>
          <m:t>'</m:t>
        </m:r>
      </m:oMath>
      <w:r w:rsidRPr="00E114D2">
        <w:rPr>
          <w:rFonts w:ascii="Calibri" w:hAnsi="Calibri" w:cs="Calibri"/>
        </w:rPr>
        <w:t xml:space="preserve"> offers a substantially better fit.</w:t>
      </w:r>
    </w:p>
    <w:p w14:paraId="5049478A" w14:textId="77777777" w:rsidR="00126D59" w:rsidRPr="00E114D2" w:rsidRDefault="00126D59" w:rsidP="00126D59">
      <w:pPr>
        <w:pStyle w:val="Textoindependiente"/>
        <w:spacing w:line="480" w:lineRule="auto"/>
        <w:jc w:val="both"/>
        <w:rPr>
          <w:rFonts w:ascii="Calibri" w:hAnsi="Calibri" w:cs="Calibri"/>
        </w:rPr>
      </w:pPr>
      <w:r w:rsidRPr="00E114D2">
        <w:rPr>
          <w:rFonts w:ascii="Calibri" w:hAnsi="Calibri" w:cs="Calibri"/>
        </w:rPr>
        <w:t xml:space="preserve">Specifically, the assignment changes to </w:t>
      </w:r>
      <m:oMath>
        <m:r>
          <w:rPr>
            <w:rFonts w:ascii="Cambria Math" w:hAnsi="Cambria Math" w:cs="Calibri"/>
          </w:rPr>
          <m:t>c</m:t>
        </m:r>
        <m:r>
          <m:rPr>
            <m:sty m:val="p"/>
          </m:rPr>
          <w:rPr>
            <w:rFonts w:ascii="Cambria Math" w:hAnsi="Cambria Math" w:cs="Calibri"/>
          </w:rPr>
          <m:t>'</m:t>
        </m:r>
      </m:oMath>
      <w:r w:rsidRPr="00E114D2">
        <w:rPr>
          <w:rFonts w:ascii="Calibri" w:hAnsi="Calibri" w:cs="Calibri"/>
        </w:rPr>
        <w:t xml:space="preserve"> if and only if:</w:t>
      </w:r>
    </w:p>
    <w:p w14:paraId="264A65B5" w14:textId="77777777" w:rsidR="00126D59" w:rsidRPr="00E114D2" w:rsidRDefault="00126D59" w:rsidP="00126D59">
      <w:pPr>
        <w:pStyle w:val="Textoindependiente"/>
        <w:spacing w:line="480" w:lineRule="auto"/>
        <w:jc w:val="both"/>
        <w:rPr>
          <w:rFonts w:ascii="Calibri" w:hAnsi="Calibri" w:cs="Calibri"/>
        </w:rPr>
      </w:pPr>
      <m:oMathPara>
        <m:oMathParaPr>
          <m:jc m:val="center"/>
        </m:oMathParaPr>
        <m:oMath>
          <m:r>
            <w:rPr>
              <w:rFonts w:ascii="Cambria Math" w:hAnsi="Cambria Math" w:cs="Calibri"/>
            </w:rPr>
            <m:t>J</m:t>
          </m:r>
          <m:d>
            <m:dPr>
              <m:ctrlPr>
                <w:rPr>
                  <w:rFonts w:ascii="Cambria Math" w:hAnsi="Cambria Math" w:cs="Calibri"/>
                </w:rPr>
              </m:ctrlPr>
            </m:dPr>
            <m:e>
              <m:sSup>
                <m:sSupPr>
                  <m:ctrlPr>
                    <w:rPr>
                      <w:rFonts w:ascii="Cambria Math" w:hAnsi="Cambria Math" w:cs="Calibri"/>
                    </w:rPr>
                  </m:ctrlPr>
                </m:sSupPr>
                <m:e>
                  <m:r>
                    <m:rPr>
                      <m:sty m:val="b"/>
                    </m:rPr>
                    <w:rPr>
                      <w:rFonts w:ascii="Cambria Math" w:hAnsi="Cambria Math" w:cs="Calibri"/>
                    </w:rPr>
                    <m:t>x</m:t>
                  </m:r>
                </m:e>
                <m:sup>
                  <m:d>
                    <m:dPr>
                      <m:ctrlPr>
                        <w:rPr>
                          <w:rFonts w:ascii="Cambria Math" w:hAnsi="Cambria Math" w:cs="Calibri"/>
                        </w:rPr>
                      </m:ctrlPr>
                    </m:dPr>
                    <m:e>
                      <m:r>
                        <w:rPr>
                          <w:rFonts w:ascii="Cambria Math" w:hAnsi="Cambria Math" w:cs="Calibri"/>
                        </w:rPr>
                        <m:t>v</m:t>
                      </m:r>
                    </m:e>
                  </m:d>
                </m:sup>
              </m:sSup>
              <m:r>
                <m:rPr>
                  <m:sty m:val="p"/>
                </m:rPr>
                <w:rPr>
                  <w:rFonts w:ascii="Cambria Math" w:hAnsi="Cambria Math" w:cs="Calibri"/>
                </w:rPr>
                <m:t>,</m:t>
              </m:r>
              <m:sSub>
                <m:sSubPr>
                  <m:ctrlPr>
                    <w:rPr>
                      <w:rFonts w:ascii="Cambria Math" w:hAnsi="Cambria Math" w:cs="Calibri"/>
                    </w:rPr>
                  </m:ctrlPr>
                </m:sSubPr>
                <m:e>
                  <m:r>
                    <m:rPr>
                      <m:sty m:val="b"/>
                    </m:rPr>
                    <w:rPr>
                      <w:rFonts w:ascii="Cambria Math" w:hAnsi="Cambria Math" w:cs="Calibri"/>
                    </w:rPr>
                    <m:t>μ</m:t>
                  </m:r>
                </m:e>
                <m:sub>
                  <m:r>
                    <w:rPr>
                      <w:rFonts w:ascii="Cambria Math" w:hAnsi="Cambria Math" w:cs="Calibri"/>
                    </w:rPr>
                    <m:t>t</m:t>
                  </m:r>
                  <m:r>
                    <m:rPr>
                      <m:sty m:val="p"/>
                    </m:rPr>
                    <w:rPr>
                      <w:rFonts w:ascii="Cambria Math" w:hAnsi="Cambria Math" w:cs="Calibri"/>
                    </w:rPr>
                    <m:t>+</m:t>
                  </m:r>
                  <m:r>
                    <w:rPr>
                      <w:rFonts w:ascii="Cambria Math" w:hAnsi="Cambria Math" w:cs="Calibri"/>
                    </w:rPr>
                    <m:t>1</m:t>
                  </m:r>
                  <m:r>
                    <m:rPr>
                      <m:sty m:val="p"/>
                    </m:rPr>
                    <w:rPr>
                      <w:rFonts w:ascii="Cambria Math" w:hAnsi="Cambria Math" w:cs="Calibri"/>
                    </w:rPr>
                    <m:t>,</m:t>
                  </m:r>
                  <m:r>
                    <w:rPr>
                      <w:rFonts w:ascii="Cambria Math" w:hAnsi="Cambria Math" w:cs="Calibri"/>
                    </w:rPr>
                    <m:t>c</m:t>
                  </m:r>
                  <m:r>
                    <m:rPr>
                      <m:sty m:val="p"/>
                    </m:rPr>
                    <w:rPr>
                      <w:rFonts w:ascii="Cambria Math" w:hAnsi="Cambria Math" w:cs="Calibri"/>
                    </w:rPr>
                    <m:t>'</m:t>
                  </m:r>
                </m:sub>
              </m:sSub>
            </m:e>
          </m:d>
          <m:r>
            <m:rPr>
              <m:sty m:val="p"/>
            </m:rPr>
            <w:rPr>
              <w:rFonts w:ascii="Cambria Math" w:hAnsi="Cambria Math" w:cs="Calibri"/>
            </w:rPr>
            <m:t>&lt;</m:t>
          </m:r>
          <m:r>
            <w:rPr>
              <w:rFonts w:ascii="Cambria Math" w:hAnsi="Cambria Math" w:cs="Calibri"/>
            </w:rPr>
            <m:t>J</m:t>
          </m:r>
          <m:d>
            <m:dPr>
              <m:ctrlPr>
                <w:rPr>
                  <w:rFonts w:ascii="Cambria Math" w:hAnsi="Cambria Math" w:cs="Calibri"/>
                </w:rPr>
              </m:ctrlPr>
            </m:dPr>
            <m:e>
              <m:sSup>
                <m:sSupPr>
                  <m:ctrlPr>
                    <w:rPr>
                      <w:rFonts w:ascii="Cambria Math" w:hAnsi="Cambria Math" w:cs="Calibri"/>
                    </w:rPr>
                  </m:ctrlPr>
                </m:sSupPr>
                <m:e>
                  <m:r>
                    <m:rPr>
                      <m:sty m:val="b"/>
                    </m:rPr>
                    <w:rPr>
                      <w:rFonts w:ascii="Cambria Math" w:hAnsi="Cambria Math" w:cs="Calibri"/>
                    </w:rPr>
                    <m:t>x</m:t>
                  </m:r>
                </m:e>
                <m:sup>
                  <m:d>
                    <m:dPr>
                      <m:ctrlPr>
                        <w:rPr>
                          <w:rFonts w:ascii="Cambria Math" w:hAnsi="Cambria Math" w:cs="Calibri"/>
                        </w:rPr>
                      </m:ctrlPr>
                    </m:dPr>
                    <m:e>
                      <m:r>
                        <w:rPr>
                          <w:rFonts w:ascii="Cambria Math" w:hAnsi="Cambria Math" w:cs="Calibri"/>
                        </w:rPr>
                        <m:t>v</m:t>
                      </m:r>
                    </m:e>
                  </m:d>
                </m:sup>
              </m:sSup>
              <m:r>
                <m:rPr>
                  <m:sty m:val="p"/>
                </m:rPr>
                <w:rPr>
                  <w:rFonts w:ascii="Cambria Math" w:hAnsi="Cambria Math" w:cs="Calibri"/>
                </w:rPr>
                <m:t>,</m:t>
              </m:r>
              <m:sSub>
                <m:sSubPr>
                  <m:ctrlPr>
                    <w:rPr>
                      <w:rFonts w:ascii="Cambria Math" w:hAnsi="Cambria Math" w:cs="Calibri"/>
                    </w:rPr>
                  </m:ctrlPr>
                </m:sSubPr>
                <m:e>
                  <m:r>
                    <m:rPr>
                      <m:sty m:val="b"/>
                    </m:rPr>
                    <w:rPr>
                      <w:rFonts w:ascii="Cambria Math" w:hAnsi="Cambria Math" w:cs="Calibri"/>
                    </w:rPr>
                    <m:t>μ</m:t>
                  </m:r>
                </m:e>
                <m:sub>
                  <m:r>
                    <w:rPr>
                      <w:rFonts w:ascii="Cambria Math" w:hAnsi="Cambria Math" w:cs="Calibri"/>
                    </w:rPr>
                    <m:t>t</m:t>
                  </m:r>
                  <m:r>
                    <m:rPr>
                      <m:sty m:val="p"/>
                    </m:rPr>
                    <w:rPr>
                      <w:rFonts w:ascii="Cambria Math" w:hAnsi="Cambria Math" w:cs="Calibri"/>
                    </w:rPr>
                    <m:t>+</m:t>
                  </m:r>
                  <m:r>
                    <w:rPr>
                      <w:rFonts w:ascii="Cambria Math" w:hAnsi="Cambria Math" w:cs="Calibri"/>
                    </w:rPr>
                    <m:t>1</m:t>
                  </m:r>
                  <m:r>
                    <m:rPr>
                      <m:sty m:val="p"/>
                    </m:rPr>
                    <w:rPr>
                      <w:rFonts w:ascii="Cambria Math" w:hAnsi="Cambria Math" w:cs="Calibri"/>
                    </w:rPr>
                    <m:t>,</m:t>
                  </m:r>
                  <m:sSub>
                    <m:sSubPr>
                      <m:ctrlPr>
                        <w:rPr>
                          <w:rFonts w:ascii="Cambria Math" w:hAnsi="Cambria Math" w:cs="Calibri"/>
                        </w:rPr>
                      </m:ctrlPr>
                    </m:sSubPr>
                    <m:e>
                      <m:r>
                        <w:rPr>
                          <w:rFonts w:ascii="Cambria Math" w:hAnsi="Cambria Math" w:cs="Calibri"/>
                        </w:rPr>
                        <m:t>c</m:t>
                      </m:r>
                    </m:e>
                    <m:sub>
                      <m:r>
                        <w:rPr>
                          <w:rFonts w:ascii="Cambria Math" w:hAnsi="Cambria Math" w:cs="Calibri"/>
                        </w:rPr>
                        <m:t>t</m:t>
                      </m:r>
                    </m:sub>
                  </m:sSub>
                  <m:d>
                    <m:dPr>
                      <m:ctrlPr>
                        <w:rPr>
                          <w:rFonts w:ascii="Cambria Math" w:hAnsi="Cambria Math" w:cs="Calibri"/>
                        </w:rPr>
                      </m:ctrlPr>
                    </m:dPr>
                    <m:e>
                      <m:r>
                        <w:rPr>
                          <w:rFonts w:ascii="Cambria Math" w:hAnsi="Cambria Math" w:cs="Calibri"/>
                        </w:rPr>
                        <m:t>v</m:t>
                      </m:r>
                    </m:e>
                  </m:d>
                </m:sub>
              </m:sSub>
            </m:e>
          </m:d>
          <m:r>
            <m:rPr>
              <m:sty m:val="p"/>
            </m:rPr>
            <w:rPr>
              <w:rFonts w:ascii="Cambria Math" w:hAnsi="Cambria Math" w:cs="Calibri"/>
            </w:rPr>
            <m:t>-</m:t>
          </m:r>
          <m:r>
            <w:rPr>
              <w:rFonts w:ascii="Cambria Math" w:hAnsi="Cambria Math" w:cs="Calibri"/>
            </w:rPr>
            <m:t>δ</m:t>
          </m:r>
        </m:oMath>
      </m:oMathPara>
    </w:p>
    <w:p w14:paraId="0F2C8BCD" w14:textId="77777777" w:rsidR="00126D59" w:rsidRPr="00E114D2" w:rsidRDefault="00126D59" w:rsidP="00126D59">
      <w:pPr>
        <w:pStyle w:val="FirstParagraph"/>
        <w:spacing w:line="480" w:lineRule="auto"/>
        <w:jc w:val="both"/>
        <w:rPr>
          <w:rFonts w:ascii="Calibri" w:hAnsi="Calibri" w:cs="Calibri"/>
        </w:rPr>
      </w:pPr>
      <w:r w:rsidRPr="00E114D2">
        <w:rPr>
          <w:rFonts w:ascii="Calibri" w:hAnsi="Calibri" w:cs="Calibri"/>
        </w:rPr>
        <w:t xml:space="preserve">where </w:t>
      </w:r>
      <m:oMath>
        <m:r>
          <w:rPr>
            <w:rFonts w:ascii="Cambria Math" w:hAnsi="Cambria Math" w:cs="Calibri"/>
          </w:rPr>
          <m:t>J</m:t>
        </m:r>
        <m:d>
          <m:dPr>
            <m:ctrlPr>
              <w:rPr>
                <w:rFonts w:ascii="Cambria Math" w:hAnsi="Cambria Math" w:cs="Calibri"/>
              </w:rPr>
            </m:ctrlPr>
          </m:dPr>
          <m:e>
            <m:r>
              <m:rPr>
                <m:sty m:val="p"/>
              </m:rPr>
              <w:rPr>
                <w:rFonts w:ascii="Cambria Math" w:hAnsi="Cambria Math" w:cs="Calibri"/>
              </w:rPr>
              <m:t>⋅,⋅</m:t>
            </m:r>
          </m:e>
        </m:d>
      </m:oMath>
      <w:r w:rsidRPr="00E114D2">
        <w:rPr>
          <w:rFonts w:ascii="Calibri" w:hAnsi="Calibri" w:cs="Calibri"/>
        </w:rPr>
        <w:t xml:space="preserve"> is the Jaccard distance and </w:t>
      </w:r>
      <m:oMath>
        <m:r>
          <w:rPr>
            <w:rFonts w:ascii="Cambria Math" w:hAnsi="Cambria Math" w:cs="Calibri"/>
          </w:rPr>
          <m:t>δ</m:t>
        </m:r>
      </m:oMath>
      <w:r w:rsidRPr="00E114D2">
        <w:rPr>
          <w:rFonts w:ascii="Calibri" w:hAnsi="Calibri" w:cs="Calibri"/>
        </w:rPr>
        <w:t xml:space="preserve"> is a stability threshold (set to </w:t>
      </w:r>
      <m:oMath>
        <m:r>
          <w:rPr>
            <w:rFonts w:ascii="Cambria Math" w:hAnsi="Cambria Math" w:cs="Calibri"/>
          </w:rPr>
          <m:t>0.08</m:t>
        </m:r>
      </m:oMath>
      <w:r w:rsidRPr="00E114D2">
        <w:rPr>
          <w:rFonts w:ascii="Calibri" w:hAnsi="Calibri" w:cs="Calibri"/>
        </w:rPr>
        <w:t xml:space="preserve"> in our analysis). This parameter </w:t>
      </w:r>
      <m:oMath>
        <m:r>
          <w:rPr>
            <w:rFonts w:ascii="Cambria Math" w:hAnsi="Cambria Math" w:cs="Calibri"/>
          </w:rPr>
          <m:t>δ</m:t>
        </m:r>
      </m:oMath>
      <w:r w:rsidRPr="00E114D2">
        <w:rPr>
          <w:rFonts w:ascii="Calibri" w:hAnsi="Calibri" w:cs="Calibri"/>
        </w:rPr>
        <w:t xml:space="preserve"> acts as an inertia term, preventing arbitrary label flipping due to minor fluctuations in distance and ensuring that the evolution of configurations across the severity gradient is smooth and substantively traceable. Individuals entering the analysis for the first time in window </w:t>
      </w:r>
      <m:oMath>
        <m:r>
          <w:rPr>
            <w:rFonts w:ascii="Cambria Math" w:hAnsi="Cambria Math" w:cs="Calibri"/>
          </w:rPr>
          <m:t>t</m:t>
        </m:r>
        <m:r>
          <m:rPr>
            <m:sty m:val="p"/>
          </m:rPr>
          <w:rPr>
            <w:rFonts w:ascii="Cambria Math" w:hAnsi="Cambria Math" w:cs="Calibri"/>
          </w:rPr>
          <m:t>+</m:t>
        </m:r>
        <m:r>
          <w:rPr>
            <w:rFonts w:ascii="Cambria Math" w:hAnsi="Cambria Math" w:cs="Calibri"/>
          </w:rPr>
          <m:t>1</m:t>
        </m:r>
      </m:oMath>
      <w:r w:rsidRPr="00E114D2">
        <w:rPr>
          <w:rFonts w:ascii="Calibri" w:hAnsi="Calibri" w:cs="Calibri"/>
        </w:rPr>
        <w:t xml:space="preserve"> (non-overlapping observations) are assigned purely based on proximity to the updated medoids </w:t>
      </w:r>
      <m:oMath>
        <m:sSub>
          <m:sSubPr>
            <m:ctrlPr>
              <w:rPr>
                <w:rFonts w:ascii="Cambria Math" w:hAnsi="Cambria Math" w:cs="Calibri"/>
              </w:rPr>
            </m:ctrlPr>
          </m:sSubPr>
          <m:e>
            <m:r>
              <m:rPr>
                <m:scr m:val="script"/>
                <m:sty m:val="p"/>
              </m:rPr>
              <w:rPr>
                <w:rFonts w:ascii="Cambria Math" w:hAnsi="Cambria Math" w:cs="Calibri"/>
              </w:rPr>
              <m:t>M</m:t>
            </m:r>
          </m:e>
          <m:sub>
            <m:r>
              <w:rPr>
                <w:rFonts w:ascii="Cambria Math" w:hAnsi="Cambria Math" w:cs="Calibri"/>
              </w:rPr>
              <m:t>t</m:t>
            </m:r>
            <m:r>
              <m:rPr>
                <m:sty m:val="p"/>
              </m:rPr>
              <w:rPr>
                <w:rFonts w:ascii="Cambria Math" w:hAnsi="Cambria Math" w:cs="Calibri"/>
              </w:rPr>
              <m:t>+</m:t>
            </m:r>
            <m:r>
              <w:rPr>
                <w:rFonts w:ascii="Cambria Math" w:hAnsi="Cambria Math" w:cs="Calibri"/>
              </w:rPr>
              <m:t>1</m:t>
            </m:r>
          </m:sub>
        </m:sSub>
      </m:oMath>
      <w:r w:rsidRPr="00E114D2">
        <w:rPr>
          <w:rFonts w:ascii="Calibri" w:hAnsi="Calibri" w:cs="Calibri"/>
        </w:rPr>
        <w:t>.</w:t>
      </w:r>
    </w:p>
    <w:p w14:paraId="3AFBF00B" w14:textId="77777777" w:rsidR="00126D59" w:rsidRPr="00E114D2" w:rsidRDefault="00126D59" w:rsidP="00126D59">
      <w:pPr>
        <w:pStyle w:val="Ttulo2"/>
        <w:spacing w:line="480" w:lineRule="auto"/>
        <w:jc w:val="both"/>
        <w:rPr>
          <w:rFonts w:ascii="Calibri" w:hAnsi="Calibri" w:cs="Calibri"/>
        </w:rPr>
      </w:pPr>
      <w:bookmarkStart w:id="3" w:name="X06cb714cdad2235a6a9d3272826bfa617889ce6"/>
      <w:bookmarkEnd w:id="2"/>
      <w:r w:rsidRPr="00E114D2">
        <w:rPr>
          <w:rFonts w:ascii="Calibri" w:hAnsi="Calibri" w:cs="Calibri"/>
        </w:rPr>
        <w:t>Analysis 1 - Trajectory and Volatility Analysis</w:t>
      </w:r>
    </w:p>
    <w:p w14:paraId="6E34B527" w14:textId="4276B3BF" w:rsidR="00126D59" w:rsidRPr="00E114D2" w:rsidRDefault="00126D59" w:rsidP="00126D59">
      <w:pPr>
        <w:pStyle w:val="FirstParagraph"/>
        <w:spacing w:line="480" w:lineRule="auto"/>
        <w:jc w:val="both"/>
        <w:rPr>
          <w:rFonts w:ascii="Calibri" w:hAnsi="Calibri" w:cs="Calibri"/>
        </w:rPr>
      </w:pPr>
      <w:r w:rsidRPr="00E114D2">
        <w:rPr>
          <w:rFonts w:ascii="Calibri" w:hAnsi="Calibri" w:cs="Calibri"/>
        </w:rPr>
        <w:t>To ensure that the networks reported in the main text are stable and not driven by window-specific noise, we analyzed the trajectory of edge weights across all 7 rolling windows. We defined “volatility” as the standard deviation of an edge’s partial correlation coefficient across windows. Figure S</w:t>
      </w:r>
      <w:r w:rsidR="00455302" w:rsidRPr="00E114D2">
        <w:rPr>
          <w:rFonts w:ascii="Calibri" w:hAnsi="Calibri" w:cs="Calibri"/>
        </w:rPr>
        <w:t>2</w:t>
      </w:r>
      <w:r w:rsidRPr="00E114D2">
        <w:rPr>
          <w:rFonts w:ascii="Calibri" w:hAnsi="Calibri" w:cs="Calibri"/>
        </w:rPr>
        <w:t xml:space="preserve"> plots the mean absolute strength of each edge (X-axis) against its volatility (Y-axis). The diagnostic confirms that the edges identified as significant in the M3 model (highlighted in Green) are consistently located in the “robust” quadrant (high strength, low volatility). Conversely, the most volatile edges (Red points) are weak and </w:t>
      </w:r>
      <w:r w:rsidRPr="00E114D2">
        <w:rPr>
          <w:rFonts w:ascii="Calibri" w:hAnsi="Calibri" w:cs="Calibri"/>
        </w:rPr>
        <w:lastRenderedPageBreak/>
        <w:t>nonsignificant, effectively representing statistical noise. This indicates that the core network structure is stable across the severity continuum.</w:t>
      </w:r>
    </w:p>
    <w:tbl>
      <w:tblPr>
        <w:tblStyle w:val="Table"/>
        <w:tblW w:w="5000" w:type="pct"/>
        <w:tblLayout w:type="fixed"/>
        <w:tblLook w:val="0000" w:firstRow="0" w:lastRow="0" w:firstColumn="0" w:lastColumn="0" w:noHBand="0" w:noVBand="0"/>
      </w:tblPr>
      <w:tblGrid>
        <w:gridCol w:w="8838"/>
      </w:tblGrid>
      <w:tr w:rsidR="00126D59" w:rsidRPr="00E114D2" w14:paraId="0622F920" w14:textId="77777777" w:rsidTr="005E2FD2">
        <w:tc>
          <w:tcPr>
            <w:tcW w:w="7920" w:type="dxa"/>
          </w:tcPr>
          <w:p w14:paraId="77168D3B" w14:textId="4CF8BAB1" w:rsidR="00126D59" w:rsidRPr="00E114D2" w:rsidRDefault="00A52D55" w:rsidP="00455302">
            <w:pPr>
              <w:pStyle w:val="Compact"/>
              <w:spacing w:line="480" w:lineRule="auto"/>
              <w:jc w:val="center"/>
              <w:rPr>
                <w:rFonts w:ascii="Calibri" w:hAnsi="Calibri" w:cs="Calibri"/>
              </w:rPr>
            </w:pPr>
            <w:bookmarkStart w:id="4" w:name="fig-volatility"/>
            <w:r w:rsidRPr="00E114D2">
              <w:rPr>
                <w:rFonts w:ascii="Calibri" w:hAnsi="Calibri" w:cs="Calibri"/>
                <w:noProof/>
              </w:rPr>
              <w:drawing>
                <wp:inline distT="0" distB="0" distL="0" distR="0" wp14:anchorId="7D1EEED7" wp14:editId="26BDA671">
                  <wp:extent cx="5474970" cy="3621405"/>
                  <wp:effectExtent l="0" t="0" r="0" b="0"/>
                  <wp:docPr id="20933423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42360" name=""/>
                          <pic:cNvPicPr/>
                        </pic:nvPicPr>
                        <pic:blipFill>
                          <a:blip r:embed="rId6"/>
                          <a:stretch>
                            <a:fillRect/>
                          </a:stretch>
                        </pic:blipFill>
                        <pic:spPr>
                          <a:xfrm>
                            <a:off x="0" y="0"/>
                            <a:ext cx="5474970" cy="3621405"/>
                          </a:xfrm>
                          <a:prstGeom prst="rect">
                            <a:avLst/>
                          </a:prstGeom>
                        </pic:spPr>
                      </pic:pic>
                    </a:graphicData>
                  </a:graphic>
                </wp:inline>
              </w:drawing>
            </w:r>
          </w:p>
          <w:p w14:paraId="3734F836" w14:textId="00A9ABE9" w:rsidR="00126D59" w:rsidRPr="00E114D2" w:rsidRDefault="00126D59" w:rsidP="005E2FD2">
            <w:pPr>
              <w:pStyle w:val="ImageCaption"/>
              <w:spacing w:before="200" w:line="480" w:lineRule="auto"/>
              <w:jc w:val="both"/>
              <w:rPr>
                <w:rFonts w:ascii="Calibri" w:hAnsi="Calibri" w:cs="Calibri"/>
              </w:rPr>
            </w:pPr>
            <w:r w:rsidRPr="00E114D2">
              <w:rPr>
                <w:rFonts w:ascii="Calibri" w:hAnsi="Calibri" w:cs="Calibri"/>
              </w:rPr>
              <w:t>Figure </w:t>
            </w:r>
            <w:r w:rsidR="00A52D55" w:rsidRPr="00E114D2">
              <w:rPr>
                <w:rFonts w:ascii="Calibri" w:hAnsi="Calibri" w:cs="Calibri"/>
              </w:rPr>
              <w:t>S</w:t>
            </w:r>
            <w:r w:rsidR="00455302" w:rsidRPr="00E114D2">
              <w:rPr>
                <w:rFonts w:ascii="Calibri" w:hAnsi="Calibri" w:cs="Calibri"/>
              </w:rPr>
              <w:t>2</w:t>
            </w:r>
            <w:r w:rsidRPr="00E114D2">
              <w:rPr>
                <w:rFonts w:ascii="Calibri" w:hAnsi="Calibri" w:cs="Calibri"/>
              </w:rPr>
              <w:t>: Edge stability diagnostic: mean strength vs volatility across score windows</w:t>
            </w:r>
          </w:p>
        </w:tc>
        <w:bookmarkEnd w:id="4"/>
      </w:tr>
    </w:tbl>
    <w:p w14:paraId="06BBFB5F" w14:textId="77777777" w:rsidR="00126D59" w:rsidRPr="00E114D2" w:rsidRDefault="00126D59" w:rsidP="00126D59">
      <w:pPr>
        <w:pStyle w:val="Ttulo2"/>
        <w:spacing w:line="480" w:lineRule="auto"/>
        <w:jc w:val="both"/>
        <w:rPr>
          <w:rFonts w:ascii="Calibri" w:hAnsi="Calibri" w:cs="Calibri"/>
        </w:rPr>
      </w:pPr>
      <w:bookmarkStart w:id="5" w:name="analysis-2---window-size-sensitivity"/>
      <w:bookmarkEnd w:id="3"/>
      <w:r w:rsidRPr="00E114D2">
        <w:rPr>
          <w:rFonts w:ascii="Calibri" w:hAnsi="Calibri" w:cs="Calibri"/>
        </w:rPr>
        <w:t>Analysis 2 - Window Size Sensitivity</w:t>
      </w:r>
    </w:p>
    <w:p w14:paraId="74A72E92" w14:textId="6BC38EDD" w:rsidR="00126D59" w:rsidRPr="00E114D2" w:rsidRDefault="00126D59" w:rsidP="00126D59">
      <w:pPr>
        <w:pStyle w:val="FirstParagraph"/>
        <w:spacing w:line="480" w:lineRule="auto"/>
        <w:jc w:val="both"/>
        <w:rPr>
          <w:rFonts w:ascii="Calibri" w:hAnsi="Calibri" w:cs="Calibri"/>
        </w:rPr>
      </w:pPr>
      <w:r w:rsidRPr="00E114D2">
        <w:rPr>
          <w:rFonts w:ascii="Calibri" w:hAnsi="Calibri" w:cs="Calibri"/>
        </w:rPr>
        <w:t>To test the sensitivity of our results to the specific window width used, we re-estimated all models using narrower (</w:t>
      </w:r>
      <m:oMath>
        <m:r>
          <w:rPr>
            <w:rFonts w:ascii="Cambria Math" w:hAnsi="Cambria Math" w:cs="Calibri"/>
          </w:rPr>
          <m:t>W</m:t>
        </m:r>
        <m:r>
          <m:rPr>
            <m:sty m:val="p"/>
          </m:rPr>
          <w:rPr>
            <w:rFonts w:ascii="Cambria Math" w:hAnsi="Cambria Math" w:cs="Calibri"/>
          </w:rPr>
          <m:t>=</m:t>
        </m:r>
        <m:r>
          <w:rPr>
            <w:rFonts w:ascii="Cambria Math" w:hAnsi="Cambria Math" w:cs="Calibri"/>
          </w:rPr>
          <m:t>3</m:t>
        </m:r>
      </m:oMath>
      <w:r w:rsidRPr="00E114D2">
        <w:rPr>
          <w:rFonts w:ascii="Calibri" w:hAnsi="Calibri" w:cs="Calibri"/>
        </w:rPr>
        <w:t>) and wider (</w:t>
      </w:r>
      <m:oMath>
        <m:r>
          <w:rPr>
            <w:rFonts w:ascii="Cambria Math" w:hAnsi="Cambria Math" w:cs="Calibri"/>
          </w:rPr>
          <m:t>W</m:t>
        </m:r>
        <m:r>
          <m:rPr>
            <m:sty m:val="p"/>
          </m:rPr>
          <w:rPr>
            <w:rFonts w:ascii="Cambria Math" w:hAnsi="Cambria Math" w:cs="Calibri"/>
          </w:rPr>
          <m:t>=</m:t>
        </m:r>
        <m:r>
          <w:rPr>
            <w:rFonts w:ascii="Cambria Math" w:hAnsi="Cambria Math" w:cs="Calibri"/>
          </w:rPr>
          <m:t>7</m:t>
        </m:r>
      </m:oMath>
      <w:r w:rsidRPr="00E114D2">
        <w:rPr>
          <w:rFonts w:ascii="Calibri" w:hAnsi="Calibri" w:cs="Calibri"/>
        </w:rPr>
        <w:t xml:space="preserve">) windows. To ensure semantic comparability with the original configurations, we did not run unsupervised clustering on the new window samples; instead, individuals in the </w:t>
      </w:r>
      <m:oMath>
        <m:r>
          <w:rPr>
            <w:rFonts w:ascii="Cambria Math" w:hAnsi="Cambria Math" w:cs="Calibri"/>
          </w:rPr>
          <m:t>W</m:t>
        </m:r>
        <m:r>
          <m:rPr>
            <m:sty m:val="p"/>
          </m:rPr>
          <w:rPr>
            <w:rFonts w:ascii="Cambria Math" w:hAnsi="Cambria Math" w:cs="Calibri"/>
          </w:rPr>
          <m:t>=</m:t>
        </m:r>
        <m:r>
          <w:rPr>
            <w:rFonts w:ascii="Cambria Math" w:hAnsi="Cambria Math" w:cs="Calibri"/>
          </w:rPr>
          <m:t>3</m:t>
        </m:r>
      </m:oMath>
      <w:r w:rsidRPr="00E114D2">
        <w:rPr>
          <w:rFonts w:ascii="Calibri" w:hAnsi="Calibri" w:cs="Calibri"/>
        </w:rPr>
        <w:t xml:space="preserve"> and </w:t>
      </w:r>
      <m:oMath>
        <m:r>
          <w:rPr>
            <w:rFonts w:ascii="Cambria Math" w:hAnsi="Cambria Math" w:cs="Calibri"/>
          </w:rPr>
          <m:t>W</m:t>
        </m:r>
        <m:r>
          <m:rPr>
            <m:sty m:val="p"/>
          </m:rPr>
          <w:rPr>
            <w:rFonts w:ascii="Cambria Math" w:hAnsi="Cambria Math" w:cs="Calibri"/>
          </w:rPr>
          <m:t>=</m:t>
        </m:r>
        <m:r>
          <w:rPr>
            <w:rFonts w:ascii="Cambria Math" w:hAnsi="Cambria Math" w:cs="Calibri"/>
          </w:rPr>
          <m:t>7</m:t>
        </m:r>
      </m:oMath>
      <w:r w:rsidRPr="00E114D2">
        <w:rPr>
          <w:rFonts w:ascii="Calibri" w:hAnsi="Calibri" w:cs="Calibri"/>
        </w:rPr>
        <w:t xml:space="preserve"> sets were assigned to clusters based on their proximity to the medoids identified in the original </w:t>
      </w:r>
      <m:oMath>
        <m:r>
          <w:rPr>
            <w:rFonts w:ascii="Cambria Math" w:hAnsi="Cambria Math" w:cs="Calibri"/>
          </w:rPr>
          <m:t>W</m:t>
        </m:r>
        <m:r>
          <m:rPr>
            <m:sty m:val="p"/>
          </m:rPr>
          <w:rPr>
            <w:rFonts w:ascii="Cambria Math" w:hAnsi="Cambria Math" w:cs="Calibri"/>
          </w:rPr>
          <m:t>=</m:t>
        </m:r>
        <m:r>
          <w:rPr>
            <w:rFonts w:ascii="Cambria Math" w:hAnsi="Cambria Math" w:cs="Calibri"/>
          </w:rPr>
          <m:t>5</m:t>
        </m:r>
      </m:oMath>
      <w:r w:rsidRPr="00E114D2">
        <w:rPr>
          <w:rFonts w:ascii="Calibri" w:hAnsi="Calibri" w:cs="Calibri"/>
        </w:rPr>
        <w:t xml:space="preserve"> model. While narrower windows naturally reduce statistical power and filter out peripheral edges, </w:t>
      </w:r>
      <w:r w:rsidRPr="00E114D2">
        <w:rPr>
          <w:rFonts w:ascii="Calibri" w:hAnsi="Calibri" w:cs="Calibri"/>
        </w:rPr>
        <w:lastRenderedPageBreak/>
        <w:t>Figure S</w:t>
      </w:r>
      <w:r w:rsidR="00455302" w:rsidRPr="00E114D2">
        <w:rPr>
          <w:rFonts w:ascii="Calibri" w:hAnsi="Calibri" w:cs="Calibri"/>
        </w:rPr>
        <w:t>3</w:t>
      </w:r>
      <w:r w:rsidRPr="00E114D2">
        <w:rPr>
          <w:rFonts w:ascii="Calibri" w:hAnsi="Calibri" w:cs="Calibri"/>
        </w:rPr>
        <w:t xml:space="preserve"> demonstrates that the backbone of the risk network is highly robust: for every edge that rema</w:t>
      </w:r>
      <w:proofErr w:type="spellStart"/>
      <w:r w:rsidRPr="00E114D2">
        <w:rPr>
          <w:rFonts w:ascii="Calibri" w:hAnsi="Calibri" w:cs="Calibri"/>
        </w:rPr>
        <w:t>ined</w:t>
      </w:r>
      <w:proofErr w:type="spellEnd"/>
      <w:r w:rsidRPr="00E114D2">
        <w:rPr>
          <w:rFonts w:ascii="Calibri" w:hAnsi="Calibri" w:cs="Calibri"/>
        </w:rPr>
        <w:t xml:space="preserve"> significant in the alternative specifications, the direction of its effect on recidivism was 100% consistent with the main model (zero sign flips observed). This suggests that while window size affects sensitivity (which edges are detected), it does not alter the substantive interpretation of the risk configurations.</w:t>
      </w:r>
    </w:p>
    <w:tbl>
      <w:tblPr>
        <w:tblStyle w:val="Table"/>
        <w:tblW w:w="5000" w:type="pct"/>
        <w:tblLayout w:type="fixed"/>
        <w:tblLook w:val="0000" w:firstRow="0" w:lastRow="0" w:firstColumn="0" w:lastColumn="0" w:noHBand="0" w:noVBand="0"/>
      </w:tblPr>
      <w:tblGrid>
        <w:gridCol w:w="8838"/>
      </w:tblGrid>
      <w:tr w:rsidR="00126D59" w:rsidRPr="00E114D2" w14:paraId="42346875" w14:textId="77777777" w:rsidTr="005E2FD2">
        <w:tc>
          <w:tcPr>
            <w:tcW w:w="7920" w:type="dxa"/>
          </w:tcPr>
          <w:p w14:paraId="4CB286AF" w14:textId="443CD39F" w:rsidR="00126D59" w:rsidRPr="00E114D2" w:rsidRDefault="00455302" w:rsidP="00455302">
            <w:pPr>
              <w:pStyle w:val="Compact"/>
              <w:spacing w:line="480" w:lineRule="auto"/>
              <w:jc w:val="center"/>
              <w:rPr>
                <w:rFonts w:ascii="Calibri" w:hAnsi="Calibri" w:cs="Calibri"/>
              </w:rPr>
            </w:pPr>
            <w:bookmarkStart w:id="6" w:name="fig-coef-scatter"/>
            <w:r w:rsidRPr="00E114D2">
              <w:rPr>
                <w:rFonts w:ascii="Calibri" w:hAnsi="Calibri" w:cs="Calibri"/>
                <w:noProof/>
              </w:rPr>
              <w:drawing>
                <wp:inline distT="0" distB="0" distL="0" distR="0" wp14:anchorId="6C8F66F5" wp14:editId="546DA9EE">
                  <wp:extent cx="5474970" cy="3402965"/>
                  <wp:effectExtent l="0" t="0" r="0" b="6985"/>
                  <wp:docPr id="17243383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38392" name=""/>
                          <pic:cNvPicPr/>
                        </pic:nvPicPr>
                        <pic:blipFill>
                          <a:blip r:embed="rId7"/>
                          <a:stretch>
                            <a:fillRect/>
                          </a:stretch>
                        </pic:blipFill>
                        <pic:spPr>
                          <a:xfrm>
                            <a:off x="0" y="0"/>
                            <a:ext cx="5474970" cy="3402965"/>
                          </a:xfrm>
                          <a:prstGeom prst="rect">
                            <a:avLst/>
                          </a:prstGeom>
                        </pic:spPr>
                      </pic:pic>
                    </a:graphicData>
                  </a:graphic>
                </wp:inline>
              </w:drawing>
            </w:r>
          </w:p>
          <w:p w14:paraId="77E5B3EC" w14:textId="310608BD" w:rsidR="00126D59" w:rsidRPr="00E114D2" w:rsidRDefault="00126D59" w:rsidP="005E2FD2">
            <w:pPr>
              <w:pStyle w:val="ImageCaption"/>
              <w:spacing w:before="200" w:line="480" w:lineRule="auto"/>
              <w:jc w:val="both"/>
              <w:rPr>
                <w:rFonts w:ascii="Calibri" w:hAnsi="Calibri" w:cs="Calibri"/>
              </w:rPr>
            </w:pPr>
            <w:r w:rsidRPr="00E114D2">
              <w:rPr>
                <w:rFonts w:ascii="Calibri" w:hAnsi="Calibri" w:cs="Calibri"/>
              </w:rPr>
              <w:t>Figure </w:t>
            </w:r>
            <w:r w:rsidR="00455302" w:rsidRPr="00E114D2">
              <w:rPr>
                <w:rFonts w:ascii="Calibri" w:hAnsi="Calibri" w:cs="Calibri"/>
              </w:rPr>
              <w:t>S3</w:t>
            </w:r>
            <w:r w:rsidRPr="00E114D2">
              <w:rPr>
                <w:rFonts w:ascii="Calibri" w:hAnsi="Calibri" w:cs="Calibri"/>
              </w:rPr>
              <w:t>: Comparison of coefficient estimates across window widths (W=5 vs W=3/W=7)</w:t>
            </w:r>
          </w:p>
        </w:tc>
        <w:bookmarkEnd w:id="6"/>
      </w:tr>
    </w:tbl>
    <w:bookmarkEnd w:id="5"/>
    <w:p w14:paraId="6F9836EE" w14:textId="77777777" w:rsidR="00126D59" w:rsidRPr="00E114D2" w:rsidRDefault="00126D59" w:rsidP="00126D59">
      <w:pPr>
        <w:pStyle w:val="Ttulo2"/>
        <w:spacing w:line="480" w:lineRule="auto"/>
        <w:jc w:val="both"/>
        <w:rPr>
          <w:rFonts w:ascii="Calibri" w:hAnsi="Calibri" w:cs="Calibri"/>
        </w:rPr>
      </w:pPr>
      <w:r w:rsidRPr="00E114D2">
        <w:rPr>
          <w:rFonts w:ascii="Calibri" w:hAnsi="Calibri" w:cs="Calibri"/>
        </w:rPr>
        <w:t>Analysis 3 - Robustness to Score Conditioning</w:t>
      </w:r>
    </w:p>
    <w:p w14:paraId="3D802DEA" w14:textId="77777777" w:rsidR="00126D59" w:rsidRPr="00E114D2" w:rsidRDefault="00126D59" w:rsidP="00126D59">
      <w:pPr>
        <w:pStyle w:val="FirstParagraph"/>
        <w:spacing w:line="480" w:lineRule="auto"/>
        <w:jc w:val="both"/>
        <w:rPr>
          <w:rFonts w:ascii="Calibri" w:hAnsi="Calibri" w:cs="Calibri"/>
        </w:rPr>
      </w:pPr>
      <w:r w:rsidRPr="00E114D2">
        <w:rPr>
          <w:rFonts w:ascii="Calibri" w:hAnsi="Calibri" w:cs="Calibri"/>
        </w:rPr>
        <w:t xml:space="preserve">A potential concern in score-conditioned analysis is “collider bias”—the possibility that fixing the sum score might induce artificial correlations between items. We addressed this via a rigorous “restricted score” test. For every significant relationship found in the primary model (e.g., between Item A and Item B), we re-ran the entire analysis pipeline using slightly </w:t>
      </w:r>
      <w:r w:rsidRPr="00E114D2">
        <w:rPr>
          <w:rFonts w:ascii="Calibri" w:hAnsi="Calibri" w:cs="Calibri"/>
        </w:rPr>
        <w:lastRenderedPageBreak/>
        <w:t xml:space="preserve">different samples obtained from modified risk scores that specifically excluded Items A and B. Once the samples for each score window were obtained, we re-added the items A and B and </w:t>
      </w:r>
      <w:proofErr w:type="gramStart"/>
      <w:r w:rsidRPr="00E114D2">
        <w:rPr>
          <w:rFonts w:ascii="Calibri" w:hAnsi="Calibri" w:cs="Calibri"/>
        </w:rPr>
        <w:t>constructed k</w:t>
      </w:r>
      <w:proofErr w:type="gramEnd"/>
      <w:r w:rsidRPr="00E114D2">
        <w:rPr>
          <w:rFonts w:ascii="Calibri" w:hAnsi="Calibri" w:cs="Calibri"/>
        </w:rPr>
        <w:t xml:space="preserve"> different groups from which the regressions were conducted.</w:t>
      </w:r>
    </w:p>
    <w:p w14:paraId="796E41BF" w14:textId="7D4F1774" w:rsidR="00126D59" w:rsidRPr="00E114D2" w:rsidRDefault="00126D59" w:rsidP="00126D59">
      <w:pPr>
        <w:pStyle w:val="Textoindependiente"/>
        <w:spacing w:line="480" w:lineRule="auto"/>
        <w:jc w:val="both"/>
        <w:rPr>
          <w:rFonts w:ascii="Calibri" w:hAnsi="Calibri" w:cs="Calibri"/>
        </w:rPr>
      </w:pPr>
      <w:r w:rsidRPr="00E114D2">
        <w:rPr>
          <w:rFonts w:ascii="Calibri" w:hAnsi="Calibri" w:cs="Calibri"/>
        </w:rPr>
        <w:t>Figure S</w:t>
      </w:r>
      <w:r w:rsidR="00455302" w:rsidRPr="00E114D2">
        <w:rPr>
          <w:rFonts w:ascii="Calibri" w:hAnsi="Calibri" w:cs="Calibri"/>
        </w:rPr>
        <w:t>4</w:t>
      </w:r>
      <w:r w:rsidRPr="00E114D2">
        <w:rPr>
          <w:rFonts w:ascii="Calibri" w:hAnsi="Calibri" w:cs="Calibri"/>
        </w:rPr>
        <w:t xml:space="preserve"> confirms that the definition of risk configurations is not an artifact of the score: cluster assignments under the restricted score models matched the original M3 assignments in 91.6% of cases (using medoid-anchored comparisons). Figure S</w:t>
      </w:r>
      <w:r w:rsidR="00455302" w:rsidRPr="00E114D2">
        <w:rPr>
          <w:rFonts w:ascii="Calibri" w:hAnsi="Calibri" w:cs="Calibri"/>
        </w:rPr>
        <w:t>5</w:t>
      </w:r>
      <w:r w:rsidRPr="00E114D2">
        <w:rPr>
          <w:rFonts w:ascii="Calibri" w:hAnsi="Calibri" w:cs="Calibri"/>
        </w:rPr>
        <w:t xml:space="preserve"> displays the stability of statistical significance: 92.5% of the tested relationships maintained their significance status (Stable or Consistent Non-Sig) even when the score constraint was relaxed. Only a small fraction (Loss) dropped below the significance threshold, which is expected due to the slight loss of information, but no systematic bias was found.</w:t>
      </w:r>
    </w:p>
    <w:tbl>
      <w:tblPr>
        <w:tblStyle w:val="Table"/>
        <w:tblW w:w="5000" w:type="pct"/>
        <w:tblLayout w:type="fixed"/>
        <w:tblLook w:val="0000" w:firstRow="0" w:lastRow="0" w:firstColumn="0" w:lastColumn="0" w:noHBand="0" w:noVBand="0"/>
      </w:tblPr>
      <w:tblGrid>
        <w:gridCol w:w="8838"/>
      </w:tblGrid>
      <w:tr w:rsidR="00126D59" w:rsidRPr="00E114D2" w14:paraId="15DE10E8" w14:textId="77777777" w:rsidTr="005E2FD2">
        <w:tc>
          <w:tcPr>
            <w:tcW w:w="7920" w:type="dxa"/>
          </w:tcPr>
          <w:p w14:paraId="15DD3121" w14:textId="58538BA1" w:rsidR="00126D59" w:rsidRPr="00E114D2" w:rsidRDefault="00455302" w:rsidP="00455302">
            <w:pPr>
              <w:pStyle w:val="Compact"/>
              <w:spacing w:line="480" w:lineRule="auto"/>
              <w:jc w:val="center"/>
              <w:rPr>
                <w:rFonts w:ascii="Calibri" w:hAnsi="Calibri" w:cs="Calibri"/>
              </w:rPr>
            </w:pPr>
            <w:bookmarkStart w:id="7" w:name="fig-cluster-sim"/>
            <w:r w:rsidRPr="00E114D2">
              <w:rPr>
                <w:rFonts w:ascii="Calibri" w:hAnsi="Calibri" w:cs="Calibri"/>
                <w:noProof/>
              </w:rPr>
              <w:lastRenderedPageBreak/>
              <w:drawing>
                <wp:inline distT="0" distB="0" distL="0" distR="0" wp14:anchorId="18208A0A" wp14:editId="335C6059">
                  <wp:extent cx="5474970" cy="4112895"/>
                  <wp:effectExtent l="0" t="0" r="0" b="1905"/>
                  <wp:docPr id="5919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216" name=""/>
                          <pic:cNvPicPr/>
                        </pic:nvPicPr>
                        <pic:blipFill>
                          <a:blip r:embed="rId8"/>
                          <a:stretch>
                            <a:fillRect/>
                          </a:stretch>
                        </pic:blipFill>
                        <pic:spPr>
                          <a:xfrm>
                            <a:off x="0" y="0"/>
                            <a:ext cx="5474970" cy="4112895"/>
                          </a:xfrm>
                          <a:prstGeom prst="rect">
                            <a:avLst/>
                          </a:prstGeom>
                        </pic:spPr>
                      </pic:pic>
                    </a:graphicData>
                  </a:graphic>
                </wp:inline>
              </w:drawing>
            </w:r>
          </w:p>
          <w:p w14:paraId="61B27276" w14:textId="380E2880" w:rsidR="00126D59" w:rsidRPr="00E114D2" w:rsidRDefault="00126D59" w:rsidP="005E2FD2">
            <w:pPr>
              <w:pStyle w:val="ImageCaption"/>
              <w:spacing w:before="200" w:line="480" w:lineRule="auto"/>
              <w:jc w:val="both"/>
              <w:rPr>
                <w:rFonts w:ascii="Calibri" w:hAnsi="Calibri" w:cs="Calibri"/>
              </w:rPr>
            </w:pPr>
            <w:r w:rsidRPr="00E114D2">
              <w:rPr>
                <w:rFonts w:ascii="Calibri" w:hAnsi="Calibri" w:cs="Calibri"/>
              </w:rPr>
              <w:t>Figure </w:t>
            </w:r>
            <w:r w:rsidR="00455302" w:rsidRPr="00E114D2">
              <w:rPr>
                <w:rFonts w:ascii="Calibri" w:hAnsi="Calibri" w:cs="Calibri"/>
              </w:rPr>
              <w:t>S4</w:t>
            </w:r>
            <w:r w:rsidRPr="00E114D2">
              <w:rPr>
                <w:rFonts w:ascii="Calibri" w:hAnsi="Calibri" w:cs="Calibri"/>
              </w:rPr>
              <w:t>: Agreement in cluster assignments under alternative specifications</w:t>
            </w:r>
          </w:p>
        </w:tc>
        <w:bookmarkEnd w:id="7"/>
      </w:tr>
    </w:tbl>
    <w:p w14:paraId="033B4750" w14:textId="12347C1A" w:rsidR="00126D59" w:rsidRPr="00E114D2" w:rsidRDefault="00126D59" w:rsidP="00126D59">
      <w:pPr>
        <w:pStyle w:val="Textoindependiente"/>
        <w:spacing w:line="480" w:lineRule="auto"/>
        <w:jc w:val="both"/>
        <w:rPr>
          <w:rFonts w:ascii="Calibri" w:hAnsi="Calibri" w:cs="Calibri"/>
        </w:rPr>
      </w:pPr>
    </w:p>
    <w:tbl>
      <w:tblPr>
        <w:tblStyle w:val="Table"/>
        <w:tblW w:w="5000" w:type="pct"/>
        <w:tblLayout w:type="fixed"/>
        <w:tblLook w:val="0000" w:firstRow="0" w:lastRow="0" w:firstColumn="0" w:lastColumn="0" w:noHBand="0" w:noVBand="0"/>
      </w:tblPr>
      <w:tblGrid>
        <w:gridCol w:w="8838"/>
      </w:tblGrid>
      <w:tr w:rsidR="00126D59" w:rsidRPr="00E114D2" w14:paraId="5F81682D" w14:textId="77777777" w:rsidTr="005E2FD2">
        <w:tc>
          <w:tcPr>
            <w:tcW w:w="7920" w:type="dxa"/>
          </w:tcPr>
          <w:p w14:paraId="142B6FED" w14:textId="345A6A73" w:rsidR="00126D59" w:rsidRPr="00E114D2" w:rsidRDefault="00455302" w:rsidP="00455302">
            <w:pPr>
              <w:pStyle w:val="Compact"/>
              <w:spacing w:line="480" w:lineRule="auto"/>
              <w:jc w:val="center"/>
              <w:rPr>
                <w:rFonts w:ascii="Calibri" w:hAnsi="Calibri" w:cs="Calibri"/>
              </w:rPr>
            </w:pPr>
            <w:bookmarkStart w:id="8" w:name="fig-focal-matrix"/>
            <w:r w:rsidRPr="00E114D2">
              <w:rPr>
                <w:rFonts w:ascii="Calibri" w:hAnsi="Calibri" w:cs="Calibri"/>
                <w:noProof/>
              </w:rPr>
              <w:lastRenderedPageBreak/>
              <w:drawing>
                <wp:inline distT="0" distB="0" distL="0" distR="0" wp14:anchorId="0BB27DD8" wp14:editId="5CB2F541">
                  <wp:extent cx="5438273" cy="6816688"/>
                  <wp:effectExtent l="0" t="0" r="0" b="3810"/>
                  <wp:docPr id="1737595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95662" name=""/>
                          <pic:cNvPicPr/>
                        </pic:nvPicPr>
                        <pic:blipFill>
                          <a:blip r:embed="rId9"/>
                          <a:stretch>
                            <a:fillRect/>
                          </a:stretch>
                        </pic:blipFill>
                        <pic:spPr>
                          <a:xfrm>
                            <a:off x="0" y="0"/>
                            <a:ext cx="5447210" cy="6827890"/>
                          </a:xfrm>
                          <a:prstGeom prst="rect">
                            <a:avLst/>
                          </a:prstGeom>
                        </pic:spPr>
                      </pic:pic>
                    </a:graphicData>
                  </a:graphic>
                </wp:inline>
              </w:drawing>
            </w:r>
          </w:p>
          <w:p w14:paraId="6171A2DA" w14:textId="1DE346BE" w:rsidR="00126D59" w:rsidRPr="00E114D2" w:rsidRDefault="00126D59" w:rsidP="005E2FD2">
            <w:pPr>
              <w:pStyle w:val="ImageCaption"/>
              <w:spacing w:before="200" w:line="480" w:lineRule="auto"/>
              <w:jc w:val="both"/>
              <w:rPr>
                <w:rFonts w:ascii="Calibri" w:hAnsi="Calibri" w:cs="Calibri"/>
              </w:rPr>
            </w:pPr>
            <w:r w:rsidRPr="00E114D2">
              <w:rPr>
                <w:rFonts w:ascii="Calibri" w:hAnsi="Calibri" w:cs="Calibri"/>
              </w:rPr>
              <w:t>Figure </w:t>
            </w:r>
            <w:r w:rsidR="00455302" w:rsidRPr="00E114D2">
              <w:rPr>
                <w:rFonts w:ascii="Calibri" w:hAnsi="Calibri" w:cs="Calibri"/>
              </w:rPr>
              <w:t>S5</w:t>
            </w:r>
            <w:r w:rsidRPr="00E114D2">
              <w:rPr>
                <w:rFonts w:ascii="Calibri" w:hAnsi="Calibri" w:cs="Calibri"/>
              </w:rPr>
              <w:t>: Changes in statistical significance across edge coefficients</w:t>
            </w:r>
          </w:p>
        </w:tc>
        <w:bookmarkEnd w:id="8"/>
      </w:tr>
    </w:tbl>
    <w:p w14:paraId="4243F4E1" w14:textId="77777777" w:rsidR="009A65EF" w:rsidRPr="00E114D2" w:rsidRDefault="009A65EF">
      <w:pPr>
        <w:rPr>
          <w:rFonts w:ascii="Calibri" w:hAnsi="Calibri" w:cs="Calibri"/>
        </w:rPr>
      </w:pPr>
    </w:p>
    <w:sectPr w:rsidR="009A65EF" w:rsidRPr="00E114D2" w:rsidSect="008A1CC6">
      <w:pgSz w:w="12240" w:h="15840"/>
      <w:pgMar w:top="1418" w:right="1701" w:bottom="1418"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8FE2579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48376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59"/>
    <w:rsid w:val="00126D59"/>
    <w:rsid w:val="00455302"/>
    <w:rsid w:val="005E1180"/>
    <w:rsid w:val="008A1CC6"/>
    <w:rsid w:val="009A65EF"/>
    <w:rsid w:val="00A52D55"/>
    <w:rsid w:val="00D95C14"/>
    <w:rsid w:val="00E114D2"/>
    <w:rsid w:val="00E76D6A"/>
    <w:rsid w:val="00EA0BFE"/>
    <w:rsid w:val="00FF4E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DF59"/>
  <w15:chartTrackingRefBased/>
  <w15:docId w15:val="{06FFDB90-645F-4028-9044-3A80C225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59"/>
    <w:pPr>
      <w:spacing w:after="200" w:line="240" w:lineRule="auto"/>
    </w:pPr>
    <w:rPr>
      <w:kern w:val="0"/>
      <w:sz w:val="24"/>
      <w:szCs w:val="24"/>
      <w:lang w:val="en-US"/>
      <w14:ligatures w14:val="none"/>
    </w:rPr>
  </w:style>
  <w:style w:type="paragraph" w:styleId="Ttulo1">
    <w:name w:val="heading 1"/>
    <w:basedOn w:val="Normal"/>
    <w:next w:val="Normal"/>
    <w:link w:val="Ttulo1Car"/>
    <w:uiPriority w:val="9"/>
    <w:qFormat/>
    <w:rsid w:val="00126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6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6D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6D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6D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6D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6D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6D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6D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6D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6D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6D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6D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6D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6D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6D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6D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6D59"/>
    <w:rPr>
      <w:rFonts w:eastAsiaTheme="majorEastAsia" w:cstheme="majorBidi"/>
      <w:color w:val="272727" w:themeColor="text1" w:themeTint="D8"/>
    </w:rPr>
  </w:style>
  <w:style w:type="paragraph" w:styleId="Ttulo">
    <w:name w:val="Title"/>
    <w:basedOn w:val="Normal"/>
    <w:next w:val="Normal"/>
    <w:link w:val="TtuloCar"/>
    <w:uiPriority w:val="10"/>
    <w:qFormat/>
    <w:rsid w:val="00126D5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6D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6D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6D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6D59"/>
    <w:pPr>
      <w:spacing w:before="160"/>
      <w:jc w:val="center"/>
    </w:pPr>
    <w:rPr>
      <w:i/>
      <w:iCs/>
      <w:color w:val="404040" w:themeColor="text1" w:themeTint="BF"/>
    </w:rPr>
  </w:style>
  <w:style w:type="character" w:customStyle="1" w:styleId="CitaCar">
    <w:name w:val="Cita Car"/>
    <w:basedOn w:val="Fuentedeprrafopredeter"/>
    <w:link w:val="Cita"/>
    <w:uiPriority w:val="29"/>
    <w:rsid w:val="00126D59"/>
    <w:rPr>
      <w:i/>
      <w:iCs/>
      <w:color w:val="404040" w:themeColor="text1" w:themeTint="BF"/>
    </w:rPr>
  </w:style>
  <w:style w:type="paragraph" w:styleId="Prrafodelista">
    <w:name w:val="List Paragraph"/>
    <w:basedOn w:val="Normal"/>
    <w:uiPriority w:val="34"/>
    <w:qFormat/>
    <w:rsid w:val="00126D59"/>
    <w:pPr>
      <w:ind w:left="720"/>
      <w:contextualSpacing/>
    </w:pPr>
  </w:style>
  <w:style w:type="character" w:styleId="nfasisintenso">
    <w:name w:val="Intense Emphasis"/>
    <w:basedOn w:val="Fuentedeprrafopredeter"/>
    <w:uiPriority w:val="21"/>
    <w:qFormat/>
    <w:rsid w:val="00126D59"/>
    <w:rPr>
      <w:i/>
      <w:iCs/>
      <w:color w:val="0F4761" w:themeColor="accent1" w:themeShade="BF"/>
    </w:rPr>
  </w:style>
  <w:style w:type="paragraph" w:styleId="Citadestacada">
    <w:name w:val="Intense Quote"/>
    <w:basedOn w:val="Normal"/>
    <w:next w:val="Normal"/>
    <w:link w:val="CitadestacadaCar"/>
    <w:uiPriority w:val="30"/>
    <w:qFormat/>
    <w:rsid w:val="00126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6D59"/>
    <w:rPr>
      <w:i/>
      <w:iCs/>
      <w:color w:val="0F4761" w:themeColor="accent1" w:themeShade="BF"/>
    </w:rPr>
  </w:style>
  <w:style w:type="character" w:styleId="Referenciaintensa">
    <w:name w:val="Intense Reference"/>
    <w:basedOn w:val="Fuentedeprrafopredeter"/>
    <w:uiPriority w:val="32"/>
    <w:qFormat/>
    <w:rsid w:val="00126D59"/>
    <w:rPr>
      <w:b/>
      <w:bCs/>
      <w:smallCaps/>
      <w:color w:val="0F4761" w:themeColor="accent1" w:themeShade="BF"/>
      <w:spacing w:val="5"/>
    </w:rPr>
  </w:style>
  <w:style w:type="paragraph" w:styleId="Textoindependiente">
    <w:name w:val="Body Text"/>
    <w:basedOn w:val="Normal"/>
    <w:link w:val="TextoindependienteCar"/>
    <w:qFormat/>
    <w:rsid w:val="00126D59"/>
    <w:pPr>
      <w:spacing w:before="180" w:after="180"/>
    </w:pPr>
  </w:style>
  <w:style w:type="character" w:customStyle="1" w:styleId="TextoindependienteCar">
    <w:name w:val="Texto independiente Car"/>
    <w:basedOn w:val="Fuentedeprrafopredeter"/>
    <w:link w:val="Textoindependiente"/>
    <w:rsid w:val="00126D59"/>
    <w:rPr>
      <w:kern w:val="0"/>
      <w:sz w:val="24"/>
      <w:szCs w:val="24"/>
      <w:lang w:val="en-US"/>
      <w14:ligatures w14:val="none"/>
    </w:rPr>
  </w:style>
  <w:style w:type="paragraph" w:customStyle="1" w:styleId="FirstParagraph">
    <w:name w:val="First Paragraph"/>
    <w:basedOn w:val="Textoindependiente"/>
    <w:next w:val="Textoindependiente"/>
    <w:qFormat/>
    <w:rsid w:val="00126D59"/>
  </w:style>
  <w:style w:type="paragraph" w:customStyle="1" w:styleId="Compact">
    <w:name w:val="Compact"/>
    <w:basedOn w:val="Textoindependiente"/>
    <w:qFormat/>
    <w:rsid w:val="00126D59"/>
    <w:pPr>
      <w:spacing w:before="36" w:after="36"/>
    </w:pPr>
  </w:style>
  <w:style w:type="table" w:customStyle="1" w:styleId="Table">
    <w:name w:val="Table"/>
    <w:semiHidden/>
    <w:unhideWhenUsed/>
    <w:qFormat/>
    <w:rsid w:val="00126D59"/>
    <w:pPr>
      <w:spacing w:after="200" w:line="240" w:lineRule="auto"/>
    </w:pPr>
    <w:rPr>
      <w:kern w:val="0"/>
      <w:sz w:val="24"/>
      <w:szCs w:val="24"/>
      <w:lang w:val="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ImageCaption">
    <w:name w:val="Image Caption"/>
    <w:basedOn w:val="Descripcin"/>
    <w:rsid w:val="00126D59"/>
    <w:pPr>
      <w:spacing w:after="120"/>
    </w:pPr>
    <w:rPr>
      <w:iCs w:val="0"/>
      <w:color w:val="auto"/>
      <w:sz w:val="24"/>
      <w:szCs w:val="24"/>
    </w:rPr>
  </w:style>
  <w:style w:type="paragraph" w:styleId="Descripcin">
    <w:name w:val="caption"/>
    <w:basedOn w:val="Normal"/>
    <w:next w:val="Normal"/>
    <w:uiPriority w:val="35"/>
    <w:semiHidden/>
    <w:unhideWhenUsed/>
    <w:qFormat/>
    <w:rsid w:val="00126D59"/>
    <w:rPr>
      <w:i/>
      <w:iCs/>
      <w:color w:val="0E2841" w:themeColor="text2"/>
      <w:sz w:val="18"/>
      <w:szCs w:val="18"/>
    </w:rPr>
  </w:style>
  <w:style w:type="character" w:styleId="Nmerodelnea">
    <w:name w:val="line number"/>
    <w:basedOn w:val="Fuentedeprrafopredeter"/>
    <w:uiPriority w:val="99"/>
    <w:semiHidden/>
    <w:unhideWhenUsed/>
    <w:rsid w:val="008A1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1015</Words>
  <Characters>5587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Fabrega Lacoa</dc:creator>
  <cp:keywords/>
  <dc:description/>
  <cp:lastModifiedBy>Jorge Alberto Fabrega Lacoa</cp:lastModifiedBy>
  <cp:revision>5</cp:revision>
  <dcterms:created xsi:type="dcterms:W3CDTF">2026-02-14T11:58:00Z</dcterms:created>
  <dcterms:modified xsi:type="dcterms:W3CDTF">2026-02-14T12:38:00Z</dcterms:modified>
</cp:coreProperties>
</file>