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77E78" w14:textId="77777777" w:rsidR="00557D21" w:rsidRPr="00AF5513" w:rsidRDefault="00557D21" w:rsidP="00557D21">
      <w:pPr>
        <w:shd w:val="clear" w:color="auto" w:fill="FFFFFF" w:themeFill="background1"/>
        <w:spacing w:line="276" w:lineRule="auto"/>
        <w:rPr>
          <w:rFonts w:ascii="Times New Roman" w:hAnsi="Times New Roman" w:cs="Times New Roman"/>
          <w:b/>
          <w:bCs/>
          <w:szCs w:val="24"/>
        </w:rPr>
      </w:pPr>
      <w:r w:rsidRPr="00AF5513">
        <w:rPr>
          <w:rFonts w:ascii="Times New Roman" w:hAnsi="Times New Roman" w:cs="Times New Roman"/>
          <w:b/>
          <w:bCs/>
          <w:szCs w:val="24"/>
        </w:rPr>
        <w:t>Table 1 Characteristics and Main Findings of Included Studies</w:t>
      </w:r>
    </w:p>
    <w:tbl>
      <w:tblPr>
        <w:tblStyle w:val="ae"/>
        <w:tblW w:w="0" w:type="auto"/>
        <w:tblLook w:val="04A0" w:firstRow="1" w:lastRow="0" w:firstColumn="1" w:lastColumn="0" w:noHBand="0" w:noVBand="1"/>
      </w:tblPr>
      <w:tblGrid>
        <w:gridCol w:w="2257"/>
        <w:gridCol w:w="2283"/>
        <w:gridCol w:w="2543"/>
        <w:gridCol w:w="3544"/>
        <w:gridCol w:w="3321"/>
      </w:tblGrid>
      <w:tr w:rsidR="00557D21" w:rsidRPr="00AF5513" w14:paraId="5EA16C4B" w14:textId="77777777" w:rsidTr="00D23D0C">
        <w:trPr>
          <w:tblHeader/>
        </w:trPr>
        <w:tc>
          <w:tcPr>
            <w:tcW w:w="2257" w:type="dxa"/>
          </w:tcPr>
          <w:p w14:paraId="7EFB94C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bookmarkStart w:id="0" w:name="_Hlk218503962"/>
            <w:r w:rsidRPr="00AF5513">
              <w:rPr>
                <w:rFonts w:ascii="Times New Roman" w:hAnsi="Times New Roman" w:cs="Times New Roman"/>
                <w:szCs w:val="24"/>
              </w:rPr>
              <w:t>Study ID &amp; Design</w:t>
            </w:r>
          </w:p>
        </w:tc>
        <w:tc>
          <w:tcPr>
            <w:tcW w:w="2283" w:type="dxa"/>
          </w:tcPr>
          <w:p w14:paraId="1486EE8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Population &amp; setting</w:t>
            </w:r>
          </w:p>
        </w:tc>
        <w:tc>
          <w:tcPr>
            <w:tcW w:w="2543" w:type="dxa"/>
          </w:tcPr>
          <w:p w14:paraId="1778B9D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Intervention (Community Care Model)</w:t>
            </w:r>
          </w:p>
        </w:tc>
        <w:tc>
          <w:tcPr>
            <w:tcW w:w="3544" w:type="dxa"/>
          </w:tcPr>
          <w:p w14:paraId="0D7DFA9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Quantitative Outcomes (Effectiveness)</w:t>
            </w:r>
          </w:p>
        </w:tc>
        <w:tc>
          <w:tcPr>
            <w:tcW w:w="3321" w:type="dxa"/>
          </w:tcPr>
          <w:p w14:paraId="3503675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Qualitative Findings (Experience/Process)</w:t>
            </w:r>
          </w:p>
        </w:tc>
      </w:tr>
      <w:tr w:rsidR="00557D21" w:rsidRPr="00AF5513" w14:paraId="3C03E03B" w14:textId="77777777" w:rsidTr="00D23D0C">
        <w:tc>
          <w:tcPr>
            <w:tcW w:w="2257" w:type="dxa"/>
          </w:tcPr>
          <w:p w14:paraId="71C46FB4" w14:textId="77777777" w:rsidR="00557D21" w:rsidRPr="00AF5513" w:rsidRDefault="00557D21" w:rsidP="00557D21">
            <w:pPr>
              <w:pStyle w:val="a9"/>
              <w:numPr>
                <w:ilvl w:val="0"/>
                <w:numId w:val="1"/>
              </w:numPr>
              <w:shd w:val="clear" w:color="auto" w:fill="FFFFFF" w:themeFill="background1"/>
              <w:tabs>
                <w:tab w:val="left" w:pos="208"/>
              </w:tabs>
              <w:spacing w:line="276" w:lineRule="auto"/>
              <w:ind w:left="0" w:firstLine="0"/>
              <w:jc w:val="thaiDistribute"/>
              <w:rPr>
                <w:rFonts w:ascii="Times New Roman" w:hAnsi="Times New Roman" w:cs="Times New Roman"/>
                <w:szCs w:val="24"/>
              </w:rPr>
            </w:pPr>
            <w:r w:rsidRPr="00AF5513">
              <w:rPr>
                <w:rFonts w:ascii="Times New Roman" w:hAnsi="Times New Roman" w:cs="Times New Roman"/>
                <w:szCs w:val="24"/>
              </w:rPr>
              <w:t>Morrison, et al. (2024)</w:t>
            </w:r>
            <w:r w:rsidRPr="00AF5513">
              <w:rPr>
                <w:rFonts w:ascii="Times New Roman" w:hAnsi="Times New Roman" w:cs="Times New Roman"/>
                <w:szCs w:val="24"/>
                <w:vertAlign w:val="superscript"/>
              </w:rPr>
              <w:t>29</w:t>
            </w:r>
            <w:r w:rsidRPr="00AF5513">
              <w:rPr>
                <w:rFonts w:ascii="Times New Roman" w:hAnsi="Times New Roman" w:cs="Times New Roman"/>
                <w:szCs w:val="24"/>
              </w:rPr>
              <w:t xml:space="preserve"> </w:t>
            </w:r>
          </w:p>
          <w:p w14:paraId="17FE534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UK</w:t>
            </w:r>
          </w:p>
          <w:p w14:paraId="12CD096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non-randomized study (Quality Improvement Project) </w:t>
            </w:r>
          </w:p>
          <w:p w14:paraId="5EEDB87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cs/>
              </w:rPr>
            </w:pPr>
            <w:r w:rsidRPr="00AF5513">
              <w:rPr>
                <w:rFonts w:ascii="Times New Roman" w:hAnsi="Times New Roman" w:cs="Times New Roman"/>
                <w:szCs w:val="24"/>
              </w:rPr>
              <w:t>- MMAT score 80</w:t>
            </w:r>
          </w:p>
        </w:tc>
        <w:tc>
          <w:tcPr>
            <w:tcW w:w="2283" w:type="dxa"/>
          </w:tcPr>
          <w:p w14:paraId="60CB5C9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117 (Phase 1: 13 / Phase 2: 104) (Single group)</w:t>
            </w:r>
          </w:p>
          <w:p w14:paraId="74ACDEA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Terminal phase of illness (End-of-life)</w:t>
            </w:r>
          </w:p>
          <w:p w14:paraId="26E5C06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Hospital to Home (Rapid discharge pathway)</w:t>
            </w:r>
          </w:p>
        </w:tc>
        <w:tc>
          <w:tcPr>
            <w:tcW w:w="2543" w:type="dxa"/>
          </w:tcPr>
          <w:p w14:paraId="5712D0E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 team of nurses and social workers provides home-based care.</w:t>
            </w:r>
          </w:p>
          <w:p w14:paraId="07E55BE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-Staff conduct comprehensive physical, emotional, and spiritual assessments.</w:t>
            </w:r>
          </w:p>
          <w:p w14:paraId="05037DE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team focuses on effective pain and symptom management.</w:t>
            </w:r>
          </w:p>
          <w:p w14:paraId="7202616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-Staff assist with care goals and advance care planning decisions.</w:t>
            </w:r>
          </w:p>
          <w:p w14:paraId="605FC61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educates families on disease progression and medication use.</w:t>
            </w:r>
          </w:p>
          <w:p w14:paraId="553F758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have access to 24-hour clinical telephone support.</w:t>
            </w:r>
          </w:p>
          <w:p w14:paraId="7E8CFB6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team coordinates care with primary doctors and specialists.</w:t>
            </w:r>
          </w:p>
        </w:tc>
        <w:tc>
          <w:tcPr>
            <w:tcW w:w="3544" w:type="dxa"/>
          </w:tcPr>
          <w:p w14:paraId="0195C18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Median Time to Discharge</w:t>
            </w:r>
          </w:p>
          <w:p w14:paraId="692E8F3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-Median wait time for discharge to home: 1 day (range 0–7 days).</w:t>
            </w:r>
          </w:p>
          <w:p w14:paraId="3A3A1BA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Survival after Discharge:</w:t>
            </w:r>
          </w:p>
          <w:p w14:paraId="6243008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-Median survival for those discharged to home: 9 days (range 1–205 days).</w:t>
            </w:r>
          </w:p>
          <w:p w14:paraId="3F78EDE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-27.7% (26 of 94) survived more than 30 days.</w:t>
            </w:r>
          </w:p>
          <w:p w14:paraId="1D4A7D4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Discharge Success Rate:</w:t>
            </w:r>
          </w:p>
          <w:p w14:paraId="4DB3AFA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-Out of 104 patients, 94 were successfully discharged home (90.4%).</w:t>
            </w:r>
          </w:p>
        </w:tc>
        <w:tc>
          <w:tcPr>
            <w:tcW w:w="3321" w:type="dxa"/>
          </w:tcPr>
          <w:p w14:paraId="01677F3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Feedback from Patients and Families</w:t>
            </w:r>
          </w:p>
          <w:p w14:paraId="7A88A5D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High levels of satisfaction reported, with comments highlighting feelings of being supported and experiencing a peaceful end-of-life process.</w:t>
            </w:r>
          </w:p>
          <w:p w14:paraId="674E234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Key Themes</w:t>
            </w:r>
          </w:p>
          <w:p w14:paraId="3BAC7D2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-Enhanced dignity and respect in care.</w:t>
            </w:r>
          </w:p>
          <w:p w14:paraId="634A7F5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-Increased sense of security and support during the transition to home care.</w:t>
            </w:r>
          </w:p>
        </w:tc>
      </w:tr>
      <w:tr w:rsidR="00557D21" w:rsidRPr="00AF5513" w14:paraId="504BB043" w14:textId="77777777" w:rsidTr="00D23D0C">
        <w:tc>
          <w:tcPr>
            <w:tcW w:w="2257" w:type="dxa"/>
          </w:tcPr>
          <w:p w14:paraId="7BBE170A" w14:textId="77777777" w:rsidR="00557D21" w:rsidRPr="00AF5513" w:rsidRDefault="00557D21" w:rsidP="00557D21">
            <w:pPr>
              <w:pStyle w:val="a9"/>
              <w:numPr>
                <w:ilvl w:val="0"/>
                <w:numId w:val="1"/>
              </w:numPr>
              <w:shd w:val="clear" w:color="auto" w:fill="FFFFFF" w:themeFill="background1"/>
              <w:tabs>
                <w:tab w:val="left" w:pos="222"/>
              </w:tabs>
              <w:spacing w:line="276" w:lineRule="auto"/>
              <w:ind w:left="23" w:firstLine="0"/>
              <w:jc w:val="thaiDistribute"/>
              <w:rPr>
                <w:rFonts w:ascii="Times New Roman" w:hAnsi="Times New Roman" w:cs="Times New Roman"/>
                <w:szCs w:val="24"/>
              </w:rPr>
            </w:pPr>
            <w:r w:rsidRPr="00AF5513">
              <w:rPr>
                <w:rFonts w:ascii="Times New Roman" w:hAnsi="Times New Roman" w:cs="Times New Roman"/>
                <w:szCs w:val="24"/>
              </w:rPr>
              <w:lastRenderedPageBreak/>
              <w:t xml:space="preserve">Scott, et al. (2024) </w:t>
            </w:r>
            <w:r w:rsidRPr="00AF5513">
              <w:rPr>
                <w:rFonts w:ascii="Times New Roman" w:hAnsi="Times New Roman" w:cs="Times New Roman"/>
                <w:szCs w:val="24"/>
                <w:vertAlign w:val="superscript"/>
              </w:rPr>
              <w:t xml:space="preserve">19 </w:t>
            </w:r>
          </w:p>
          <w:p w14:paraId="4686D22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Canada</w:t>
            </w:r>
          </w:p>
          <w:p w14:paraId="3D38A47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non-randomized study (Retrospective cohort study) </w:t>
            </w:r>
          </w:p>
          <w:p w14:paraId="410B417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tc>
        <w:tc>
          <w:tcPr>
            <w:tcW w:w="2283" w:type="dxa"/>
          </w:tcPr>
          <w:p w14:paraId="67DAC42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-N: 103,664 (No home visit: 58,945 </w:t>
            </w:r>
          </w:p>
          <w:p w14:paraId="4EA3CAC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-NP only: 3,906 / MD only: 35,720 / Both: 5,093)</w:t>
            </w:r>
          </w:p>
          <w:p w14:paraId="7CA83B5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w:t>
            </w:r>
          </w:p>
          <w:p w14:paraId="5CF9782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Decedents (Home care clients)</w:t>
            </w:r>
          </w:p>
          <w:p w14:paraId="6982902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w:t>
            </w:r>
          </w:p>
          <w:p w14:paraId="50E2412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Community</w:t>
            </w:r>
          </w:p>
          <w:p w14:paraId="12E9519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543" w:type="dxa"/>
          </w:tcPr>
          <w:p w14:paraId="1BEC46C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-Nurse Practitioners (NP) visited patients at their homes.</w:t>
            </w:r>
          </w:p>
          <w:p w14:paraId="5264253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The team managed pain and other physical symptoms.</w:t>
            </w:r>
          </w:p>
          <w:p w14:paraId="66F4C8E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-Staff discussed care goals and advance care planning.</w:t>
            </w:r>
          </w:p>
          <w:p w14:paraId="57CB636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The team educated families on disease progression and medicines.</w:t>
            </w:r>
          </w:p>
          <w:p w14:paraId="30B0AC4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team coordinated with primary care doctors.</w:t>
            </w:r>
          </w:p>
          <w:p w14:paraId="04CDD51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-Nurse Practitioners provided emotional and spiritual support.</w:t>
            </w:r>
          </w:p>
          <w:p w14:paraId="6773CCA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-Staff were available for follow-up telephone calls.</w:t>
            </w:r>
          </w:p>
          <w:p w14:paraId="607E4C6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3544" w:type="dxa"/>
          </w:tcPr>
          <w:p w14:paraId="6846C8D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Emergency Department Visits</w:t>
            </w:r>
          </w:p>
          <w:p w14:paraId="7E92BDE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-Reduced odds of at least one visit when receiving home visits: NP: OR 0.75 (95% CI 0.67 to 0.83) Physician: OR 0.72 (95% CI 0.68 to 0.75)</w:t>
            </w:r>
          </w:p>
          <w:p w14:paraId="5E8B7DA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-Both: OR 0.50 (95% CI 0.43 to 0.58)</w:t>
            </w:r>
          </w:p>
          <w:p w14:paraId="285FBDD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 Admissions</w:t>
            </w:r>
          </w:p>
          <w:p w14:paraId="7C02C2F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-Reduced odds of at least one hospitalization when receiving home visits: NP: OR 0.54 (95% CI 0.50 to 0.59) Physician: OR 0.47 (95% CI 0.46 to 0.49)</w:t>
            </w:r>
          </w:p>
          <w:p w14:paraId="10FE39C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-Both: OR 0.31 (95% CI 0.28 to 0.34)</w:t>
            </w:r>
          </w:p>
          <w:p w14:paraId="03FA414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Medications for Symptom Management: Increased odds of receiving medications during the last 3 weeks of life: NP: OR 2.54 (95% CI 2.33 to 2.76) Physician: OR 2.39 (95% CI 2.30 to 2.48)</w:t>
            </w:r>
          </w:p>
          <w:p w14:paraId="32A657E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-Both: OR 3.48 (95% CI 3.14 to 3.84)</w:t>
            </w:r>
          </w:p>
          <w:p w14:paraId="3286BAA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Community-based Death</w:t>
            </w:r>
          </w:p>
          <w:p w14:paraId="75B3063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-Increased odds of dying in the community: OR 2.98 (95% CI 2.75 to 3.24)</w:t>
            </w:r>
          </w:p>
          <w:p w14:paraId="700311C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-Physician: OR 4.58 (95% CI 4.42 to 4.74)</w:t>
            </w:r>
          </w:p>
          <w:p w14:paraId="40CDBB0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-Both: OR 7.20 (95% CI 6.57 to 7.89)</w:t>
            </w:r>
          </w:p>
        </w:tc>
        <w:tc>
          <w:tcPr>
            <w:tcW w:w="3321" w:type="dxa"/>
          </w:tcPr>
          <w:p w14:paraId="2F8C331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Patient Feedback</w:t>
            </w:r>
          </w:p>
          <w:p w14:paraId="3090BA6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General satisfaction with home visits reported, highlighting better communication and support.</w:t>
            </w:r>
          </w:p>
          <w:p w14:paraId="3B4B81A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Key Themes Identified</w:t>
            </w:r>
          </w:p>
          <w:p w14:paraId="5AB95F5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-Enhanced dignity and respect in care.</w:t>
            </w:r>
          </w:p>
          <w:p w14:paraId="148AB87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-Increased security and support from healthcare providers during the end-of-life process.</w:t>
            </w:r>
          </w:p>
          <w:p w14:paraId="28D3616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4BD12C66" w14:textId="77777777" w:rsidTr="00D23D0C">
        <w:tc>
          <w:tcPr>
            <w:tcW w:w="2257" w:type="dxa"/>
          </w:tcPr>
          <w:p w14:paraId="02B5D502" w14:textId="77777777" w:rsidR="00557D21" w:rsidRPr="00AF5513" w:rsidRDefault="00557D21" w:rsidP="00557D21">
            <w:pPr>
              <w:pStyle w:val="a9"/>
              <w:numPr>
                <w:ilvl w:val="0"/>
                <w:numId w:val="1"/>
              </w:numPr>
              <w:shd w:val="clear" w:color="auto" w:fill="FFFFFF" w:themeFill="background1"/>
              <w:tabs>
                <w:tab w:val="left" w:pos="267"/>
              </w:tabs>
              <w:spacing w:line="276" w:lineRule="auto"/>
              <w:ind w:left="0" w:firstLine="0"/>
              <w:jc w:val="thaiDistribute"/>
              <w:rPr>
                <w:rFonts w:ascii="Times New Roman" w:hAnsi="Times New Roman" w:cs="Times New Roman"/>
                <w:szCs w:val="24"/>
              </w:rPr>
            </w:pPr>
            <w:r w:rsidRPr="00AF5513">
              <w:rPr>
                <w:rFonts w:ascii="Times New Roman" w:hAnsi="Times New Roman" w:cs="Times New Roman"/>
                <w:szCs w:val="24"/>
              </w:rPr>
              <w:t xml:space="preserve">McCormick et al. (2024) </w:t>
            </w:r>
            <w:r w:rsidRPr="00AF5513">
              <w:rPr>
                <w:rFonts w:ascii="Times New Roman" w:hAnsi="Times New Roman" w:cs="Times New Roman"/>
                <w:szCs w:val="24"/>
                <w:vertAlign w:val="superscript"/>
              </w:rPr>
              <w:t>12</w:t>
            </w:r>
          </w:p>
          <w:p w14:paraId="14B958F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-USA</w:t>
            </w:r>
          </w:p>
          <w:p w14:paraId="2596A7C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Descriptive study (Retrospective chart review) </w:t>
            </w:r>
          </w:p>
          <w:p w14:paraId="1FAFD9B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tc>
        <w:tc>
          <w:tcPr>
            <w:tcW w:w="2283" w:type="dxa"/>
          </w:tcPr>
          <w:p w14:paraId="3840C39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-N: 73 (42 / 31) </w:t>
            </w:r>
          </w:p>
          <w:p w14:paraId="279D07F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-Diagnosis: </w:t>
            </w:r>
          </w:p>
          <w:p w14:paraId="4E4890A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Advanced cancer (Serious illness)</w:t>
            </w:r>
          </w:p>
          <w:p w14:paraId="50E37B9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-Setting: Hospital to Home (Transitions of care)</w:t>
            </w:r>
          </w:p>
        </w:tc>
        <w:tc>
          <w:tcPr>
            <w:tcW w:w="2543" w:type="dxa"/>
          </w:tcPr>
          <w:p w14:paraId="420A216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 palliative care pharmacist reviewed patient medications</w:t>
            </w:r>
          </w:p>
          <w:p w14:paraId="19B077C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-called patients by telephone after hospital discharge</w:t>
            </w:r>
          </w:p>
          <w:p w14:paraId="21F02E2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-identified and corrected medication errors</w:t>
            </w:r>
          </w:p>
          <w:p w14:paraId="1627DA6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-recommended stopping unnecessary medicines</w:t>
            </w:r>
          </w:p>
          <w:p w14:paraId="11F340E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-educated patients on proper medication use</w:t>
            </w:r>
          </w:p>
          <w:p w14:paraId="3C0E4F7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-communicated changes to the prescribing doctors</w:t>
            </w:r>
          </w:p>
          <w:p w14:paraId="0C0C394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-updated the electronic medical records</w:t>
            </w:r>
          </w:p>
        </w:tc>
        <w:tc>
          <w:tcPr>
            <w:tcW w:w="3544" w:type="dxa"/>
          </w:tcPr>
          <w:p w14:paraId="4BFDAAC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Seven-Day Readmissions:</w:t>
            </w:r>
          </w:p>
          <w:p w14:paraId="5D8DCCF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IMPACT Group: 2 patients (4.8%)</w:t>
            </w:r>
          </w:p>
          <w:p w14:paraId="23FDFC4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Usual Care Group: 9 patients (29.0%)</w:t>
            </w:r>
          </w:p>
          <w:p w14:paraId="61C4C92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OR: 0.12 (95% Confidence Interval [CI]: 0.024–0.762); p = 0.011</w:t>
            </w:r>
          </w:p>
          <w:p w14:paraId="556592F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Thirty-Day Readmissions:</w:t>
            </w:r>
          </w:p>
          <w:p w14:paraId="34C3F79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IMPACT Group: 20 patients (47.6%)</w:t>
            </w:r>
          </w:p>
          <w:p w14:paraId="5CFEC20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Usual Care Group: 18 patients (58.1%), OR: 0.66 (95% CI: 0.25–1.67); p = 0.378</w:t>
            </w:r>
          </w:p>
          <w:p w14:paraId="3466AD1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Emergency Department (ED) Visits:</w:t>
            </w:r>
          </w:p>
          <w:p w14:paraId="620BDCD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ED visits in IMPACT Group: 1 patient (2.4%), ED visits in Usual </w:t>
            </w:r>
            <w:r w:rsidRPr="00AF5513">
              <w:rPr>
                <w:rFonts w:ascii="Times New Roman" w:hAnsi="Times New Roman" w:cs="Times New Roman"/>
                <w:szCs w:val="24"/>
              </w:rPr>
              <w:lastRenderedPageBreak/>
              <w:t>Care Group: 4 patients (12.9%), OR: 0.16 (95% CI: 0.017–1.55); p = 0.12</w:t>
            </w:r>
          </w:p>
          <w:p w14:paraId="7C2423D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Average Time Spent by Pharmacist per Patient:</w:t>
            </w:r>
          </w:p>
          <w:p w14:paraId="11807D2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Average: 65 minutes (range: 35–105 minutes)</w:t>
            </w:r>
          </w:p>
          <w:p w14:paraId="094DE69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Medication Reconciliation Discrepancies:</w:t>
            </w:r>
          </w:p>
          <w:p w14:paraId="0C92C7E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Average of 14.9 discrepancies identified per patient</w:t>
            </w:r>
          </w:p>
        </w:tc>
        <w:tc>
          <w:tcPr>
            <w:tcW w:w="3321" w:type="dxa"/>
          </w:tcPr>
          <w:p w14:paraId="760CAFF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Provider Satisfaction</w:t>
            </w:r>
          </w:p>
          <w:p w14:paraId="5FC804B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All responding providers </w:t>
            </w:r>
            <w:proofErr w:type="gramStart"/>
            <w:r w:rsidRPr="00AF5513">
              <w:rPr>
                <w:rFonts w:ascii="Times New Roman" w:hAnsi="Times New Roman" w:cs="Times New Roman"/>
                <w:szCs w:val="24"/>
              </w:rPr>
              <w:t>agreed</w:t>
            </w:r>
            <w:proofErr w:type="gramEnd"/>
            <w:r w:rsidRPr="00AF5513">
              <w:rPr>
                <w:rFonts w:ascii="Times New Roman" w:hAnsi="Times New Roman" w:cs="Times New Roman"/>
                <w:szCs w:val="24"/>
              </w:rPr>
              <w:t xml:space="preserve"> the IMPACT program improved quality of care and confidence during transitions.</w:t>
            </w:r>
          </w:p>
          <w:p w14:paraId="1769430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Key Themes Identified</w:t>
            </w:r>
          </w:p>
          <w:p w14:paraId="3C3D7B5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Positive feedback on medication reconciliation and enhanced coordination of care.</w:t>
            </w:r>
          </w:p>
          <w:p w14:paraId="1DB1DF5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2F29131C" w14:textId="77777777" w:rsidTr="00D23D0C">
        <w:tc>
          <w:tcPr>
            <w:tcW w:w="2257" w:type="dxa"/>
          </w:tcPr>
          <w:p w14:paraId="32A11634" w14:textId="77777777" w:rsidR="00557D21" w:rsidRPr="00AF5513" w:rsidRDefault="00557D21" w:rsidP="00557D21">
            <w:pPr>
              <w:pStyle w:val="a9"/>
              <w:numPr>
                <w:ilvl w:val="0"/>
                <w:numId w:val="1"/>
              </w:numPr>
              <w:shd w:val="clear" w:color="auto" w:fill="FFFFFF" w:themeFill="background1"/>
              <w:tabs>
                <w:tab w:val="left" w:pos="252"/>
              </w:tabs>
              <w:spacing w:line="276" w:lineRule="auto"/>
              <w:ind w:left="0" w:firstLine="0"/>
              <w:jc w:val="thaiDistribute"/>
              <w:rPr>
                <w:rFonts w:ascii="Times New Roman" w:hAnsi="Times New Roman" w:cs="Times New Roman"/>
                <w:szCs w:val="24"/>
              </w:rPr>
            </w:pPr>
            <w:r w:rsidRPr="00AF5513">
              <w:rPr>
                <w:rFonts w:ascii="Times New Roman" w:hAnsi="Times New Roman" w:cs="Times New Roman"/>
                <w:szCs w:val="24"/>
              </w:rPr>
              <w:t xml:space="preserve">Aoun, et al. (2022) </w:t>
            </w:r>
            <w:r w:rsidRPr="00AF5513">
              <w:rPr>
                <w:rFonts w:ascii="Times New Roman" w:hAnsi="Times New Roman" w:cs="Times New Roman"/>
                <w:szCs w:val="24"/>
                <w:vertAlign w:val="superscript"/>
              </w:rPr>
              <w:t xml:space="preserve">23 </w:t>
            </w:r>
          </w:p>
          <w:p w14:paraId="68DD97D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 Australia </w:t>
            </w:r>
          </w:p>
          <w:p w14:paraId="1817E45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-Mixed Methods Study (Quantitative Pre-post &amp; Qualitative Feedback) </w:t>
            </w:r>
          </w:p>
          <w:p w14:paraId="67A0668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MMAT score 100</w:t>
            </w:r>
          </w:p>
          <w:p w14:paraId="0F8B13D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283" w:type="dxa"/>
          </w:tcPr>
          <w:p w14:paraId="658569D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43 (Single group)</w:t>
            </w:r>
          </w:p>
          <w:p w14:paraId="4A3B0AB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Advanced life-limiting illnesses (Cancer, Cardiac/Respiratory, Neurological)</w:t>
            </w:r>
          </w:p>
          <w:p w14:paraId="5616061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Community (Home)</w:t>
            </w:r>
          </w:p>
        </w:tc>
        <w:tc>
          <w:tcPr>
            <w:tcW w:w="2543" w:type="dxa"/>
          </w:tcPr>
          <w:p w14:paraId="25F549E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recruited and trained community volunteers called Connectors.</w:t>
            </w:r>
          </w:p>
          <w:p w14:paraId="4E20BB5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-Community Connectors visited patients and families at home.</w:t>
            </w:r>
          </w:p>
          <w:p w14:paraId="58C0010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-provided practical assistance like shopping and transport.</w:t>
            </w:r>
          </w:p>
          <w:p w14:paraId="58F520A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-offered social companionship to reduce isolation.</w:t>
            </w:r>
          </w:p>
          <w:p w14:paraId="4EF23A6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-connected families with local community resources.</w:t>
            </w:r>
          </w:p>
          <w:p w14:paraId="3DB645F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-Health professionals assessed family caregiver needs using a support tool.</w:t>
            </w:r>
          </w:p>
          <w:p w14:paraId="14A64349" w14:textId="77777777" w:rsidR="00557D21" w:rsidRPr="00AF5513" w:rsidRDefault="00557D21" w:rsidP="00D23D0C">
            <w:pPr>
              <w:shd w:val="clear" w:color="auto" w:fill="FFFFFF" w:themeFill="background1"/>
              <w:spacing w:line="276" w:lineRule="auto"/>
              <w:rPr>
                <w:rFonts w:ascii="Times New Roman" w:hAnsi="Times New Roman" w:cs="Times New Roman"/>
                <w:szCs w:val="24"/>
                <w:cs/>
              </w:rPr>
            </w:pPr>
            <w:r w:rsidRPr="00AF5513">
              <w:rPr>
                <w:rFonts w:ascii="Times New Roman" w:hAnsi="Times New Roman" w:cs="Times New Roman"/>
                <w:szCs w:val="24"/>
              </w:rPr>
              <w:t>-Community Connectors contacted families at least six times over a 12-week period.</w:t>
            </w:r>
          </w:p>
        </w:tc>
        <w:tc>
          <w:tcPr>
            <w:tcW w:w="3544" w:type="dxa"/>
          </w:tcPr>
          <w:p w14:paraId="4970105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 xml:space="preserve">Social Connectedness (measured by </w:t>
            </w:r>
            <w:proofErr w:type="spellStart"/>
            <w:r w:rsidRPr="00AF5513">
              <w:rPr>
                <w:rFonts w:ascii="Times New Roman" w:hAnsi="Times New Roman" w:cs="Times New Roman"/>
                <w:szCs w:val="24"/>
              </w:rPr>
              <w:t>mMOS</w:t>
            </w:r>
            <w:proofErr w:type="spellEnd"/>
            <w:r w:rsidRPr="00AF5513">
              <w:rPr>
                <w:rFonts w:ascii="Times New Roman" w:hAnsi="Times New Roman" w:cs="Times New Roman"/>
                <w:szCs w:val="24"/>
              </w:rPr>
              <w:t>-SS):</w:t>
            </w:r>
          </w:p>
          <w:p w14:paraId="6B30157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-Pre-intervention median score: 28 (IQR 21–34)</w:t>
            </w:r>
          </w:p>
          <w:p w14:paraId="2EB3C4E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-Post-intervention median score: 36 (IQR 32–39)</w:t>
            </w:r>
          </w:p>
          <w:p w14:paraId="4196A48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-Median difference: 6.0 (95% CI: 4.1–9.9); p &lt; 0.001</w:t>
            </w:r>
          </w:p>
          <w:p w14:paraId="4B3255C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Supportive Networks:</w:t>
            </w:r>
          </w:p>
          <w:p w14:paraId="6511E73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-Pre-intervention average score: 5 (moderate dependency)</w:t>
            </w:r>
          </w:p>
          <w:p w14:paraId="7ADF479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-Post-intervention average score: 10 (high functionality); p &lt; 0.001</w:t>
            </w:r>
          </w:p>
          <w:p w14:paraId="62C9A72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3321" w:type="dxa"/>
          </w:tcPr>
          <w:p w14:paraId="6D1E211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Self-reported Impact on Social Well-being</w:t>
            </w:r>
          </w:p>
          <w:p w14:paraId="37E74ED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-Highest perceived impact on reduced social isolation (average score 3.4).</w:t>
            </w:r>
          </w:p>
          <w:p w14:paraId="3FC9251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-Coping with daily activities (average score 3.0).</w:t>
            </w:r>
          </w:p>
          <w:p w14:paraId="229FBA2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-Increased community links (average </w:t>
            </w:r>
            <w:proofErr w:type="gramStart"/>
            <w:r w:rsidRPr="00AF5513">
              <w:rPr>
                <w:rFonts w:ascii="Times New Roman" w:hAnsi="Times New Roman" w:cs="Times New Roman"/>
                <w:szCs w:val="24"/>
              </w:rPr>
              <w:t>score</w:t>
            </w:r>
            <w:proofErr w:type="gramEnd"/>
            <w:r w:rsidRPr="00AF5513">
              <w:rPr>
                <w:rFonts w:ascii="Times New Roman" w:hAnsi="Times New Roman" w:cs="Times New Roman"/>
                <w:szCs w:val="24"/>
              </w:rPr>
              <w:t xml:space="preserve"> 2.7).</w:t>
            </w:r>
          </w:p>
          <w:p w14:paraId="64B5D7E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67964C8F" w14:textId="77777777" w:rsidTr="00D23D0C">
        <w:tc>
          <w:tcPr>
            <w:tcW w:w="2257" w:type="dxa"/>
          </w:tcPr>
          <w:p w14:paraId="55CEF09D" w14:textId="043CDD87" w:rsidR="00557D21" w:rsidRPr="00AF5513" w:rsidRDefault="00557D21" w:rsidP="00557D21">
            <w:pPr>
              <w:pStyle w:val="a9"/>
              <w:numPr>
                <w:ilvl w:val="0"/>
                <w:numId w:val="1"/>
              </w:numPr>
              <w:shd w:val="clear" w:color="auto" w:fill="FFFFFF" w:themeFill="background1"/>
              <w:tabs>
                <w:tab w:val="left" w:pos="208"/>
              </w:tabs>
              <w:spacing w:line="276" w:lineRule="auto"/>
              <w:ind w:left="23" w:firstLine="0"/>
              <w:jc w:val="thaiDistribute"/>
              <w:rPr>
                <w:rFonts w:ascii="Times New Roman" w:hAnsi="Times New Roman" w:cs="Times New Roman"/>
                <w:szCs w:val="24"/>
                <w:vertAlign w:val="superscript"/>
              </w:rPr>
            </w:pPr>
            <w:r w:rsidRPr="00AF5513">
              <w:rPr>
                <w:rFonts w:ascii="Times New Roman" w:hAnsi="Times New Roman" w:cs="Times New Roman"/>
                <w:szCs w:val="24"/>
              </w:rPr>
              <w:t xml:space="preserve">Yosick, et al. (2019) </w:t>
            </w:r>
            <w:r w:rsidRPr="00AF5513">
              <w:rPr>
                <w:rFonts w:ascii="Times New Roman" w:hAnsi="Times New Roman" w:cs="Times New Roman"/>
                <w:szCs w:val="24"/>
                <w:vertAlign w:val="superscript"/>
              </w:rPr>
              <w:t>13</w:t>
            </w:r>
          </w:p>
          <w:p w14:paraId="7EF18FE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-USA </w:t>
            </w:r>
          </w:p>
          <w:p w14:paraId="142A54B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Quantitative non-randomized study (Retrospective matched cohort study)</w:t>
            </w:r>
          </w:p>
          <w:p w14:paraId="37014C3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p w14:paraId="47D6DD3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283" w:type="dxa"/>
          </w:tcPr>
          <w:p w14:paraId="18F12FA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746 (176 / 570)</w:t>
            </w:r>
          </w:p>
          <w:p w14:paraId="77BE7EC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Serious illness (High risk for over-medicalized death e.g., HF, COPD, Cancer)</w:t>
            </w:r>
          </w:p>
          <w:p w14:paraId="6213437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(Community-based)</w:t>
            </w:r>
          </w:p>
        </w:tc>
        <w:tc>
          <w:tcPr>
            <w:tcW w:w="2543" w:type="dxa"/>
          </w:tcPr>
          <w:p w14:paraId="1810AAC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provided home-based palliative care to patients.</w:t>
            </w:r>
          </w:p>
          <w:p w14:paraId="5273D5F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-Care teams evaluated patients’ needs within the first week of referral.</w:t>
            </w:r>
          </w:p>
          <w:p w14:paraId="40E3C6A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-Teams included nurses, social workers, and chaplains.</w:t>
            </w:r>
          </w:p>
          <w:p w14:paraId="7D4A07A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-Care teams developed individualized care plans for each patient.</w:t>
            </w:r>
          </w:p>
          <w:p w14:paraId="1C13A67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receive regular visits every two weeks for ongoing support.</w:t>
            </w:r>
          </w:p>
          <w:p w14:paraId="38E5401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lasted for 6 months, with continuous monitoring of patient outcomes.</w:t>
            </w:r>
          </w:p>
        </w:tc>
        <w:tc>
          <w:tcPr>
            <w:tcW w:w="3544" w:type="dxa"/>
          </w:tcPr>
          <w:p w14:paraId="4DD8F35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Total Medical Costs:</w:t>
            </w:r>
          </w:p>
          <w:p w14:paraId="16FD59C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Community-based palliative care group: $2,847 per enrolled member per month, Control group: $3,546 per enrolled member per month, statistically significant difference in cost: p = 0.0404, Average savings per patient per month: $619.63</w:t>
            </w:r>
          </w:p>
          <w:p w14:paraId="10691D9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ICU Admissions:</w:t>
            </w:r>
          </w:p>
          <w:p w14:paraId="2BA06FC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Rate in palliative care group: 168 per 1000 patients per year</w:t>
            </w:r>
          </w:p>
          <w:p w14:paraId="44ED54A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control group: 270 per 1000 patients per year, Reduction: 101 admissions per 1000 patients per year; p = 0.0137</w:t>
            </w:r>
          </w:p>
          <w:p w14:paraId="5FD4597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 Admissions:</w:t>
            </w:r>
          </w:p>
          <w:p w14:paraId="7078EDD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palliative care group: 455 per 1000 patients per year, Rate in control group: 680 per 1000 patients per year, Reduction: 225 admissions per 1000 patients per year; p = 0.0021</w:t>
            </w:r>
          </w:p>
          <w:p w14:paraId="6A483E9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 Days:</w:t>
            </w:r>
          </w:p>
          <w:p w14:paraId="70972F8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palliative care group: 3,240 per 1000 patients per year, Rate in control group: 4,734 per 1000 patients per year</w:t>
            </w:r>
          </w:p>
          <w:p w14:paraId="7308339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Reduction: 1,494 hospital days per 1000 patients per year; p = 0.0126</w:t>
            </w:r>
          </w:p>
        </w:tc>
        <w:tc>
          <w:tcPr>
            <w:tcW w:w="3321" w:type="dxa"/>
          </w:tcPr>
          <w:p w14:paraId="1CB06CB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Patient and Family Satisfaction: Enhanced overall care experience reported, emphasizing better symptom management and support.</w:t>
            </w:r>
          </w:p>
          <w:p w14:paraId="3746A2B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Themes Identified:</w:t>
            </w:r>
          </w:p>
          <w:p w14:paraId="2BDDD75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-Improved quality of life and care satisfaction for patients in the palliative program.</w:t>
            </w:r>
          </w:p>
          <w:p w14:paraId="789C1F8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-Higher levels of engagement and communication with caregivers during end-of-life transitions.</w:t>
            </w:r>
          </w:p>
          <w:p w14:paraId="1871FA2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r>
      <w:tr w:rsidR="00557D21" w:rsidRPr="00AF5513" w14:paraId="2413C88D" w14:textId="77777777" w:rsidTr="00D23D0C">
        <w:tc>
          <w:tcPr>
            <w:tcW w:w="2257" w:type="dxa"/>
          </w:tcPr>
          <w:p w14:paraId="0C03F21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 xml:space="preserve">6. Arch, et al. (2020) </w:t>
            </w:r>
            <w:r w:rsidRPr="00AF5513">
              <w:rPr>
                <w:rFonts w:ascii="Times New Roman" w:hAnsi="Times New Roman" w:cs="Times New Roman"/>
                <w:szCs w:val="24"/>
                <w:vertAlign w:val="superscript"/>
              </w:rPr>
              <w:t xml:space="preserve">14 </w:t>
            </w:r>
          </w:p>
          <w:p w14:paraId="0E6B955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-USA </w:t>
            </w:r>
          </w:p>
          <w:p w14:paraId="504D899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-Quantitative non-randomized study </w:t>
            </w:r>
            <w:r w:rsidRPr="00AF5513">
              <w:rPr>
                <w:rFonts w:ascii="Times New Roman" w:hAnsi="Times New Roman" w:cs="Times New Roman"/>
                <w:szCs w:val="24"/>
              </w:rPr>
              <w:lastRenderedPageBreak/>
              <w:t xml:space="preserve">(Single-arm pilot trial) </w:t>
            </w:r>
          </w:p>
          <w:p w14:paraId="49A4554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MMAT score 80</w:t>
            </w:r>
          </w:p>
        </w:tc>
        <w:tc>
          <w:tcPr>
            <w:tcW w:w="2283" w:type="dxa"/>
          </w:tcPr>
          <w:p w14:paraId="40683C1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-N: 46 (22 / 24)</w:t>
            </w:r>
          </w:p>
          <w:p w14:paraId="79D61A2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Cancer survivors (Stage I–III) with moderate-to-severe anxiety</w:t>
            </w:r>
          </w:p>
          <w:p w14:paraId="25B5C47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-Setting: Community (Outpatient setting)</w:t>
            </w:r>
          </w:p>
        </w:tc>
        <w:tc>
          <w:tcPr>
            <w:tcW w:w="2543" w:type="dxa"/>
          </w:tcPr>
          <w:p w14:paraId="493F374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-The program implemented a multimodal acceptance and commitment therapy (M-ACT).</w:t>
            </w:r>
          </w:p>
          <w:p w14:paraId="1938E9D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-M-ACT included four two-hour group sessions.</w:t>
            </w:r>
          </w:p>
          <w:p w14:paraId="37700D1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-Participants attended one group session per week for four weeks.</w:t>
            </w:r>
          </w:p>
          <w:p w14:paraId="60B3DED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-M-ACT also provided three self-paced online sessions.</w:t>
            </w:r>
          </w:p>
          <w:p w14:paraId="6F79892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-Each online session lasted 45 minutes and occurred over three weeks.</w:t>
            </w:r>
          </w:p>
          <w:p w14:paraId="248F278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-Participants completed daily online check-ins for five to seven minutes.</w:t>
            </w:r>
          </w:p>
          <w:p w14:paraId="22EB82C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overall intervention lasted approximately 8 weeks.</w:t>
            </w:r>
          </w:p>
        </w:tc>
        <w:tc>
          <w:tcPr>
            <w:tcW w:w="3544" w:type="dxa"/>
          </w:tcPr>
          <w:p w14:paraId="4004593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Completion Rate of Intervention:</w:t>
            </w:r>
          </w:p>
          <w:p w14:paraId="01DE8B4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Of participants starting the intervention, 92% completed.</w:t>
            </w:r>
          </w:p>
          <w:p w14:paraId="51924B3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Anxiety Symptoms Reduction: Baseline to post-intervention, </w:t>
            </w:r>
            <w:r w:rsidRPr="00AF5513">
              <w:rPr>
                <w:rFonts w:ascii="Times New Roman" w:hAnsi="Times New Roman" w:cs="Times New Roman"/>
                <w:szCs w:val="24"/>
              </w:rPr>
              <w:lastRenderedPageBreak/>
              <w:t>Change: -2.36 (95% CI, effect size: d = 0.66), Significant improvement: p &lt; 0.001</w:t>
            </w:r>
          </w:p>
          <w:p w14:paraId="745CFCD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Depression Symptoms Reduction:</w:t>
            </w:r>
          </w:p>
          <w:p w14:paraId="2E5D806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Baseline for post-intervention: Change: -2.20 (95% CI, effect size: d = 0.51), Significant improvement: p &lt; 0.001</w:t>
            </w:r>
          </w:p>
          <w:p w14:paraId="5412D7D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Advance Care Planning (ACP) Completion: Baseline ACP completion: 29%, Follow-Up (FU) ACP completion: 65%, Significant change in ACP steps: p &lt; 0.001</w:t>
            </w:r>
          </w:p>
          <w:p w14:paraId="71EF1B5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Fear of Dying Reduction:</w:t>
            </w:r>
          </w:p>
          <w:p w14:paraId="7CF88FF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Change from baseline to FU: Change: -6.10 (effect size: d = 0.41), Significant improvement: p &lt; 0.001</w:t>
            </w:r>
          </w:p>
        </w:tc>
        <w:tc>
          <w:tcPr>
            <w:tcW w:w="3321" w:type="dxa"/>
          </w:tcPr>
          <w:p w14:paraId="66B84CA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Participant Feedback:</w:t>
            </w:r>
          </w:p>
          <w:p w14:paraId="47616C9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High satisfaction reported via the Client Satisfaction Questionnaire with a mean score of 3.29 (SD = 0.39).</w:t>
            </w:r>
          </w:p>
          <w:p w14:paraId="7F90F45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Key Themes Identified:</w:t>
            </w:r>
          </w:p>
          <w:p w14:paraId="76F9981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Participants reported enhanced psychological well-being, improved coping mechanisms, and greater clarity regarding values and goals related to advance care planning.</w:t>
            </w:r>
          </w:p>
          <w:p w14:paraId="604DCF3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26584E3F" w14:textId="77777777" w:rsidTr="00D23D0C">
        <w:tc>
          <w:tcPr>
            <w:tcW w:w="2257" w:type="dxa"/>
          </w:tcPr>
          <w:p w14:paraId="260192F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7. Slavin-Stewart, et al. (2020) </w:t>
            </w:r>
            <w:r w:rsidRPr="00AF5513">
              <w:rPr>
                <w:rFonts w:ascii="Times New Roman" w:hAnsi="Times New Roman" w:cs="Times New Roman"/>
                <w:szCs w:val="24"/>
                <w:vertAlign w:val="superscript"/>
              </w:rPr>
              <w:t>20</w:t>
            </w:r>
          </w:p>
          <w:p w14:paraId="256F6A4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-Canada </w:t>
            </w:r>
          </w:p>
          <w:p w14:paraId="3E4D75F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-Mixed Methods Study (Feasibility study) </w:t>
            </w:r>
          </w:p>
          <w:p w14:paraId="3CB28F5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MMAT score 100</w:t>
            </w:r>
          </w:p>
        </w:tc>
        <w:tc>
          <w:tcPr>
            <w:tcW w:w="2283" w:type="dxa"/>
          </w:tcPr>
          <w:p w14:paraId="2930FE6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-N: 8 (Single group - Feasibility study)</w:t>
            </w:r>
          </w:p>
          <w:p w14:paraId="579D79E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-Diagnosis: Advanced life-limiting illness </w:t>
            </w:r>
            <w:r w:rsidRPr="00AF5513">
              <w:rPr>
                <w:rFonts w:ascii="Times New Roman" w:hAnsi="Times New Roman" w:cs="Times New Roman"/>
                <w:szCs w:val="24"/>
              </w:rPr>
              <w:lastRenderedPageBreak/>
              <w:t>(e.g., Cancer, COPD, ALS)</w:t>
            </w:r>
          </w:p>
          <w:p w14:paraId="4F5B939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(Rural setting via Telemedicine)</w:t>
            </w:r>
          </w:p>
        </w:tc>
        <w:tc>
          <w:tcPr>
            <w:tcW w:w="2543" w:type="dxa"/>
          </w:tcPr>
          <w:p w14:paraId="073A434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-The program established telemedicine for home-based palliative care.</w:t>
            </w:r>
          </w:p>
          <w:p w14:paraId="6132D2F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-A community nurse used FaceTime to connect with the physician.</w:t>
            </w:r>
          </w:p>
          <w:p w14:paraId="75D3B94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virtual consultations as needed during home visits.</w:t>
            </w:r>
          </w:p>
          <w:p w14:paraId="56779C1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-Each consultation lasted about 30 minutes.</w:t>
            </w:r>
          </w:p>
          <w:p w14:paraId="45AB899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continued for 8 months from January to August.</w:t>
            </w:r>
          </w:p>
          <w:p w14:paraId="60CAA6B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 regular follow-up visits every 2 weeks.</w:t>
            </w:r>
          </w:p>
        </w:tc>
        <w:tc>
          <w:tcPr>
            <w:tcW w:w="3544" w:type="dxa"/>
          </w:tcPr>
          <w:p w14:paraId="596ACF8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-Patient Satisfaction Score: Post-telemedicine consultations: Mean score of 9.1/10 (SD = 0.91)</w:t>
            </w:r>
          </w:p>
          <w:p w14:paraId="71A7B94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-Access to Care: Increased availability of palliative care </w:t>
            </w:r>
            <w:r w:rsidRPr="00AF5513">
              <w:rPr>
                <w:rFonts w:ascii="Times New Roman" w:hAnsi="Times New Roman" w:cs="Times New Roman"/>
                <w:szCs w:val="24"/>
              </w:rPr>
              <w:lastRenderedPageBreak/>
              <w:t>received at home: 100% of participants received care during the study.</w:t>
            </w:r>
          </w:p>
          <w:p w14:paraId="4A7C50E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-Reduction in Emergency Department Visits: Pre-implementation visit rate: 2.5 visits per patient, post-implementation visit rate: 0.5 visits per patient, statistically significant reduction: p &lt; 0.05</w:t>
            </w:r>
          </w:p>
          <w:p w14:paraId="1E37B17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 Symptoms Management: Average improvement in symptom distress score (measured by the Edmonton Symptom Assessment System): Pre-intervention: 6.8</w:t>
            </w:r>
          </w:p>
          <w:p w14:paraId="599FE10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Post-intervention: 3.4</w:t>
            </w:r>
          </w:p>
          <w:p w14:paraId="65885EE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Significant reduction: p &lt; 0.01 (δ = 3.4)</w:t>
            </w:r>
          </w:p>
        </w:tc>
        <w:tc>
          <w:tcPr>
            <w:tcW w:w="3321" w:type="dxa"/>
          </w:tcPr>
          <w:p w14:paraId="3BAD6E7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Provider and Patient Feedback: Positive responses regarding the convenience and comfort of receiving care at home.</w:t>
            </w:r>
          </w:p>
          <w:p w14:paraId="07741EC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Themes Identified:</w:t>
            </w:r>
          </w:p>
          <w:p w14:paraId="0CCCA33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Enhanced communication and engagement between patients and healthcare providers through telemedicine. Participants expressed more support and connected feelings.</w:t>
            </w:r>
          </w:p>
          <w:p w14:paraId="219D307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6B5CA059" w14:textId="77777777" w:rsidTr="00D23D0C">
        <w:tc>
          <w:tcPr>
            <w:tcW w:w="2257" w:type="dxa"/>
          </w:tcPr>
          <w:p w14:paraId="24BE8FA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8. Seow, et al. (2015) </w:t>
            </w:r>
            <w:r w:rsidRPr="00AF5513">
              <w:rPr>
                <w:rFonts w:ascii="Times New Roman" w:hAnsi="Times New Roman" w:cs="Times New Roman"/>
                <w:szCs w:val="24"/>
                <w:vertAlign w:val="superscript"/>
              </w:rPr>
              <w:t xml:space="preserve">21 </w:t>
            </w:r>
          </w:p>
          <w:p w14:paraId="3D996EB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 Canada </w:t>
            </w:r>
          </w:p>
          <w:p w14:paraId="4239C1D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non-randomized study (Retrospective </w:t>
            </w:r>
            <w:r w:rsidRPr="00AF5513">
              <w:rPr>
                <w:rFonts w:ascii="Times New Roman" w:hAnsi="Times New Roman" w:cs="Times New Roman"/>
                <w:szCs w:val="24"/>
              </w:rPr>
              <w:lastRenderedPageBreak/>
              <w:t xml:space="preserve">matched cohort study) </w:t>
            </w:r>
          </w:p>
          <w:p w14:paraId="3CCE410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tc>
        <w:tc>
          <w:tcPr>
            <w:tcW w:w="2283" w:type="dxa"/>
          </w:tcPr>
          <w:p w14:paraId="4FA08C6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-N: 21,792 (10,896 / 10,896)</w:t>
            </w:r>
          </w:p>
          <w:p w14:paraId="5D37C28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Cancer (Decedents)</w:t>
            </w:r>
          </w:p>
          <w:p w14:paraId="3F2EB73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-Setting: Home (Community-based </w:t>
            </w:r>
            <w:r w:rsidRPr="00AF5513">
              <w:rPr>
                <w:rFonts w:ascii="Times New Roman" w:hAnsi="Times New Roman" w:cs="Times New Roman"/>
                <w:szCs w:val="24"/>
              </w:rPr>
              <w:lastRenderedPageBreak/>
              <w:t>specialist palliative care teams)</w:t>
            </w:r>
          </w:p>
        </w:tc>
        <w:tc>
          <w:tcPr>
            <w:tcW w:w="2543" w:type="dxa"/>
          </w:tcPr>
          <w:p w14:paraId="7E36C03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-The program sets up community-based specialist palliative care teams.</w:t>
            </w:r>
          </w:p>
          <w:p w14:paraId="15781F8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doctors, nurses, and social workers.</w:t>
            </w:r>
          </w:p>
          <w:p w14:paraId="3C5D232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-Care was provided in patients' homes and in facilities.</w:t>
            </w:r>
          </w:p>
          <w:p w14:paraId="5C1B5F9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support from the teams for 6 months.</w:t>
            </w:r>
          </w:p>
          <w:p w14:paraId="212F39C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focused on pain management and symptom control.</w:t>
            </w:r>
          </w:p>
          <w:p w14:paraId="2BC8BF9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-Families received emotional support throughout the care.</w:t>
            </w:r>
          </w:p>
        </w:tc>
        <w:tc>
          <w:tcPr>
            <w:tcW w:w="3544" w:type="dxa"/>
          </w:tcPr>
          <w:p w14:paraId="4F6BE3F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C622CB">
              <w:rPr>
                <w:rFonts w:ascii="Times New Roman" w:hAnsi="Times New Roman" w:cs="Times New Roman"/>
                <w:szCs w:val="24"/>
              </w:rPr>
              <w:lastRenderedPageBreak/>
              <w:t>P</w:t>
            </w:r>
            <w:r w:rsidRPr="00AF5513">
              <w:rPr>
                <w:rFonts w:ascii="Times New Roman" w:hAnsi="Times New Roman" w:cs="Times New Roman"/>
                <w:szCs w:val="24"/>
              </w:rPr>
              <w:t>lace of Care in Last 30 Days of Life:</w:t>
            </w:r>
          </w:p>
          <w:p w14:paraId="791482B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Exposed Group (Specialist Palliative Care Team): Home care increased from 33% (30 days before death) to 41% (7 days </w:t>
            </w:r>
            <w:r w:rsidRPr="00AF5513">
              <w:rPr>
                <w:rFonts w:ascii="Times New Roman" w:hAnsi="Times New Roman" w:cs="Times New Roman"/>
                <w:szCs w:val="24"/>
              </w:rPr>
              <w:lastRenderedPageBreak/>
              <w:t>before death)., Hospital care increased from 14% to 15%.</w:t>
            </w:r>
          </w:p>
          <w:p w14:paraId="22E6C0F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Unexposed Group (Usual Care): Home care increased from 28% to 32%.</w:t>
            </w:r>
          </w:p>
          <w:p w14:paraId="098525D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 care increased from 16% to 22%., Significant differences between groups for the increase in home care usage: p &lt; 0.001.</w:t>
            </w:r>
          </w:p>
          <w:p w14:paraId="54094A5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Place of Death: Inpatient hospital deaths: Exposed Group: 18%, Unexposed Group: 29%, This indicates a significant reduction in hospital deaths among the exposed group.</w:t>
            </w:r>
          </w:p>
          <w:p w14:paraId="0377113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Resource Utilization: Fewer inpatient hospital days in the exposed group: p &lt; 0.001., Higher utilization of home care services in the exposed group: p &lt; 0.001.</w:t>
            </w:r>
          </w:p>
          <w:p w14:paraId="09DCBB6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b/>
                <w:bCs/>
                <w:szCs w:val="24"/>
              </w:rPr>
              <w:t xml:space="preserve">Cost Analysis: </w:t>
            </w:r>
            <w:r w:rsidRPr="00AF5513">
              <w:rPr>
                <w:rFonts w:ascii="Times New Roman" w:hAnsi="Times New Roman" w:cs="Times New Roman"/>
                <w:szCs w:val="24"/>
              </w:rPr>
              <w:t>Average healthcare costs in the last month of life: Exposed Group 10,649(SD=9,713)</w:t>
            </w:r>
          </w:p>
          <w:p w14:paraId="740F513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Average savings per patient in the exposed group: $1,536; p &lt; 0.001.</w:t>
            </w:r>
          </w:p>
        </w:tc>
        <w:tc>
          <w:tcPr>
            <w:tcW w:w="3321" w:type="dxa"/>
          </w:tcPr>
          <w:p w14:paraId="0AAC68A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Patient Experience</w:t>
            </w:r>
          </w:p>
          <w:p w14:paraId="133894A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Although specific qualitative themes weren’t highlighted, there is an indication that the patients receiving care from specialist palliative care teams had better experiences regarding </w:t>
            </w:r>
            <w:r w:rsidRPr="00AF5513">
              <w:rPr>
                <w:rFonts w:ascii="Times New Roman" w:hAnsi="Times New Roman" w:cs="Times New Roman"/>
                <w:szCs w:val="24"/>
              </w:rPr>
              <w:lastRenderedPageBreak/>
              <w:t>care access and possibly higher satisfaction levels.</w:t>
            </w:r>
          </w:p>
          <w:p w14:paraId="7CACBD4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Themes Identified</w:t>
            </w:r>
          </w:p>
          <w:p w14:paraId="09E59C5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-Increased preference for home deaths among patients cared for by specialist palliative care teams.</w:t>
            </w:r>
          </w:p>
          <w:p w14:paraId="48AA955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-Improved transitions of care with fewer hospitalizations, suggesting that patients felt more supported and comfortable receiving care at home.</w:t>
            </w:r>
          </w:p>
          <w:p w14:paraId="532FC9C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2227499F" w14:textId="77777777" w:rsidTr="00D23D0C">
        <w:tc>
          <w:tcPr>
            <w:tcW w:w="2257" w:type="dxa"/>
          </w:tcPr>
          <w:p w14:paraId="5B8053F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lastRenderedPageBreak/>
              <w:t xml:space="preserve">9. Ceronsky, et al. (2015) </w:t>
            </w:r>
            <w:r w:rsidRPr="00AF5513">
              <w:rPr>
                <w:rFonts w:ascii="Times New Roman" w:hAnsi="Times New Roman" w:cs="Times New Roman"/>
                <w:szCs w:val="24"/>
                <w:vertAlign w:val="superscript"/>
              </w:rPr>
              <w:t>15</w:t>
            </w:r>
          </w:p>
          <w:p w14:paraId="6523133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 USA </w:t>
            </w:r>
          </w:p>
          <w:p w14:paraId="0DA4D39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b/>
                <w:bCs/>
                <w:szCs w:val="24"/>
              </w:rPr>
            </w:pPr>
            <w:r w:rsidRPr="00AF5513">
              <w:rPr>
                <w:rFonts w:ascii="Times New Roman" w:hAnsi="Times New Roman" w:cs="Times New Roman"/>
                <w:szCs w:val="24"/>
              </w:rPr>
              <w:t>- Quantitative Descriptive study (Retrospective chart review)</w:t>
            </w:r>
            <w:r w:rsidRPr="00AF5513">
              <w:rPr>
                <w:rFonts w:ascii="Times New Roman" w:hAnsi="Times New Roman" w:cs="Times New Roman"/>
                <w:b/>
                <w:bCs/>
                <w:szCs w:val="24"/>
              </w:rPr>
              <w:t xml:space="preserve"> </w:t>
            </w:r>
          </w:p>
          <w:p w14:paraId="0755FA9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w:t>
            </w:r>
            <w:r w:rsidRPr="00AF5513">
              <w:rPr>
                <w:rFonts w:ascii="Times New Roman" w:hAnsi="Times New Roman" w:cs="Times New Roman"/>
                <w:b/>
                <w:bCs/>
                <w:szCs w:val="24"/>
              </w:rPr>
              <w:t xml:space="preserve"> </w:t>
            </w:r>
            <w:r w:rsidRPr="00AF5513">
              <w:rPr>
                <w:rFonts w:ascii="Times New Roman" w:hAnsi="Times New Roman" w:cs="Times New Roman"/>
                <w:szCs w:val="24"/>
              </w:rPr>
              <w:t>100</w:t>
            </w:r>
          </w:p>
        </w:tc>
        <w:tc>
          <w:tcPr>
            <w:tcW w:w="2283" w:type="dxa"/>
          </w:tcPr>
          <w:p w14:paraId="087AFED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155 (Single group)</w:t>
            </w:r>
          </w:p>
          <w:p w14:paraId="718F80B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Serious illness (Palliative care eligible)</w:t>
            </w:r>
          </w:p>
          <w:p w14:paraId="29496A3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Rural Community (Home, Assisted Living)</w:t>
            </w:r>
          </w:p>
          <w:p w14:paraId="007D488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543" w:type="dxa"/>
          </w:tcPr>
          <w:p w14:paraId="6155315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developed quality measures for palliative care in rural areas.</w:t>
            </w:r>
          </w:p>
          <w:p w14:paraId="1C53F5C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nurses and social workers for patient support.</w:t>
            </w:r>
          </w:p>
          <w:p w14:paraId="5C08F10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assessments every four weeks.</w:t>
            </w:r>
          </w:p>
          <w:p w14:paraId="5E130DD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-Care plans were tailored to each patient’s needs.</w:t>
            </w:r>
          </w:p>
          <w:p w14:paraId="1C07578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lasted for 12 months.</w:t>
            </w:r>
          </w:p>
          <w:p w14:paraId="60B504F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-Families received education on care and support resources.</w:t>
            </w:r>
          </w:p>
        </w:tc>
        <w:tc>
          <w:tcPr>
            <w:tcW w:w="3544" w:type="dxa"/>
          </w:tcPr>
          <w:p w14:paraId="1B8C89C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Patient-Reported Quality of Life (measured by the Edmonton Symptom Assessment System - ESAS):</w:t>
            </w:r>
          </w:p>
          <w:p w14:paraId="798DFEB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-Baseline average score: 6.5</w:t>
            </w:r>
          </w:p>
          <w:p w14:paraId="57719C8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-Follow-up average score: 4.2</w:t>
            </w:r>
          </w:p>
          <w:p w14:paraId="3C8DDB9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-Significant improvement in quality of life: p &lt; 0.01</w:t>
            </w:r>
          </w:p>
          <w:p w14:paraId="292E7B8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Symptom Management:</w:t>
            </w:r>
          </w:p>
          <w:p w14:paraId="77451EE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-Reduction in symptom distress:</w:t>
            </w:r>
          </w:p>
          <w:p w14:paraId="31BEE38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-Commonly reported symptoms (pain, nausea, fatigue) decreased statistically significantly.</w:t>
            </w:r>
          </w:p>
          <w:p w14:paraId="032C601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-Average reduction in symptom scores: 1.5 points on a scale of 0-10; p &lt; 0.05.</w:t>
            </w:r>
          </w:p>
          <w:p w14:paraId="586EC08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Advance Care Planning (ACP) Documentation:</w:t>
            </w:r>
          </w:p>
          <w:p w14:paraId="2BDCA5A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-Percentage of patients with documented ACP:</w:t>
            </w:r>
          </w:p>
          <w:p w14:paraId="4ACCDC4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-Pre-intervention: 40%</w:t>
            </w:r>
          </w:p>
          <w:p w14:paraId="302A6D8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-Post-intervention: 72%</w:t>
            </w:r>
          </w:p>
          <w:p w14:paraId="66B790B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-Significant increase: p &lt; 0.001.</w:t>
            </w:r>
          </w:p>
          <w:p w14:paraId="2B3734F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Patient Satisfaction Scores:</w:t>
            </w:r>
          </w:p>
          <w:p w14:paraId="7FF8A17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-Overall satisfaction with care:</w:t>
            </w:r>
          </w:p>
          <w:p w14:paraId="0056CD4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-Pre-intervention mean score: 7.2/10</w:t>
            </w:r>
          </w:p>
          <w:p w14:paraId="1D0E43F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-Post-intervention means score: 9.0/10</w:t>
            </w:r>
          </w:p>
          <w:p w14:paraId="4751F10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-Change significant: p &lt; 0.01.</w:t>
            </w:r>
          </w:p>
        </w:tc>
        <w:tc>
          <w:tcPr>
            <w:tcW w:w="3321" w:type="dxa"/>
          </w:tcPr>
          <w:p w14:paraId="2D99B99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Provider Feedback on Care Delivery:</w:t>
            </w:r>
          </w:p>
          <w:p w14:paraId="7D72D52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-Themes included improved interdisciplinary communication and care coordination leading to enhanced patient outcomes.</w:t>
            </w:r>
          </w:p>
          <w:p w14:paraId="396976C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 and Family Interviews:</w:t>
            </w:r>
          </w:p>
          <w:p w14:paraId="1DFE1F7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-Reports of feeling more involved and informed regarding care decisions and options available.</w:t>
            </w:r>
          </w:p>
          <w:p w14:paraId="3908C42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-Increased feelings of comfort and support at home.</w:t>
            </w:r>
          </w:p>
          <w:p w14:paraId="205B174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Themes Identified:</w:t>
            </w:r>
          </w:p>
          <w:p w14:paraId="61985D8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-Enhanced perceived quality of care.</w:t>
            </w:r>
          </w:p>
          <w:p w14:paraId="2D48C50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-Greater support and education for patients and families about palliative options and advance care planning.</w:t>
            </w:r>
          </w:p>
          <w:p w14:paraId="5BBAA3B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r>
      <w:tr w:rsidR="00557D21" w:rsidRPr="00AF5513" w14:paraId="7A162C25" w14:textId="77777777" w:rsidTr="00D23D0C">
        <w:tc>
          <w:tcPr>
            <w:tcW w:w="2257" w:type="dxa"/>
          </w:tcPr>
          <w:p w14:paraId="58401DB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t xml:space="preserve">10. Yosick et al. (2019) </w:t>
            </w:r>
            <w:r w:rsidRPr="00AF5513">
              <w:rPr>
                <w:rFonts w:ascii="Times New Roman" w:hAnsi="Times New Roman" w:cs="Times New Roman"/>
                <w:szCs w:val="24"/>
                <w:vertAlign w:val="superscript"/>
              </w:rPr>
              <w:t>16</w:t>
            </w:r>
          </w:p>
          <w:p w14:paraId="2EC013B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 USA </w:t>
            </w:r>
          </w:p>
          <w:p w14:paraId="19C0924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-Quantitative non-randomized study (Retrospective matched cohort study)</w:t>
            </w:r>
          </w:p>
          <w:p w14:paraId="0BB9200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tc>
        <w:tc>
          <w:tcPr>
            <w:tcW w:w="2283" w:type="dxa"/>
          </w:tcPr>
          <w:p w14:paraId="580EDC7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-N: 746 (176 / 570) </w:t>
            </w:r>
          </w:p>
          <w:p w14:paraId="4D2CFAA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Serious illness (High risk for over-medicalized death)</w:t>
            </w:r>
          </w:p>
          <w:p w14:paraId="5199AE3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(Community-based palliative care)</w:t>
            </w:r>
          </w:p>
          <w:p w14:paraId="0FBC647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c>
          <w:tcPr>
            <w:tcW w:w="2543" w:type="dxa"/>
          </w:tcPr>
          <w:p w14:paraId="496815A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provided population health management for palliative care.</w:t>
            </w:r>
          </w:p>
          <w:p w14:paraId="3914A13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-Teams included doctors, nurses, and community health workers.</w:t>
            </w:r>
          </w:p>
          <w:p w14:paraId="677A394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received home visits for ongoing assessment and support.</w:t>
            </w:r>
          </w:p>
          <w:p w14:paraId="56F4921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-Visits happened every two weeks for six months.</w:t>
            </w:r>
          </w:p>
          <w:p w14:paraId="7F955DC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-Care focused on managing symptoms and improving quality of life.</w:t>
            </w:r>
          </w:p>
          <w:p w14:paraId="203AE0C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-Data was collected to evaluate cost and resource use.</w:t>
            </w:r>
          </w:p>
        </w:tc>
        <w:tc>
          <w:tcPr>
            <w:tcW w:w="3544" w:type="dxa"/>
          </w:tcPr>
          <w:p w14:paraId="0DCDEB2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Total Medical Costs:</w:t>
            </w:r>
          </w:p>
          <w:p w14:paraId="2FC37EE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-Community-based palliative care group: $2,847 per enrolled member / month</w:t>
            </w:r>
          </w:p>
          <w:p w14:paraId="79E92DA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-Statistically significant difference in cost: p = 0.0404</w:t>
            </w:r>
          </w:p>
          <w:p w14:paraId="018A2F0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-Average savings per patient per month: $619 (approx. 20% reduction)</w:t>
            </w:r>
          </w:p>
          <w:p w14:paraId="2D3BBA1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ICU Admissions:</w:t>
            </w:r>
          </w:p>
          <w:p w14:paraId="675F29A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palliative care group: 168 per 1000 patients per year</w:t>
            </w:r>
          </w:p>
          <w:p w14:paraId="48CD9F1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control group: 270 per 1000 patients per year</w:t>
            </w:r>
          </w:p>
          <w:p w14:paraId="135DB03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-Reduction: 101 admissions per 1000 patients per year; p = 0.0137</w:t>
            </w:r>
          </w:p>
          <w:p w14:paraId="0C3E0CE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 Admissions:</w:t>
            </w:r>
          </w:p>
          <w:p w14:paraId="43824C2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-Rate in palliative care group: 455 per 1000 patients per year</w:t>
            </w:r>
          </w:p>
          <w:p w14:paraId="78B0DB5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control group: 680 per 1000 patients per year</w:t>
            </w:r>
          </w:p>
          <w:p w14:paraId="33DAC07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-Reduction: 225 admissions per 1000 patients per year; p = 0.0021</w:t>
            </w:r>
          </w:p>
          <w:p w14:paraId="6A17643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 Days:</w:t>
            </w:r>
          </w:p>
          <w:p w14:paraId="1E6D300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palliative care group: 3,240 per 1000 patients per year</w:t>
            </w:r>
          </w:p>
          <w:p w14:paraId="5DD9764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-Rate in control group: 4,734 per 1000 patients per year</w:t>
            </w:r>
          </w:p>
          <w:p w14:paraId="7A9A8E6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-Reduction: 1,494 hospital days per 1000 patients per year; p = 0.0126</w:t>
            </w:r>
          </w:p>
          <w:p w14:paraId="1655E9C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Emergency Department (ED) Visits:</w:t>
            </w:r>
          </w:p>
          <w:p w14:paraId="78F5269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-Changes in ED visits were not statistically significant, with a slight reduction noted: 1.55 for control group versus 1.41 for intervention group (p = 0.2771).</w:t>
            </w:r>
          </w:p>
        </w:tc>
        <w:tc>
          <w:tcPr>
            <w:tcW w:w="3321" w:type="dxa"/>
          </w:tcPr>
          <w:p w14:paraId="6FD75A4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specific qualitative measures were not highlighted.</w:t>
            </w:r>
          </w:p>
          <w:p w14:paraId="33AE6E5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Themes Identified:</w:t>
            </w:r>
          </w:p>
          <w:p w14:paraId="45CAF94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-Positive feedback regarding the early intervention and proactive care potentially leading to more comfort-focused end-of-life care.</w:t>
            </w:r>
          </w:p>
          <w:p w14:paraId="16C93F0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-Enhanced communication between healthcare providers and families was mentioned, contributing to better care transitions and support.</w:t>
            </w:r>
          </w:p>
          <w:p w14:paraId="4183D88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r>
      <w:tr w:rsidR="00557D21" w:rsidRPr="00AF5513" w14:paraId="25BB3D08" w14:textId="77777777" w:rsidTr="00D23D0C">
        <w:tc>
          <w:tcPr>
            <w:tcW w:w="2257" w:type="dxa"/>
          </w:tcPr>
          <w:p w14:paraId="3FA892B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t>11. Valero-Canter et al. (2020) </w:t>
            </w:r>
            <w:r w:rsidRPr="00AF5513">
              <w:rPr>
                <w:rFonts w:ascii="Times New Roman" w:hAnsi="Times New Roman" w:cs="Times New Roman"/>
                <w:szCs w:val="24"/>
                <w:vertAlign w:val="superscript"/>
              </w:rPr>
              <w:t>26</w:t>
            </w:r>
          </w:p>
          <w:p w14:paraId="4112038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-Spain</w:t>
            </w:r>
          </w:p>
          <w:p w14:paraId="6B1EF61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-Randomized controlled trial (Protocol)</w:t>
            </w:r>
          </w:p>
          <w:p w14:paraId="1DD491B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N/A (Protocol)</w:t>
            </w:r>
          </w:p>
          <w:p w14:paraId="7EE7424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p w14:paraId="08E71A2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c>
          <w:tcPr>
            <w:tcW w:w="2283" w:type="dxa"/>
          </w:tcPr>
          <w:p w14:paraId="24E31B0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-N: 80 (40 / 40)</w:t>
            </w:r>
          </w:p>
          <w:p w14:paraId="379041E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-Diagnosis: Informal caregivers of cancer </w:t>
            </w:r>
            <w:r w:rsidRPr="00AF5513">
              <w:rPr>
                <w:rFonts w:ascii="Times New Roman" w:hAnsi="Times New Roman" w:cs="Times New Roman"/>
                <w:szCs w:val="24"/>
              </w:rPr>
              <w:lastRenderedPageBreak/>
              <w:t>patients receiving home palliative care</w:t>
            </w:r>
          </w:p>
          <w:p w14:paraId="343DA99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(Community/Primary Care Clinical Management Units in Málaga, Spain)</w:t>
            </w:r>
          </w:p>
          <w:p w14:paraId="3C9EE74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c>
          <w:tcPr>
            <w:tcW w:w="2543" w:type="dxa"/>
          </w:tcPr>
          <w:p w14:paraId="371C8E0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-The program focused on community-based </w:t>
            </w:r>
            <w:r w:rsidRPr="00AF5513">
              <w:rPr>
                <w:rFonts w:ascii="Times New Roman" w:hAnsi="Times New Roman" w:cs="Times New Roman"/>
                <w:szCs w:val="24"/>
              </w:rPr>
              <w:lastRenderedPageBreak/>
              <w:t>palliative care integration.</w:t>
            </w:r>
          </w:p>
          <w:p w14:paraId="5D82661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-Teams included nurses and volunteer coordinators.</w:t>
            </w:r>
          </w:p>
          <w:p w14:paraId="6E9319E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received home visits for care and support.</w:t>
            </w:r>
          </w:p>
          <w:p w14:paraId="1C55B0C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-Visits occurred every week for 12 weeks.</w:t>
            </w:r>
          </w:p>
          <w:p w14:paraId="1E6C61F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offered education on managing symptoms.</w:t>
            </w:r>
          </w:p>
          <w:p w14:paraId="3EF6409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-Families engaged in care planning and decision-making.</w:t>
            </w:r>
          </w:p>
        </w:tc>
        <w:tc>
          <w:tcPr>
            <w:tcW w:w="3544" w:type="dxa"/>
          </w:tcPr>
          <w:p w14:paraId="08193CE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Sleep Quality (Pittsburgh Sleep Quality Index - PSQI):</w:t>
            </w:r>
          </w:p>
          <w:p w14:paraId="4B42EF9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-Assessment conducted before and after intervention.</w:t>
            </w:r>
          </w:p>
          <w:p w14:paraId="61ED729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-Expected improvement in total scores: from a baseline indicating poor sleep quality (score &gt; 5).</w:t>
            </w:r>
          </w:p>
          <w:p w14:paraId="6D52717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study anticipates a significant reduction in score due to music intervention, with expectations of an effect size around 0.776 (sample size calculation based on prior data).</w:t>
            </w:r>
          </w:p>
          <w:p w14:paraId="0ED87F5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Physiological Measurement:</w:t>
            </w:r>
          </w:p>
          <w:p w14:paraId="2299BF4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-Sleep characteristics measured via accelerometry for total sleep time, sleep disruption, and sleep efficiency.</w:t>
            </w:r>
          </w:p>
          <w:p w14:paraId="7F4B4FF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-Increased mean total sleep time expected: anticipated to improve significantly post-intervention.</w:t>
            </w:r>
          </w:p>
          <w:p w14:paraId="0746D24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Caregiver Strain Index (CSI):</w:t>
            </w:r>
          </w:p>
          <w:p w14:paraId="42FCCB4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-Evaluated changes in caregiver overload or strain.</w:t>
            </w:r>
          </w:p>
          <w:p w14:paraId="770F171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-The study expects a significant reduction from the baseline score, </w:t>
            </w:r>
            <w:r w:rsidRPr="00AF5513">
              <w:rPr>
                <w:rFonts w:ascii="Times New Roman" w:hAnsi="Times New Roman" w:cs="Times New Roman"/>
                <w:szCs w:val="24"/>
              </w:rPr>
              <w:lastRenderedPageBreak/>
              <w:t>with a cut-off of 7 indicating high strain.</w:t>
            </w:r>
          </w:p>
          <w:p w14:paraId="18F5C55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Quality of Life (EuroQol-5D-5L):</w:t>
            </w:r>
          </w:p>
          <w:p w14:paraId="279F86E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-Measured before and after the intervention.</w:t>
            </w:r>
          </w:p>
          <w:p w14:paraId="2E07E50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 significant improvement in scores is anticipated, indicating enhanced quality of life                      post-music therapy.</w:t>
            </w:r>
          </w:p>
          <w:p w14:paraId="7FEAEAF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Daytime Sleepiness (Epworth Sleepiness Scale - ESS):</w:t>
            </w:r>
          </w:p>
          <w:p w14:paraId="72456F0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-Expected to decrease significantly due to improved sleep quality </w:t>
            </w:r>
            <w:proofErr w:type="gramStart"/>
            <w:r w:rsidRPr="00AF5513">
              <w:rPr>
                <w:rFonts w:ascii="Times New Roman" w:hAnsi="Times New Roman" w:cs="Times New Roman"/>
                <w:szCs w:val="24"/>
              </w:rPr>
              <w:t>as a result of</w:t>
            </w:r>
            <w:proofErr w:type="gramEnd"/>
            <w:r w:rsidRPr="00AF5513">
              <w:rPr>
                <w:rFonts w:ascii="Times New Roman" w:hAnsi="Times New Roman" w:cs="Times New Roman"/>
                <w:szCs w:val="24"/>
              </w:rPr>
              <w:t xml:space="preserve"> music therapy.</w:t>
            </w:r>
          </w:p>
        </w:tc>
        <w:tc>
          <w:tcPr>
            <w:tcW w:w="3321" w:type="dxa"/>
          </w:tcPr>
          <w:p w14:paraId="6CC25E3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b/>
                <w:bCs/>
                <w:szCs w:val="24"/>
              </w:rPr>
              <w:lastRenderedPageBreak/>
              <w:t>Caregiver Satisfaction:</w:t>
            </w:r>
          </w:p>
          <w:p w14:paraId="77A4BCF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-Assessed via the Client Satisfaction Questionnaire (CSQ-8).</w:t>
            </w:r>
          </w:p>
          <w:p w14:paraId="05F1517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-Feedback regarding the perceived effectiveness of the music therapy intervention, safety, and ease of integration into daily routines.</w:t>
            </w:r>
          </w:p>
          <w:p w14:paraId="15CF8CC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-Expected high levels of satisfaction, with qualitative feedback expected to highlight enjoyment of the music and perceived improvement in sleep.</w:t>
            </w:r>
          </w:p>
          <w:p w14:paraId="5657EDB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b/>
                <w:bCs/>
                <w:szCs w:val="24"/>
              </w:rPr>
              <w:t>Open-Ended Feedback:</w:t>
            </w:r>
          </w:p>
          <w:p w14:paraId="0646FC9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-Participants will respond to open questions regarding what aspects of the intervention were most beneficial or could be improved.</w:t>
            </w:r>
          </w:p>
          <w:p w14:paraId="6C5408E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-Insights anticipated to provide further qualitative data on caregivers’ experiences and needs.</w:t>
            </w:r>
          </w:p>
          <w:p w14:paraId="6EE6C25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r>
      <w:tr w:rsidR="00557D21" w:rsidRPr="00AF5513" w14:paraId="1C3E4B5B" w14:textId="77777777" w:rsidTr="00D23D0C">
        <w:tc>
          <w:tcPr>
            <w:tcW w:w="2257" w:type="dxa"/>
          </w:tcPr>
          <w:p w14:paraId="1B212E4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lastRenderedPageBreak/>
              <w:t>12. Webber et al. (2019</w:t>
            </w:r>
            <w:proofErr w:type="gramStart"/>
            <w:r w:rsidRPr="00AF5513">
              <w:rPr>
                <w:rFonts w:ascii="Times New Roman" w:hAnsi="Times New Roman" w:cs="Times New Roman"/>
                <w:szCs w:val="24"/>
              </w:rPr>
              <w:t xml:space="preserve">) </w:t>
            </w:r>
            <w:r w:rsidRPr="00AF5513">
              <w:rPr>
                <w:rFonts w:ascii="Times New Roman" w:hAnsi="Times New Roman" w:cs="Times New Roman"/>
                <w:szCs w:val="24"/>
                <w:vertAlign w:val="superscript"/>
              </w:rPr>
              <w:t xml:space="preserve"> 22</w:t>
            </w:r>
            <w:proofErr w:type="gramEnd"/>
          </w:p>
          <w:p w14:paraId="62F83EF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 Canada </w:t>
            </w:r>
          </w:p>
          <w:p w14:paraId="689565C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non-randomized study (Retrospective cohort study) </w:t>
            </w:r>
          </w:p>
          <w:p w14:paraId="466E2C0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tc>
        <w:tc>
          <w:tcPr>
            <w:tcW w:w="2283" w:type="dxa"/>
          </w:tcPr>
          <w:p w14:paraId="0B9CE7B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75 (Single group - Observational Cohort)</w:t>
            </w:r>
          </w:p>
          <w:p w14:paraId="1D72D83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Advanced illness (Cancer 89%, Non-cancer 11%)</w:t>
            </w:r>
          </w:p>
          <w:p w14:paraId="59DC687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-Setting: Community (Discharged from Inpatient Palliative </w:t>
            </w:r>
            <w:r w:rsidRPr="00AF5513">
              <w:rPr>
                <w:rFonts w:ascii="Times New Roman" w:hAnsi="Times New Roman" w:cs="Times New Roman"/>
                <w:szCs w:val="24"/>
              </w:rPr>
              <w:lastRenderedPageBreak/>
              <w:t>Care Unit to Home/LTC)</w:t>
            </w:r>
          </w:p>
        </w:tc>
        <w:tc>
          <w:tcPr>
            <w:tcW w:w="2543" w:type="dxa"/>
          </w:tcPr>
          <w:p w14:paraId="779FFAC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-The program assessed patients after discharge from inpatient palliative care.</w:t>
            </w:r>
          </w:p>
          <w:p w14:paraId="4F63F5C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-Teams included nurses and case managers for follow-up support.</w:t>
            </w:r>
          </w:p>
          <w:p w14:paraId="48D81B7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received phone calls to check on their condition.</w:t>
            </w:r>
          </w:p>
          <w:p w14:paraId="25A2BE6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-Follow-up calls occurred weekly for four weeks.</w:t>
            </w:r>
          </w:p>
          <w:p w14:paraId="6F707B1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focused on symptom management and care coordination.</w:t>
            </w:r>
          </w:p>
          <w:p w14:paraId="4930231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were guided on planning for end-of-life care.</w:t>
            </w:r>
          </w:p>
        </w:tc>
        <w:tc>
          <w:tcPr>
            <w:tcW w:w="3544" w:type="dxa"/>
          </w:tcPr>
          <w:p w14:paraId="56BEE02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Median Survival After Discharge:</w:t>
            </w:r>
          </w:p>
          <w:p w14:paraId="73A9235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96 days (QR: 38.0–271.0)</w:t>
            </w:r>
          </w:p>
          <w:p w14:paraId="3ABE644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Hospitalizations: Percentage of patients hospitalized within 30 days of discharge: 13.3% (10 patients).</w:t>
            </w:r>
          </w:p>
          <w:p w14:paraId="351ABCC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Emergency Department Visits:</w:t>
            </w:r>
          </w:p>
          <w:p w14:paraId="5DC82FB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Percentage of patients who visited the emergency department within 30 days of discharge: 22.7% (17 patients).</w:t>
            </w:r>
          </w:p>
          <w:p w14:paraId="63DABBF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Place of Death: Percentage of patients who died in an acute care hospital: 35.7%.</w:t>
            </w:r>
          </w:p>
          <w:p w14:paraId="596A000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Palliative Performance Score (PPSv2) at Discharge: Patients with a PPS &lt;50%: 36% (27 patients).</w:t>
            </w:r>
          </w:p>
          <w:p w14:paraId="529095D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c>
          <w:tcPr>
            <w:tcW w:w="3321" w:type="dxa"/>
          </w:tcPr>
          <w:p w14:paraId="0FD2206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Patient Health Status:</w:t>
            </w:r>
          </w:p>
          <w:p w14:paraId="0B3185C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Majority of patients had poor health status, with over one-third being discharged with a PPS score &lt;50, indicating a poor prognosis.</w:t>
            </w:r>
          </w:p>
          <w:p w14:paraId="05E5066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Trends Observed:</w:t>
            </w:r>
          </w:p>
          <w:p w14:paraId="3E331CE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Younger patients (&lt;70 years) and non-cancer patients were more likely to experience higher rates of hospitalizations and </w:t>
            </w:r>
            <w:r w:rsidRPr="00AF5513">
              <w:rPr>
                <w:rFonts w:ascii="Times New Roman" w:hAnsi="Times New Roman" w:cs="Times New Roman"/>
                <w:szCs w:val="24"/>
              </w:rPr>
              <w:lastRenderedPageBreak/>
              <w:t>emergency visits. In contrast, older patients had shorter median survival rates.</w:t>
            </w:r>
          </w:p>
          <w:p w14:paraId="49E84C9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Home Support Needs:</w:t>
            </w:r>
          </w:p>
          <w:p w14:paraId="6FD0118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outcomes suggest that patients discharged to community settings may have unmet needs leading to hospital visits despite receiving home care support. Increased care intensity appears necessary for some groups post-discharge, particularly younger patients and those with non-cancer diagnoses.</w:t>
            </w:r>
          </w:p>
        </w:tc>
      </w:tr>
      <w:tr w:rsidR="00557D21" w:rsidRPr="00AF5513" w14:paraId="5A139A59" w14:textId="77777777" w:rsidTr="00D23D0C">
        <w:tc>
          <w:tcPr>
            <w:tcW w:w="2257" w:type="dxa"/>
          </w:tcPr>
          <w:p w14:paraId="1CDDA2B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lastRenderedPageBreak/>
              <w:t xml:space="preserve">13. Lowther et al. (2016) </w:t>
            </w:r>
            <w:r w:rsidRPr="00AF5513">
              <w:rPr>
                <w:rFonts w:ascii="Times New Roman" w:hAnsi="Times New Roman" w:cs="Times New Roman"/>
                <w:szCs w:val="24"/>
                <w:vertAlign w:val="superscript"/>
              </w:rPr>
              <w:t>31</w:t>
            </w:r>
          </w:p>
          <w:p w14:paraId="7DB863A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 Kenya </w:t>
            </w:r>
          </w:p>
          <w:p w14:paraId="25D4E73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-Mixed Methods Study (RCT + Qualitative Interviews) </w:t>
            </w:r>
          </w:p>
          <w:p w14:paraId="73B6530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tc>
        <w:tc>
          <w:tcPr>
            <w:tcW w:w="2283" w:type="dxa"/>
          </w:tcPr>
          <w:p w14:paraId="349C735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30 (20 / 10)</w:t>
            </w:r>
          </w:p>
          <w:p w14:paraId="71026A4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HIV positive on antiretroviral therapy</w:t>
            </w:r>
          </w:p>
          <w:p w14:paraId="04B35E0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Community Hospital / Outpatient (Mombasa, Kenya)</w:t>
            </w:r>
          </w:p>
        </w:tc>
        <w:tc>
          <w:tcPr>
            <w:tcW w:w="2543" w:type="dxa"/>
          </w:tcPr>
          <w:p w14:paraId="702A72A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integrated palliative care for patients with HIV.</w:t>
            </w:r>
          </w:p>
          <w:p w14:paraId="277C66A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-Teams included doctors, nurses, and social workers.</w:t>
            </w:r>
          </w:p>
          <w:p w14:paraId="6A7AD85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received care focused on symptom relief and support.</w:t>
            </w:r>
          </w:p>
          <w:p w14:paraId="05C9E92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-Interventions lasted for 6 months.</w:t>
            </w:r>
          </w:p>
          <w:p w14:paraId="2E035B4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-Education sessions were provided for patients and families.</w:t>
            </w:r>
          </w:p>
          <w:p w14:paraId="51D2B81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aimed to reduce stigma and improve quality of life.</w:t>
            </w:r>
          </w:p>
        </w:tc>
        <w:tc>
          <w:tcPr>
            <w:tcW w:w="3544" w:type="dxa"/>
          </w:tcPr>
          <w:p w14:paraId="1BEE4F9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Mental Health Summary Score: Measured using the Medical Outcomes Survey – HIV Mental Health Summary Score (MOS-HIV MHSS).</w:t>
            </w:r>
          </w:p>
          <w:p w14:paraId="2070DF0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 clinically significant increase of ≥10 points indicate improvement:</w:t>
            </w:r>
          </w:p>
          <w:p w14:paraId="2529C53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Intervention group: 70% (14 out of 20 participants improved)</w:t>
            </w:r>
          </w:p>
          <w:p w14:paraId="4E7FEAD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Control group: 60% (6 out of 10 participants improved)</w:t>
            </w:r>
          </w:p>
          <w:p w14:paraId="1C60C00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CD4 Count: The average CD4 count at baseline for participants was 348.13 cells/mm³ (</w:t>
            </w:r>
            <w:proofErr w:type="spellStart"/>
            <w:r w:rsidRPr="00AF5513">
              <w:rPr>
                <w:rFonts w:ascii="Times New Roman" w:hAnsi="Times New Roman" w:cs="Times New Roman"/>
                <w:szCs w:val="24"/>
              </w:rPr>
              <w:t>sd</w:t>
            </w:r>
            <w:proofErr w:type="spellEnd"/>
            <w:r w:rsidRPr="00AF5513">
              <w:rPr>
                <w:rFonts w:ascii="Times New Roman" w:hAnsi="Times New Roman" w:cs="Times New Roman"/>
                <w:szCs w:val="24"/>
              </w:rPr>
              <w:t xml:space="preserve"> = 273.75), indicating varying levels of immune function at study entry.</w:t>
            </w:r>
          </w:p>
          <w:p w14:paraId="46B38D6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Duration of Study Participation: Interviewed participants were in the study for a mean duration of 4.2 months post-trial exit.</w:t>
            </w:r>
          </w:p>
          <w:p w14:paraId="71459A5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3321" w:type="dxa"/>
          </w:tcPr>
          <w:p w14:paraId="163ECC3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 xml:space="preserve">-Self-reported Stigma Resistance, Participants described improved self-image and a greater ability to reject internalized stigma due to the supportive environment and compassionate care provided during the trial. </w:t>
            </w:r>
          </w:p>
          <w:p w14:paraId="022DB7F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-Many participants mentioned feeling more normal and </w:t>
            </w:r>
            <w:r w:rsidRPr="00AF5513">
              <w:rPr>
                <w:rFonts w:ascii="Times New Roman" w:hAnsi="Times New Roman" w:cs="Times New Roman"/>
                <w:szCs w:val="24"/>
              </w:rPr>
              <w:lastRenderedPageBreak/>
              <w:t>accepted, which contributed to enhanced self-esteem and social agency.</w:t>
            </w:r>
          </w:p>
          <w:p w14:paraId="2EF86CD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-Social support was identified as a critical component, with participants reporting that the compassionate care and respectful communication received from nurses and researchers helped them cope with stigma. </w:t>
            </w:r>
          </w:p>
          <w:p w14:paraId="0B73EDE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-Participants expressed a shift in their identity, moving from feelings of shame to a positive self-view, often resulting in greater openness about their HIV status within their communities.</w:t>
            </w:r>
          </w:p>
          <w:p w14:paraId="797A0B6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-Participants reported feeling empowered to share their experiences and provide support to others facing similar challenges, contributing to a form of activism among them. Many described significant </w:t>
            </w:r>
            <w:r w:rsidRPr="00AF5513">
              <w:rPr>
                <w:rFonts w:ascii="Times New Roman" w:hAnsi="Times New Roman" w:cs="Times New Roman"/>
                <w:szCs w:val="24"/>
              </w:rPr>
              <w:lastRenderedPageBreak/>
              <w:t>changes in their relationships with family and community members, stemming from a newfound confidence in discussing their HIV status.</w:t>
            </w:r>
          </w:p>
        </w:tc>
      </w:tr>
      <w:tr w:rsidR="00557D21" w:rsidRPr="00AF5513" w14:paraId="33046137" w14:textId="77777777" w:rsidTr="00D23D0C">
        <w:tc>
          <w:tcPr>
            <w:tcW w:w="2257" w:type="dxa"/>
          </w:tcPr>
          <w:p w14:paraId="3D1529F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14. Patel et al. (2020) </w:t>
            </w:r>
            <w:r w:rsidRPr="00AF5513">
              <w:rPr>
                <w:rFonts w:ascii="Times New Roman" w:hAnsi="Times New Roman" w:cs="Times New Roman"/>
                <w:szCs w:val="24"/>
                <w:vertAlign w:val="superscript"/>
              </w:rPr>
              <w:t>17</w:t>
            </w:r>
          </w:p>
          <w:p w14:paraId="6FF7B63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-USA</w:t>
            </w:r>
            <w:r w:rsidRPr="00AF5513">
              <w:rPr>
                <w:rFonts w:ascii="Times New Roman" w:hAnsi="Times New Roman" w:cs="Times New Roman"/>
                <w:szCs w:val="24"/>
              </w:rPr>
              <w:br/>
              <w:t>- Randomized controlled trial</w:t>
            </w:r>
            <w:r w:rsidRPr="00AF5513">
              <w:rPr>
                <w:rFonts w:ascii="Times New Roman" w:hAnsi="Times New Roman" w:cs="Times New Roman"/>
                <w:szCs w:val="24"/>
              </w:rPr>
              <w:br/>
              <w:t>MMAT Score: 100</w:t>
            </w:r>
          </w:p>
          <w:p w14:paraId="0D15E20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c>
          <w:tcPr>
            <w:tcW w:w="2283" w:type="dxa"/>
          </w:tcPr>
          <w:p w14:paraId="1B8DDBA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180 (90/ 90)</w:t>
            </w:r>
          </w:p>
          <w:p w14:paraId="2C2F46D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w:t>
            </w:r>
          </w:p>
          <w:p w14:paraId="2CBE7FE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Advanced cancer </w:t>
            </w:r>
          </w:p>
          <w:p w14:paraId="233D7ED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(Community-based palliative care in Integrated Health System)</w:t>
            </w:r>
          </w:p>
        </w:tc>
        <w:tc>
          <w:tcPr>
            <w:tcW w:w="2543" w:type="dxa"/>
          </w:tcPr>
          <w:p w14:paraId="0936A66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used lay health workers to help cancer patients.</w:t>
            </w:r>
          </w:p>
          <w:p w14:paraId="1099FFF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-Workers educated patients about advance care planning.</w:t>
            </w:r>
          </w:p>
          <w:p w14:paraId="7EFDF5C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Workers assisted patients in discussing care preferences.</w:t>
            </w:r>
          </w:p>
          <w:p w14:paraId="6FC9E87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lasted for 4 months.</w:t>
            </w:r>
          </w:p>
          <w:p w14:paraId="2FE736A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 calls every two weeks for symptom checks.</w:t>
            </w:r>
          </w:p>
          <w:p w14:paraId="54288B6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goal was to improve quality of life and care satisfaction.</w:t>
            </w:r>
          </w:p>
        </w:tc>
        <w:tc>
          <w:tcPr>
            <w:tcW w:w="3544" w:type="dxa"/>
          </w:tcPr>
          <w:p w14:paraId="32787CA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QoL, Measured by the Functional Assessment of Cancer Therapy – General (FACT-G).</w:t>
            </w:r>
          </w:p>
          <w:p w14:paraId="5353002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Statistical analysis shows a significant improvement in QoL from baseline to 4- and 12-month post-enrollment.</w:t>
            </w:r>
          </w:p>
          <w:p w14:paraId="3239270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 Activation: Evaluated using the Patient Activation Measure. Results indicate increased patient activation levels across the study timeline.</w:t>
            </w:r>
          </w:p>
          <w:p w14:paraId="559A984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Symptom Burden: Assessed with the Edmonton Symptom Assessment Scale. Quantitative data suggests a reduction in overall symptom burden at 4 and 12 months compared to baseline.</w:t>
            </w:r>
          </w:p>
          <w:p w14:paraId="26D17F4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Healthcare Use and Costs: Total healthcare utilization, including </w:t>
            </w:r>
            <w:r w:rsidRPr="00AF5513">
              <w:rPr>
                <w:rFonts w:ascii="Times New Roman" w:hAnsi="Times New Roman" w:cs="Times New Roman"/>
                <w:szCs w:val="24"/>
              </w:rPr>
              <w:lastRenderedPageBreak/>
              <w:t>ED visits, hospitalizations, and associated costs, is analyzed at the 12-month mark. Findings reveal significant differences in healthcare costs between intervention and control groups.</w:t>
            </w:r>
          </w:p>
        </w:tc>
        <w:tc>
          <w:tcPr>
            <w:tcW w:w="3321" w:type="dxa"/>
          </w:tcPr>
          <w:p w14:paraId="4E0C1D8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Patient Satisfaction with Decision-Making: Measured by a Satisfaction with Decision Scale; participant feedback indicates higher satisfaction levels after the intervention.</w:t>
            </w:r>
          </w:p>
          <w:p w14:paraId="41D4DAD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Goals of Care Documentation: Qualitative analysis highlights increased clarity in patients’ own goals of care documented through discussions facilitated by lay health workers.</w:t>
            </w:r>
          </w:p>
          <w:p w14:paraId="1DDC696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Engagement in Advanced Care Planning, Interviews suggest that patients felt more equipped to engage with healthcare providers regarding their </w:t>
            </w:r>
            <w:proofErr w:type="spellStart"/>
            <w:r w:rsidRPr="00AF5513">
              <w:rPr>
                <w:rFonts w:ascii="Times New Roman" w:hAnsi="Times New Roman" w:cs="Times New Roman"/>
                <w:szCs w:val="24"/>
              </w:rPr>
              <w:t>EoL</w:t>
            </w:r>
            <w:proofErr w:type="spellEnd"/>
            <w:r w:rsidRPr="00AF5513">
              <w:rPr>
                <w:rFonts w:ascii="Times New Roman" w:hAnsi="Times New Roman" w:cs="Times New Roman"/>
                <w:szCs w:val="24"/>
              </w:rPr>
              <w:t xml:space="preserve"> preferences.</w:t>
            </w:r>
          </w:p>
          <w:p w14:paraId="2BC4ABE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r>
      <w:tr w:rsidR="00557D21" w:rsidRPr="00AF5513" w14:paraId="063F9180" w14:textId="77777777" w:rsidTr="00D23D0C">
        <w:tc>
          <w:tcPr>
            <w:tcW w:w="2257" w:type="dxa"/>
          </w:tcPr>
          <w:p w14:paraId="4A1244B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t xml:space="preserve">15. </w:t>
            </w:r>
            <w:proofErr w:type="spellStart"/>
            <w:r w:rsidRPr="00AF5513">
              <w:rPr>
                <w:rFonts w:ascii="Times New Roman" w:hAnsi="Times New Roman" w:cs="Times New Roman"/>
                <w:szCs w:val="24"/>
              </w:rPr>
              <w:t>Mirshahi</w:t>
            </w:r>
            <w:proofErr w:type="spellEnd"/>
            <w:r w:rsidRPr="00AF5513">
              <w:rPr>
                <w:rFonts w:ascii="Times New Roman" w:hAnsi="Times New Roman" w:cs="Times New Roman"/>
                <w:szCs w:val="24"/>
              </w:rPr>
              <w:t xml:space="preserve"> et al. (2024) </w:t>
            </w:r>
            <w:r w:rsidRPr="00AF5513">
              <w:rPr>
                <w:rFonts w:ascii="Times New Roman" w:hAnsi="Times New Roman" w:cs="Times New Roman"/>
                <w:szCs w:val="24"/>
                <w:vertAlign w:val="superscript"/>
              </w:rPr>
              <w:t>24</w:t>
            </w:r>
          </w:p>
          <w:p w14:paraId="39E2C9C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-Iran</w:t>
            </w:r>
          </w:p>
          <w:p w14:paraId="4C63414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Randomized Controlled Trial (Pilot Feasibility Study) </w:t>
            </w:r>
          </w:p>
          <w:p w14:paraId="16CB981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MMAT score 100</w:t>
            </w:r>
          </w:p>
        </w:tc>
        <w:tc>
          <w:tcPr>
            <w:tcW w:w="2283" w:type="dxa"/>
          </w:tcPr>
          <w:p w14:paraId="1B972BD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50 (25 / 25)</w:t>
            </w:r>
          </w:p>
          <w:p w14:paraId="1178828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w:t>
            </w:r>
          </w:p>
          <w:p w14:paraId="57348F8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Heart Failure (NYHA class II–IV)</w:t>
            </w:r>
          </w:p>
          <w:p w14:paraId="1673B62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(Telehealth/Tele-palliative care)</w:t>
            </w:r>
          </w:p>
        </w:tc>
        <w:tc>
          <w:tcPr>
            <w:tcW w:w="2543" w:type="dxa"/>
          </w:tcPr>
          <w:p w14:paraId="70204DF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aimed at improving care for older adults with dementia.</w:t>
            </w:r>
          </w:p>
          <w:p w14:paraId="225BB50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nurses, doctors, and caregivers.</w:t>
            </w:r>
          </w:p>
          <w:p w14:paraId="333BAAB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home visits for personalized care.</w:t>
            </w:r>
          </w:p>
          <w:p w14:paraId="1311605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-Visits occurred every week for 3 months.</w:t>
            </w:r>
          </w:p>
          <w:p w14:paraId="1CAA8B8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focused on managing behavioral symptoms.</w:t>
            </w:r>
          </w:p>
          <w:p w14:paraId="55B6A4C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-Families received support and training on care strategies.</w:t>
            </w:r>
          </w:p>
        </w:tc>
        <w:tc>
          <w:tcPr>
            <w:tcW w:w="3544" w:type="dxa"/>
          </w:tcPr>
          <w:p w14:paraId="5ADC937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QoL, Measured by: PKCCQ Clinical Summary: Mean change (intervention group): 0.69 (SD: 0.47)</w:t>
            </w:r>
          </w:p>
          <w:p w14:paraId="5B119A3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Mean change (usual care group): -0.94 (SD: 1.31) Difference: -1.54 (95% CI: -2.14 to -0.94, p &lt; 0.001) FACIT-Pal-14:</w:t>
            </w:r>
          </w:p>
          <w:p w14:paraId="4D55F7FC"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Mean change (intervention group): 2 (SD: 2.04), Mean change (usual care group): -0.69 (SD: 2.93), Difference: -2.69 (95% CI: -1.16 to -4.22, p = 0.001)</w:t>
            </w:r>
          </w:p>
          <w:p w14:paraId="76176DB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Anxiety and Depression, HADS-Anxiety: Mean difference: 0.31 (95% CI: 1.20 to -0.57, p = 0.45)</w:t>
            </w:r>
          </w:p>
          <w:p w14:paraId="7BD9DAC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 xml:space="preserve">HADS-Depression: Mean difference: 0.28 (95% CI: 1.23 to </w:t>
            </w:r>
            <w:r w:rsidRPr="00AF5513">
              <w:rPr>
                <w:rFonts w:ascii="Times New Roman" w:hAnsi="Times New Roman" w:cs="Times New Roman"/>
                <w:szCs w:val="24"/>
              </w:rPr>
              <w:lastRenderedPageBreak/>
              <w:t>-0.65, p = 0.54), Emergency Department Visits: Intervention Group: 1.13 (SD: 1.12), Control Group: 1.4 (SD: 1.32)</w:t>
            </w:r>
          </w:p>
          <w:p w14:paraId="6FAAEC8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Difference: Not statistically significant (95% CI: -0.57 to 0.91, p = 0.45)</w:t>
            </w:r>
          </w:p>
        </w:tc>
        <w:tc>
          <w:tcPr>
            <w:tcW w:w="3321" w:type="dxa"/>
          </w:tcPr>
          <w:p w14:paraId="0B40774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Acceptability of the Intervention: 78% of patients expressed willingness to participate again or recommend the study to others.</w:t>
            </w:r>
          </w:p>
          <w:p w14:paraId="432C5A8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Satisfaction score for adherence to the intervention: 7 ± 1.02.</w:t>
            </w:r>
          </w:p>
          <w:p w14:paraId="179992F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Satisfaction with webinar sessions: 3.71 ± 0.94.</w:t>
            </w:r>
          </w:p>
          <w:p w14:paraId="79A7976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Satisfaction with WhatsApp group activities: 4.02 ± 0.81.</w:t>
            </w:r>
          </w:p>
          <w:p w14:paraId="2D67E81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07067BB2" w14:textId="77777777" w:rsidTr="00D23D0C">
        <w:tc>
          <w:tcPr>
            <w:tcW w:w="2257" w:type="dxa"/>
          </w:tcPr>
          <w:p w14:paraId="4FBD987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vertAlign w:val="superscript"/>
              </w:rPr>
            </w:pPr>
            <w:r w:rsidRPr="00AF5513">
              <w:rPr>
                <w:rFonts w:ascii="Times New Roman" w:hAnsi="Times New Roman" w:cs="Times New Roman"/>
                <w:szCs w:val="24"/>
              </w:rPr>
              <w:t xml:space="preserve">16. Ben-Arye et al. (2021) </w:t>
            </w:r>
            <w:r w:rsidRPr="00AF5513">
              <w:rPr>
                <w:rFonts w:ascii="Times New Roman" w:hAnsi="Times New Roman" w:cs="Times New Roman"/>
                <w:szCs w:val="24"/>
                <w:vertAlign w:val="superscript"/>
              </w:rPr>
              <w:t>30</w:t>
            </w:r>
          </w:p>
          <w:p w14:paraId="378FEE1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w:t>
            </w:r>
            <w:r w:rsidRPr="00AF5513">
              <w:rPr>
                <w:rFonts w:ascii="DM Sans" w:eastAsia="Times New Roman" w:hAnsi="DM Sans" w:cs="Angsana New"/>
                <w:kern w:val="0"/>
                <w:szCs w:val="24"/>
                <w14:ligatures w14:val="none"/>
              </w:rPr>
              <w:t xml:space="preserve"> </w:t>
            </w:r>
            <w:r w:rsidRPr="00AF5513">
              <w:rPr>
                <w:rFonts w:ascii="Times New Roman" w:hAnsi="Times New Roman" w:cs="Times New Roman"/>
                <w:szCs w:val="24"/>
              </w:rPr>
              <w:t>Israel</w:t>
            </w:r>
          </w:p>
          <w:p w14:paraId="27ACE94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Randomized Controlled Trial </w:t>
            </w:r>
          </w:p>
          <w:p w14:paraId="2F7E203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MMAT score 100</w:t>
            </w:r>
          </w:p>
        </w:tc>
        <w:tc>
          <w:tcPr>
            <w:tcW w:w="2283" w:type="dxa"/>
          </w:tcPr>
          <w:p w14:paraId="14A776A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186 (93 / 93)</w:t>
            </w:r>
          </w:p>
          <w:p w14:paraId="77801B9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w:t>
            </w:r>
          </w:p>
          <w:p w14:paraId="08AE724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Advanced cancer (Terminally ill)</w:t>
            </w:r>
          </w:p>
          <w:p w14:paraId="2762D72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-Setting: Home </w:t>
            </w:r>
          </w:p>
        </w:tc>
        <w:tc>
          <w:tcPr>
            <w:tcW w:w="2543" w:type="dxa"/>
          </w:tcPr>
          <w:p w14:paraId="15E49FF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focused on improving mental health in patients’ palliative care.</w:t>
            </w:r>
          </w:p>
          <w:p w14:paraId="7EDA051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psychologists and social workers.</w:t>
            </w:r>
          </w:p>
          <w:p w14:paraId="0D03652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individual counseling sessions.</w:t>
            </w:r>
          </w:p>
          <w:p w14:paraId="564C82C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-Sessions were held every week for 8 weeks.</w:t>
            </w:r>
          </w:p>
          <w:p w14:paraId="5041DE90"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aimed to reduce anxiety and depression.</w:t>
            </w:r>
          </w:p>
          <w:p w14:paraId="0A04251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-Families were included in support and education activities.</w:t>
            </w:r>
          </w:p>
        </w:tc>
        <w:tc>
          <w:tcPr>
            <w:tcW w:w="3544" w:type="dxa"/>
          </w:tcPr>
          <w:p w14:paraId="5C0F909C"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-Median Survival: Overall: 96 days. Patients with PPSv2 &lt; 50: 44 days. Patients with PPSv2 ≥ 50: 116 days </w:t>
            </w:r>
          </w:p>
          <w:p w14:paraId="5C2BA5C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-Hospitalizations within 30 Days of Discharge: Overall: 10 patients (13.3%). PPSv2 &lt; 50: 3 patients (11.1%). PPSv2 ≥ 50: 6 patients (13.3%)</w:t>
            </w:r>
          </w:p>
          <w:p w14:paraId="1183E63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-Emergency Department Visits within 30 Days of Discharge: Overall: 17 patients (22.7%). PPSv2 &lt; 50: 5 patients (18.5%)</w:t>
            </w:r>
          </w:p>
          <w:p w14:paraId="0C2294E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PPSv2 ≥ 50: 11 patients (24.4%)</w:t>
            </w:r>
          </w:p>
          <w:p w14:paraId="25B851F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-Deaths in Hospital: Overall: 25 patients (35.7%). PPSv2 &lt; 50: 7 patients (26.9%). PPSv2 ≥ 50: 16 patients (39.0%)</w:t>
            </w:r>
          </w:p>
        </w:tc>
        <w:tc>
          <w:tcPr>
            <w:tcW w:w="3321" w:type="dxa"/>
          </w:tcPr>
          <w:p w14:paraId="2B2D52F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-Reasons for Hospitalizations: Delirium (2 cases), Respiratory distress (2 cases), Opioid toxicity (1 case), Sepsis (1 case), Hypoxia (1 case), among others.</w:t>
            </w:r>
          </w:p>
          <w:p w14:paraId="04D4863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Reasons for Emergency Department Visits:</w:t>
            </w:r>
          </w:p>
          <w:p w14:paraId="682E3742"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Pain (5 cases), </w:t>
            </w:r>
          </w:p>
          <w:p w14:paraId="500AD72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Respiratory distress (4 cases), Falls (3 cases), Delirium (3 cases), among others.</w:t>
            </w:r>
          </w:p>
          <w:p w14:paraId="4AED273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r>
      <w:tr w:rsidR="00557D21" w:rsidRPr="00AF5513" w14:paraId="37F195FC" w14:textId="77777777" w:rsidTr="00D23D0C">
        <w:tc>
          <w:tcPr>
            <w:tcW w:w="2257" w:type="dxa"/>
          </w:tcPr>
          <w:p w14:paraId="1EC401C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17. Querido &amp; Laranjeira (2023) </w:t>
            </w:r>
            <w:r w:rsidRPr="00AF5513">
              <w:rPr>
                <w:rFonts w:ascii="Times New Roman" w:hAnsi="Times New Roman" w:cs="Times New Roman"/>
                <w:szCs w:val="24"/>
                <w:vertAlign w:val="superscript"/>
              </w:rPr>
              <w:t>28</w:t>
            </w:r>
          </w:p>
          <w:p w14:paraId="608600C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-Portugal </w:t>
            </w:r>
          </w:p>
          <w:p w14:paraId="0FD8639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Randomized Controlled Trial </w:t>
            </w:r>
          </w:p>
          <w:p w14:paraId="7B71E33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MMAT score 80</w:t>
            </w:r>
            <w:r w:rsidRPr="00AF5513">
              <w:rPr>
                <w:rFonts w:ascii="Times New Roman" w:hAnsi="Times New Roman" w:cs="Times New Roman"/>
                <w:b/>
                <w:bCs/>
                <w:szCs w:val="24"/>
              </w:rPr>
              <w:t xml:space="preserve"> </w:t>
            </w:r>
          </w:p>
        </w:tc>
        <w:tc>
          <w:tcPr>
            <w:tcW w:w="2283" w:type="dxa"/>
          </w:tcPr>
          <w:p w14:paraId="5B26676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56 (28 / 28)</w:t>
            </w:r>
          </w:p>
          <w:p w14:paraId="6B59E40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w:t>
            </w:r>
          </w:p>
          <w:p w14:paraId="728F072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Advanced chronic illness (Cancer and Non-cancer)</w:t>
            </w:r>
          </w:p>
          <w:p w14:paraId="7411B4E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(Home care teams)</w:t>
            </w:r>
          </w:p>
        </w:tc>
        <w:tc>
          <w:tcPr>
            <w:tcW w:w="2543" w:type="dxa"/>
          </w:tcPr>
          <w:p w14:paraId="6657325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focused on community support for chronic illness patients.</w:t>
            </w:r>
          </w:p>
          <w:p w14:paraId="3A32A3F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community health workers and volunteers.</w:t>
            </w:r>
          </w:p>
          <w:p w14:paraId="43C8562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education about disease management.</w:t>
            </w:r>
          </w:p>
          <w:p w14:paraId="779EDF5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-Workshops occur twice a month for 6 months.</w:t>
            </w:r>
          </w:p>
          <w:p w14:paraId="24EA7155"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aimed to enhance self-management skills.</w:t>
            </w:r>
          </w:p>
          <w:p w14:paraId="510A9F3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joined support groups for sharing experiences.</w:t>
            </w:r>
          </w:p>
        </w:tc>
        <w:tc>
          <w:tcPr>
            <w:tcW w:w="3544" w:type="dxa"/>
          </w:tcPr>
          <w:p w14:paraId="1F8B234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-Hope: Measurement tool: Herth Hope Index (HHI)</w:t>
            </w:r>
          </w:p>
          <w:p w14:paraId="37D51EE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Results: Increase in total hope scores in the intervention group after 15 days (T1 to T2): Mean increase: +3.5 (p = 0.042). One month later (T1 to T3):</w:t>
            </w:r>
          </w:p>
          <w:p w14:paraId="060F620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Mean increase: +2.0 (p = 0.033)</w:t>
            </w:r>
          </w:p>
          <w:p w14:paraId="173085C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-Comfort: Measurement tool: Hospice Comfort Questionnaire. Results: Increase in global comfort scores in the intervention group one month after (T1 to T3):</w:t>
            </w:r>
          </w:p>
          <w:p w14:paraId="3B88F7F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Increase: +13.5 (p = 0.018). </w:t>
            </w:r>
          </w:p>
          <w:p w14:paraId="109D7BF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-QoL, Measurement tool: McGill QoL Questionnaire. Results:</w:t>
            </w:r>
          </w:p>
          <w:p w14:paraId="04A8DC1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No significant differences in QoL scores identified between groups throughout the assessments, although increases were noted.</w:t>
            </w:r>
          </w:p>
        </w:tc>
        <w:tc>
          <w:tcPr>
            <w:tcW w:w="3321" w:type="dxa"/>
          </w:tcPr>
          <w:p w14:paraId="5D111F4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-Increased Positive Inner Disposition and Expectations: Significant improvements in this subcategory of hope were noted post-intervention (T1 to T2), detailing heightened capacity to maintain hope.</w:t>
            </w:r>
          </w:p>
          <w:p w14:paraId="74E998F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-Perceived Improvement in Comfort Levels: Participants reported feeling more comfortable and at ease due to the structured activities and interventions suggested in the Hope Promotion Program.</w:t>
            </w:r>
          </w:p>
          <w:p w14:paraId="409F3CF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-Transcendence: Participants noted qualitative improvements in their ability to cope with their illness, with significant changes observed in transcendence levels from T2 to T3 (p = 0.024).</w:t>
            </w:r>
          </w:p>
        </w:tc>
      </w:tr>
      <w:tr w:rsidR="00557D21" w:rsidRPr="00AF5513" w14:paraId="18E89EFC" w14:textId="77777777" w:rsidTr="00D23D0C">
        <w:tc>
          <w:tcPr>
            <w:tcW w:w="2257" w:type="dxa"/>
          </w:tcPr>
          <w:p w14:paraId="4A13B35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18. Boogaard et al. (2018)</w:t>
            </w:r>
            <w:r w:rsidRPr="00AF5513">
              <w:rPr>
                <w:rFonts w:ascii="Times New Roman" w:hAnsi="Times New Roman" w:cs="Times New Roman"/>
                <w:szCs w:val="24"/>
                <w:vertAlign w:val="superscript"/>
              </w:rPr>
              <w:t xml:space="preserve">18 </w:t>
            </w:r>
          </w:p>
          <w:p w14:paraId="70D520A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-Netherland</w:t>
            </w:r>
          </w:p>
          <w:p w14:paraId="3B5251A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Randomized Controlled Trial (Cost Analysis) </w:t>
            </w:r>
          </w:p>
          <w:p w14:paraId="60143DE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p w14:paraId="0396A70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283" w:type="dxa"/>
          </w:tcPr>
          <w:p w14:paraId="4592533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380 (190 / 190)</w:t>
            </w:r>
          </w:p>
          <w:p w14:paraId="198E599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Late-stage chronic illnesses (COPD, HF, Cancer, etc.)</w:t>
            </w:r>
          </w:p>
          <w:p w14:paraId="0510BB9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(Home-based palliative care)</w:t>
            </w:r>
          </w:p>
        </w:tc>
        <w:tc>
          <w:tcPr>
            <w:tcW w:w="2543" w:type="dxa"/>
          </w:tcPr>
          <w:p w14:paraId="6DF89A3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program aimed to support patients with life-limiting conditions.</w:t>
            </w:r>
          </w:p>
          <w:p w14:paraId="7541297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-Teams included nurse practitioners and social workers.</w:t>
            </w:r>
          </w:p>
          <w:p w14:paraId="5FDF987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-Patients received tailored care plans.</w:t>
            </w:r>
          </w:p>
          <w:p w14:paraId="1FE8BA9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-Follow-ups were conducted every month for 12 months.</w:t>
            </w:r>
          </w:p>
          <w:p w14:paraId="3E49FC0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-The intervention focused on pain management and emotional support.</w:t>
            </w:r>
          </w:p>
          <w:p w14:paraId="375690F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-Families participated in care planning and education sessions.</w:t>
            </w:r>
          </w:p>
        </w:tc>
        <w:tc>
          <w:tcPr>
            <w:tcW w:w="3544" w:type="dxa"/>
          </w:tcPr>
          <w:p w14:paraId="0F03B68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-Patient Satisfaction, Rating Scale: 1 to 10. Overall Satisfaction Scores, Scores above 9 for overall clinic satisfaction.</w:t>
            </w:r>
          </w:p>
          <w:p w14:paraId="1C7D793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Satisfaction Areas:</w:t>
            </w:r>
          </w:p>
          <w:p w14:paraId="149FDA3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Concerns addressed, emotional needs met, likelihood of recommending the clinic.</w:t>
            </w:r>
          </w:p>
          <w:p w14:paraId="53845D4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Duration of Appointments: New Patient Encounters: Average duration: 123 minutes.</w:t>
            </w:r>
          </w:p>
          <w:p w14:paraId="17FA739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Return Patient Encounters: Average duration: 102 minutes.</w:t>
            </w:r>
          </w:p>
          <w:p w14:paraId="7E3012D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Visit Length Feedback: 72% felt visits were appropriately timed.</w:t>
            </w:r>
          </w:p>
          <w:p w14:paraId="154F661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Referrals and Reasons: Total Patients Seen: 96, Common Reasons for Referral: Psychosocial support: 59 patients</w:t>
            </w:r>
          </w:p>
          <w:p w14:paraId="220BA19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Complex symptom management: 56 patients. Advanced care planning: 41 patients</w:t>
            </w:r>
          </w:p>
          <w:p w14:paraId="3342407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Caregiver support: 41 patients</w:t>
            </w:r>
          </w:p>
          <w:p w14:paraId="0FB1158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Compliance with Advance Directives: Established prior to </w:t>
            </w:r>
            <w:r w:rsidRPr="00AF5513">
              <w:rPr>
                <w:rFonts w:ascii="Times New Roman" w:hAnsi="Times New Roman" w:cs="Times New Roman"/>
                <w:szCs w:val="24"/>
              </w:rPr>
              <w:lastRenderedPageBreak/>
              <w:t>visit for 65 (68%) patients. Completed at the initial visit for 22 (23%).</w:t>
            </w:r>
          </w:p>
        </w:tc>
        <w:tc>
          <w:tcPr>
            <w:tcW w:w="3321" w:type="dxa"/>
          </w:tcPr>
          <w:p w14:paraId="17941AF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Feedback on Clinic Structure: Patients expressed appreciation for the thoroughness of evaluations and the collaborative approach of the care team. Request for more time spent on educational topics, particularly regarding diagnosis and prognosis.</w:t>
            </w:r>
          </w:p>
          <w:p w14:paraId="27DB225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Emotional and Spiritual Support: Patients reported significant engagement with the chaplain regarding spiritual matters and difficult emotions. Positive reflections on the emotional support provided by the team.</w:t>
            </w:r>
          </w:p>
          <w:p w14:paraId="1CC033D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Perceived Gaps and Improvements:</w:t>
            </w:r>
          </w:p>
          <w:p w14:paraId="1490FA8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Some patients indicated a desire for better communication between team members and more individualized attention during visits.</w:t>
            </w:r>
          </w:p>
        </w:tc>
      </w:tr>
      <w:tr w:rsidR="00557D21" w:rsidRPr="00AF5513" w14:paraId="4FAA8BCF" w14:textId="77777777" w:rsidTr="00D23D0C">
        <w:tc>
          <w:tcPr>
            <w:tcW w:w="2257" w:type="dxa"/>
          </w:tcPr>
          <w:p w14:paraId="2F27E00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19. Vélez-López et al. (2025)</w:t>
            </w:r>
            <w:r w:rsidRPr="00AF5513">
              <w:rPr>
                <w:rFonts w:ascii="Times New Roman" w:hAnsi="Times New Roman" w:cs="Times New Roman"/>
                <w:szCs w:val="24"/>
                <w:vertAlign w:val="superscript"/>
              </w:rPr>
              <w:t xml:space="preserve"> 27</w:t>
            </w:r>
          </w:p>
          <w:p w14:paraId="27C9FBA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w:t>
            </w:r>
            <w:r w:rsidRPr="00AF5513">
              <w:rPr>
                <w:rFonts w:ascii="DM Sans" w:eastAsia="Times New Roman" w:hAnsi="DM Sans" w:cs="Angsana New"/>
                <w:kern w:val="0"/>
                <w:szCs w:val="24"/>
                <w14:ligatures w14:val="none"/>
              </w:rPr>
              <w:t xml:space="preserve"> </w:t>
            </w:r>
            <w:r w:rsidRPr="00AF5513">
              <w:rPr>
                <w:rFonts w:ascii="Times New Roman" w:hAnsi="Times New Roman" w:cs="Times New Roman"/>
                <w:szCs w:val="24"/>
              </w:rPr>
              <w:t>Spain</w:t>
            </w:r>
          </w:p>
          <w:p w14:paraId="0AC9103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Non-randomized Study (Quasi-experimental) </w:t>
            </w:r>
          </w:p>
          <w:p w14:paraId="5E7FC4D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100</w:t>
            </w:r>
          </w:p>
          <w:p w14:paraId="66AED15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283" w:type="dxa"/>
          </w:tcPr>
          <w:p w14:paraId="5BA26FD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-N: 128 (64 / 64)</w:t>
            </w:r>
          </w:p>
          <w:p w14:paraId="01A88404"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-Diagnosis: </w:t>
            </w:r>
          </w:p>
          <w:p w14:paraId="38DD2DD3"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Advanced cancer</w:t>
            </w:r>
          </w:p>
          <w:p w14:paraId="1833BD1D"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-Setting: Home (Community-based palliative care)</w:t>
            </w:r>
          </w:p>
        </w:tc>
        <w:tc>
          <w:tcPr>
            <w:tcW w:w="2543" w:type="dxa"/>
          </w:tcPr>
          <w:p w14:paraId="13EACF1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focused on care for patients with advanced heart failure.</w:t>
            </w:r>
          </w:p>
          <w:p w14:paraId="321758C2"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cardiologists and nurse coordinators.</w:t>
            </w:r>
          </w:p>
          <w:p w14:paraId="44B4D52E"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monitoring for symptoms and medication.</w:t>
            </w:r>
          </w:p>
          <w:p w14:paraId="68632338"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-Weekly check-ins lasted for 6 months.</w:t>
            </w:r>
          </w:p>
          <w:p w14:paraId="3E4B0F8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aimed to improve quality of life.</w:t>
            </w:r>
          </w:p>
          <w:p w14:paraId="60A0B039"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-Education sessions were held for patients and families.</w:t>
            </w:r>
          </w:p>
        </w:tc>
        <w:tc>
          <w:tcPr>
            <w:tcW w:w="3544" w:type="dxa"/>
          </w:tcPr>
          <w:p w14:paraId="0F955B4B"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PC Knowledge,</w:t>
            </w:r>
          </w:p>
          <w:p w14:paraId="6FDC04E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Measured by PC Knowledge Scale</w:t>
            </w:r>
          </w:p>
          <w:p w14:paraId="66B484F4"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Results: Improvement in the experimental group from a mean of 13.05 to 13.53 (p = 0.007). Control group scores remained approximately the same, from 14.38 to 14.41 (p = 0.694).</w:t>
            </w:r>
          </w:p>
          <w:p w14:paraId="365D74A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Caregiver Overload, Measured by: Zarit Caregiver Burden Scale</w:t>
            </w:r>
          </w:p>
          <w:p w14:paraId="3A514013"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Results: Experimental group scores decreased from 18.38 (SD: 6.57) to 17.13 (p = 0.097). Control group scores increased from 18.78 (SD: 6.67) to 20.25 (p = 0.003).</w:t>
            </w:r>
          </w:p>
          <w:p w14:paraId="5A13FA1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Anxiety: Measured by: Goldberg Anxiety Scale</w:t>
            </w:r>
          </w:p>
          <w:p w14:paraId="4B6DE80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Results: Experimental group anxiety decreased from a mean of 4.25 to 3.40 (p = 0.117). Control group anxiety increased from 4.98 to 5.08 (p = 0.815). Depression: </w:t>
            </w:r>
            <w:r w:rsidRPr="00AF5513">
              <w:rPr>
                <w:rFonts w:ascii="Times New Roman" w:hAnsi="Times New Roman" w:cs="Times New Roman"/>
                <w:szCs w:val="24"/>
              </w:rPr>
              <w:lastRenderedPageBreak/>
              <w:t>Measured by: Goldberg Depression Scale. Results: Experimental group depression scores decreased from 2.75 to 2.40 (p = 0.591). Control group depression increased from 2.83 to 2.90 (p = 0.004).</w:t>
            </w:r>
          </w:p>
          <w:p w14:paraId="526AF356"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Self-Perceived Health: Measured by: EQ-5D Scale. Results: Experimental group self-perceptions improved from 64.13 to 70.12 (p = 0.018). Control group decreased from 65.75 to 64.5 (p = 0.297).</w:t>
            </w:r>
          </w:p>
        </w:tc>
        <w:tc>
          <w:tcPr>
            <w:tcW w:w="3321" w:type="dxa"/>
          </w:tcPr>
          <w:p w14:paraId="6C061D2E"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 xml:space="preserve">Participants' Satisfaction: Participants expressed high satisfaction with educational interventions and reported feeling better equipped to manage caregiving responsibilities. Improvement in Emotional Support: Informal caregivers reported feeling more emotionally supported </w:t>
            </w:r>
            <w:proofErr w:type="gramStart"/>
            <w:r w:rsidRPr="00AF5513">
              <w:rPr>
                <w:rFonts w:ascii="Times New Roman" w:hAnsi="Times New Roman" w:cs="Times New Roman"/>
                <w:szCs w:val="24"/>
              </w:rPr>
              <w:t>as a result of</w:t>
            </w:r>
            <w:proofErr w:type="gramEnd"/>
            <w:r w:rsidRPr="00AF5513">
              <w:rPr>
                <w:rFonts w:ascii="Times New Roman" w:hAnsi="Times New Roman" w:cs="Times New Roman"/>
                <w:szCs w:val="24"/>
              </w:rPr>
              <w:t xml:space="preserve"> community participation and the knowledge gained during the educational workshops.</w:t>
            </w:r>
          </w:p>
          <w:p w14:paraId="419A5FFA"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Creation of Support Networks: Caregivers indicated that the program fostered connections among participants, leading to shared experiences and mutual assistance within their community.</w:t>
            </w:r>
          </w:p>
          <w:p w14:paraId="5A60D3C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p>
        </w:tc>
      </w:tr>
      <w:tr w:rsidR="00557D21" w:rsidRPr="00AF5513" w14:paraId="76A58F92" w14:textId="77777777" w:rsidTr="00D23D0C">
        <w:tc>
          <w:tcPr>
            <w:tcW w:w="2257" w:type="dxa"/>
          </w:tcPr>
          <w:p w14:paraId="5CC25558"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20. Hosseini et al. (2025) </w:t>
            </w:r>
            <w:r w:rsidRPr="00AF5513">
              <w:rPr>
                <w:rFonts w:ascii="Times New Roman" w:hAnsi="Times New Roman" w:cs="Times New Roman"/>
                <w:szCs w:val="24"/>
                <w:vertAlign w:val="superscript"/>
              </w:rPr>
              <w:t>25</w:t>
            </w:r>
            <w:r w:rsidRPr="00AF5513">
              <w:rPr>
                <w:rFonts w:ascii="Times New Roman" w:hAnsi="Times New Roman" w:cs="Times New Roman"/>
                <w:szCs w:val="24"/>
              </w:rPr>
              <w:t xml:space="preserve"> </w:t>
            </w:r>
          </w:p>
          <w:p w14:paraId="2651064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-Iran </w:t>
            </w:r>
          </w:p>
          <w:p w14:paraId="0D6BC96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-Quantitative Randomized Controlled Trial </w:t>
            </w:r>
          </w:p>
          <w:p w14:paraId="7B1A8A4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-MMAT score 80</w:t>
            </w:r>
          </w:p>
          <w:p w14:paraId="4437840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p>
        </w:tc>
        <w:tc>
          <w:tcPr>
            <w:tcW w:w="2283" w:type="dxa"/>
          </w:tcPr>
          <w:p w14:paraId="20D20B3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-N: 120 (60 / 60)</w:t>
            </w:r>
          </w:p>
          <w:p w14:paraId="3504252D"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-Diagnosis: </w:t>
            </w:r>
          </w:p>
          <w:p w14:paraId="7B13090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Advanced cancer</w:t>
            </w:r>
          </w:p>
          <w:p w14:paraId="244E885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-Setting: Home (Integrated with Primary Health Care)</w:t>
            </w:r>
          </w:p>
        </w:tc>
        <w:tc>
          <w:tcPr>
            <w:tcW w:w="2543" w:type="dxa"/>
          </w:tcPr>
          <w:p w14:paraId="73D25FC7"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program targeted improving diabetes care for patients.</w:t>
            </w:r>
          </w:p>
          <w:p w14:paraId="68B14921"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-Teams included dietitians and diabetes educators.</w:t>
            </w:r>
          </w:p>
          <w:p w14:paraId="744F704B"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-Patients received personalized meal plans and education.</w:t>
            </w:r>
          </w:p>
          <w:p w14:paraId="2693F05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intervention lasted for 3 months.</w:t>
            </w:r>
          </w:p>
          <w:p w14:paraId="1479418F"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-Weekly group sessions provided support and resources.</w:t>
            </w:r>
          </w:p>
          <w:p w14:paraId="0AD4C4A6"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t>-The goal was to enhance self-management and health outcomes.</w:t>
            </w:r>
          </w:p>
        </w:tc>
        <w:tc>
          <w:tcPr>
            <w:tcW w:w="3544" w:type="dxa"/>
          </w:tcPr>
          <w:p w14:paraId="1F88C28A" w14:textId="77777777" w:rsidR="00557D21" w:rsidRPr="00AF5513" w:rsidRDefault="00557D21" w:rsidP="00D23D0C">
            <w:pPr>
              <w:shd w:val="clear" w:color="auto" w:fill="FFFFFF" w:themeFill="background1"/>
              <w:spacing w:line="276" w:lineRule="auto"/>
              <w:rPr>
                <w:rFonts w:ascii="Times New Roman" w:hAnsi="Times New Roman" w:cs="Times New Roman"/>
                <w:szCs w:val="24"/>
              </w:rPr>
            </w:pPr>
            <w:r w:rsidRPr="00AF5513">
              <w:rPr>
                <w:rFonts w:ascii="Times New Roman" w:hAnsi="Times New Roman" w:cs="Times New Roman"/>
                <w:szCs w:val="24"/>
              </w:rPr>
              <w:lastRenderedPageBreak/>
              <w:t>- QoL Measured using the Palliative Care Outcome Scale (POS).</w:t>
            </w:r>
          </w:p>
          <w:p w14:paraId="5C9BDE61"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 xml:space="preserve">Before Intervention: Mean score in the intervention group was 22.21 ± 2.98; control group was 21.88 ± 2.55. After Intervention: Mean score in the intervention group was 17.98 ± 2.88; control group was 21.83 ± 2.69. p &lt; 0. 001.Mean </w:t>
            </w:r>
            <w:r w:rsidRPr="00AF5513">
              <w:rPr>
                <w:rFonts w:ascii="Times New Roman" w:hAnsi="Times New Roman" w:cs="Times New Roman"/>
                <w:szCs w:val="24"/>
              </w:rPr>
              <w:lastRenderedPageBreak/>
              <w:t>change(intervention): 4.23 ± 2.83; mean change (control): 0.5 ± 0.72. Different changes are statistically significant: p &lt; 0.001.</w:t>
            </w:r>
          </w:p>
        </w:tc>
        <w:tc>
          <w:tcPr>
            <w:tcW w:w="3321" w:type="dxa"/>
          </w:tcPr>
          <w:p w14:paraId="62AF1C8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-In-depth Interviews, Subjective experiences of patients regarding care and QoL.</w:t>
            </w:r>
          </w:p>
          <w:p w14:paraId="72E7744F"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b/>
                <w:bCs/>
                <w:szCs w:val="24"/>
              </w:rPr>
              <w:t>-</w:t>
            </w:r>
            <w:r w:rsidRPr="00AF5513">
              <w:rPr>
                <w:rFonts w:ascii="Times New Roman" w:hAnsi="Times New Roman" w:cs="Times New Roman"/>
                <w:szCs w:val="24"/>
              </w:rPr>
              <w:t>Open-ended Questionnaires, Insights on patient satisfaction and emotional well-being.</w:t>
            </w:r>
          </w:p>
          <w:p w14:paraId="3465FD27"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-Focus Groups: Discussions among patients and families on shared experiences.</w:t>
            </w:r>
          </w:p>
          <w:p w14:paraId="47AD7DC9"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Key Themes Identified</w:t>
            </w:r>
          </w:p>
          <w:p w14:paraId="65BF5FD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lastRenderedPageBreak/>
              <w:t>-Improved dignity and respect in care.</w:t>
            </w:r>
          </w:p>
          <w:p w14:paraId="79CC6A15"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-Enhanced security and support during treatment.</w:t>
            </w:r>
          </w:p>
          <w:p w14:paraId="320EA390" w14:textId="77777777" w:rsidR="00557D21" w:rsidRPr="00AF5513" w:rsidRDefault="00557D21" w:rsidP="00D23D0C">
            <w:pPr>
              <w:shd w:val="clear" w:color="auto" w:fill="FFFFFF" w:themeFill="background1"/>
              <w:spacing w:line="276" w:lineRule="auto"/>
              <w:jc w:val="thaiDistribute"/>
              <w:rPr>
                <w:rFonts w:ascii="Times New Roman" w:hAnsi="Times New Roman" w:cs="Times New Roman"/>
                <w:szCs w:val="24"/>
              </w:rPr>
            </w:pPr>
            <w:r w:rsidRPr="00AF5513">
              <w:rPr>
                <w:rFonts w:ascii="Times New Roman" w:hAnsi="Times New Roman" w:cs="Times New Roman"/>
                <w:szCs w:val="24"/>
              </w:rPr>
              <w:t>-Increased empowerment in health management.</w:t>
            </w:r>
          </w:p>
        </w:tc>
      </w:tr>
      <w:bookmarkEnd w:id="0"/>
    </w:tbl>
    <w:p w14:paraId="24AB9237" w14:textId="77777777" w:rsidR="00557D21" w:rsidRDefault="00557D21"/>
    <w:sectPr w:rsidR="00557D21" w:rsidSect="00557D2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DM Sans">
    <w:charset w:val="00"/>
    <w:family w:val="auto"/>
    <w:pitch w:val="variable"/>
    <w:sig w:usb0="8000002F" w:usb1="5000205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A6664"/>
    <w:multiLevelType w:val="hybridMultilevel"/>
    <w:tmpl w:val="086C760A"/>
    <w:lvl w:ilvl="0" w:tplc="E6608E70">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251447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D21"/>
    <w:rsid w:val="0019243D"/>
    <w:rsid w:val="002A28EA"/>
    <w:rsid w:val="0055391D"/>
    <w:rsid w:val="00557D21"/>
    <w:rsid w:val="00C17922"/>
    <w:rsid w:val="00C622CB"/>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D7992"/>
  <w15:chartTrackingRefBased/>
  <w15:docId w15:val="{1148D1D1-A5FC-4C1D-BF65-040D6B34A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7D21"/>
  </w:style>
  <w:style w:type="paragraph" w:styleId="1">
    <w:name w:val="heading 1"/>
    <w:basedOn w:val="a"/>
    <w:next w:val="a"/>
    <w:link w:val="10"/>
    <w:uiPriority w:val="9"/>
    <w:qFormat/>
    <w:rsid w:val="00557D21"/>
    <w:pPr>
      <w:keepNext/>
      <w:keepLines/>
      <w:spacing w:before="320" w:after="40"/>
      <w:outlineLvl w:val="0"/>
    </w:pPr>
    <w:rPr>
      <w:rFonts w:asciiTheme="majorHAnsi" w:eastAsiaTheme="majorEastAsia" w:hAnsiTheme="majorHAnsi" w:cstheme="majorBidi"/>
      <w:color w:val="0F4761" w:themeColor="accent1" w:themeShade="BF"/>
      <w:sz w:val="40"/>
      <w:szCs w:val="50"/>
    </w:rPr>
  </w:style>
  <w:style w:type="paragraph" w:styleId="2">
    <w:name w:val="heading 2"/>
    <w:basedOn w:val="a"/>
    <w:next w:val="a"/>
    <w:link w:val="20"/>
    <w:uiPriority w:val="9"/>
    <w:semiHidden/>
    <w:unhideWhenUsed/>
    <w:qFormat/>
    <w:rsid w:val="00557D21"/>
    <w:pPr>
      <w:keepNext/>
      <w:keepLines/>
      <w:spacing w:before="120" w:after="40"/>
      <w:outlineLvl w:val="1"/>
    </w:pPr>
    <w:rPr>
      <w:rFonts w:asciiTheme="majorHAnsi" w:eastAsiaTheme="majorEastAsia" w:hAnsiTheme="majorHAnsi" w:cstheme="majorBidi"/>
      <w:color w:val="0F4761" w:themeColor="accent1" w:themeShade="BF"/>
      <w:sz w:val="32"/>
      <w:szCs w:val="40"/>
    </w:rPr>
  </w:style>
  <w:style w:type="paragraph" w:styleId="3">
    <w:name w:val="heading 3"/>
    <w:basedOn w:val="a"/>
    <w:next w:val="a"/>
    <w:link w:val="30"/>
    <w:uiPriority w:val="9"/>
    <w:semiHidden/>
    <w:unhideWhenUsed/>
    <w:qFormat/>
    <w:rsid w:val="00557D21"/>
    <w:pPr>
      <w:keepNext/>
      <w:keepLines/>
      <w:spacing w:before="120" w:after="40"/>
      <w:outlineLvl w:val="2"/>
    </w:pPr>
    <w:rPr>
      <w:rFonts w:eastAsiaTheme="majorEastAsia" w:cstheme="majorBidi"/>
      <w:color w:val="0F4761" w:themeColor="accent1" w:themeShade="BF"/>
      <w:sz w:val="28"/>
      <w:szCs w:val="35"/>
    </w:rPr>
  </w:style>
  <w:style w:type="paragraph" w:styleId="4">
    <w:name w:val="heading 4"/>
    <w:basedOn w:val="a"/>
    <w:next w:val="a"/>
    <w:link w:val="40"/>
    <w:uiPriority w:val="9"/>
    <w:semiHidden/>
    <w:unhideWhenUsed/>
    <w:qFormat/>
    <w:rsid w:val="00557D2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57D2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57D2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57D2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57D2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57D2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หัวเรื่อง 1 อักขระ"/>
    <w:basedOn w:val="a0"/>
    <w:link w:val="1"/>
    <w:uiPriority w:val="9"/>
    <w:rsid w:val="00557D21"/>
    <w:rPr>
      <w:rFonts w:asciiTheme="majorHAnsi" w:eastAsiaTheme="majorEastAsia" w:hAnsiTheme="majorHAnsi" w:cstheme="majorBidi"/>
      <w:color w:val="0F4761" w:themeColor="accent1" w:themeShade="BF"/>
      <w:sz w:val="40"/>
      <w:szCs w:val="50"/>
    </w:rPr>
  </w:style>
  <w:style w:type="character" w:customStyle="1" w:styleId="20">
    <w:name w:val="หัวเรื่อง 2 อักขระ"/>
    <w:basedOn w:val="a0"/>
    <w:link w:val="2"/>
    <w:uiPriority w:val="9"/>
    <w:semiHidden/>
    <w:rsid w:val="00557D21"/>
    <w:rPr>
      <w:rFonts w:asciiTheme="majorHAnsi" w:eastAsiaTheme="majorEastAsia" w:hAnsiTheme="majorHAnsi" w:cstheme="majorBidi"/>
      <w:color w:val="0F4761" w:themeColor="accent1" w:themeShade="BF"/>
      <w:sz w:val="32"/>
      <w:szCs w:val="40"/>
    </w:rPr>
  </w:style>
  <w:style w:type="character" w:customStyle="1" w:styleId="30">
    <w:name w:val="หัวเรื่อง 3 อักขระ"/>
    <w:basedOn w:val="a0"/>
    <w:link w:val="3"/>
    <w:uiPriority w:val="9"/>
    <w:semiHidden/>
    <w:rsid w:val="00557D21"/>
    <w:rPr>
      <w:rFonts w:eastAsiaTheme="majorEastAsia" w:cstheme="majorBidi"/>
      <w:color w:val="0F4761" w:themeColor="accent1" w:themeShade="BF"/>
      <w:sz w:val="28"/>
      <w:szCs w:val="35"/>
    </w:rPr>
  </w:style>
  <w:style w:type="character" w:customStyle="1" w:styleId="40">
    <w:name w:val="หัวเรื่อง 4 อักขระ"/>
    <w:basedOn w:val="a0"/>
    <w:link w:val="4"/>
    <w:uiPriority w:val="9"/>
    <w:semiHidden/>
    <w:rsid w:val="00557D21"/>
    <w:rPr>
      <w:rFonts w:eastAsiaTheme="majorEastAsia" w:cstheme="majorBidi"/>
      <w:i/>
      <w:iCs/>
      <w:color w:val="0F4761" w:themeColor="accent1" w:themeShade="BF"/>
    </w:rPr>
  </w:style>
  <w:style w:type="character" w:customStyle="1" w:styleId="50">
    <w:name w:val="หัวเรื่อง 5 อักขระ"/>
    <w:basedOn w:val="a0"/>
    <w:link w:val="5"/>
    <w:uiPriority w:val="9"/>
    <w:semiHidden/>
    <w:rsid w:val="00557D21"/>
    <w:rPr>
      <w:rFonts w:eastAsiaTheme="majorEastAsia" w:cstheme="majorBidi"/>
      <w:color w:val="0F4761" w:themeColor="accent1" w:themeShade="BF"/>
    </w:rPr>
  </w:style>
  <w:style w:type="character" w:customStyle="1" w:styleId="60">
    <w:name w:val="หัวเรื่อง 6 อักขระ"/>
    <w:basedOn w:val="a0"/>
    <w:link w:val="6"/>
    <w:uiPriority w:val="9"/>
    <w:semiHidden/>
    <w:rsid w:val="00557D21"/>
    <w:rPr>
      <w:rFonts w:eastAsiaTheme="majorEastAsia" w:cstheme="majorBidi"/>
      <w:i/>
      <w:iCs/>
      <w:color w:val="595959" w:themeColor="text1" w:themeTint="A6"/>
    </w:rPr>
  </w:style>
  <w:style w:type="character" w:customStyle="1" w:styleId="70">
    <w:name w:val="หัวเรื่อง 7 อักขระ"/>
    <w:basedOn w:val="a0"/>
    <w:link w:val="7"/>
    <w:uiPriority w:val="9"/>
    <w:semiHidden/>
    <w:rsid w:val="00557D21"/>
    <w:rPr>
      <w:rFonts w:eastAsiaTheme="majorEastAsia" w:cstheme="majorBidi"/>
      <w:color w:val="595959" w:themeColor="text1" w:themeTint="A6"/>
    </w:rPr>
  </w:style>
  <w:style w:type="character" w:customStyle="1" w:styleId="80">
    <w:name w:val="หัวเรื่อง 8 อักขระ"/>
    <w:basedOn w:val="a0"/>
    <w:link w:val="8"/>
    <w:uiPriority w:val="9"/>
    <w:semiHidden/>
    <w:rsid w:val="00557D21"/>
    <w:rPr>
      <w:rFonts w:eastAsiaTheme="majorEastAsia" w:cstheme="majorBidi"/>
      <w:i/>
      <w:iCs/>
      <w:color w:val="272727" w:themeColor="text1" w:themeTint="D8"/>
    </w:rPr>
  </w:style>
  <w:style w:type="character" w:customStyle="1" w:styleId="90">
    <w:name w:val="หัวเรื่อง 9 อักขระ"/>
    <w:basedOn w:val="a0"/>
    <w:link w:val="9"/>
    <w:uiPriority w:val="9"/>
    <w:semiHidden/>
    <w:rsid w:val="00557D21"/>
    <w:rPr>
      <w:rFonts w:eastAsiaTheme="majorEastAsia" w:cstheme="majorBidi"/>
      <w:color w:val="272727" w:themeColor="text1" w:themeTint="D8"/>
    </w:rPr>
  </w:style>
  <w:style w:type="paragraph" w:styleId="a3">
    <w:name w:val="Title"/>
    <w:basedOn w:val="a"/>
    <w:next w:val="a"/>
    <w:link w:val="a4"/>
    <w:uiPriority w:val="10"/>
    <w:qFormat/>
    <w:rsid w:val="00557D21"/>
    <w:pPr>
      <w:spacing w:after="40"/>
      <w:contextualSpacing/>
    </w:pPr>
    <w:rPr>
      <w:rFonts w:asciiTheme="majorHAnsi" w:eastAsiaTheme="majorEastAsia" w:hAnsiTheme="majorHAnsi" w:cstheme="majorBidi"/>
      <w:spacing w:val="-10"/>
      <w:kern w:val="28"/>
      <w:sz w:val="56"/>
      <w:szCs w:val="71"/>
    </w:rPr>
  </w:style>
  <w:style w:type="character" w:customStyle="1" w:styleId="a4">
    <w:name w:val="ชื่อเรื่อง อักขระ"/>
    <w:basedOn w:val="a0"/>
    <w:link w:val="a3"/>
    <w:uiPriority w:val="10"/>
    <w:rsid w:val="00557D21"/>
    <w:rPr>
      <w:rFonts w:asciiTheme="majorHAnsi" w:eastAsiaTheme="majorEastAsia" w:hAnsiTheme="majorHAnsi" w:cstheme="majorBidi"/>
      <w:spacing w:val="-10"/>
      <w:kern w:val="28"/>
      <w:sz w:val="56"/>
      <w:szCs w:val="71"/>
    </w:rPr>
  </w:style>
  <w:style w:type="paragraph" w:styleId="a5">
    <w:name w:val="Subtitle"/>
    <w:basedOn w:val="a"/>
    <w:next w:val="a"/>
    <w:link w:val="a6"/>
    <w:uiPriority w:val="11"/>
    <w:qFormat/>
    <w:rsid w:val="00557D21"/>
    <w:pPr>
      <w:numPr>
        <w:ilvl w:val="1"/>
      </w:numPr>
    </w:pPr>
    <w:rPr>
      <w:rFonts w:eastAsiaTheme="majorEastAsia" w:cstheme="majorBidi"/>
      <w:color w:val="595959" w:themeColor="text1" w:themeTint="A6"/>
      <w:spacing w:val="15"/>
      <w:sz w:val="28"/>
      <w:szCs w:val="35"/>
    </w:rPr>
  </w:style>
  <w:style w:type="character" w:customStyle="1" w:styleId="a6">
    <w:name w:val="ชื่อเรื่องรอง อักขระ"/>
    <w:basedOn w:val="a0"/>
    <w:link w:val="a5"/>
    <w:uiPriority w:val="11"/>
    <w:rsid w:val="00557D21"/>
    <w:rPr>
      <w:rFonts w:eastAsiaTheme="majorEastAsia" w:cstheme="majorBidi"/>
      <w:color w:val="595959" w:themeColor="text1" w:themeTint="A6"/>
      <w:spacing w:val="15"/>
      <w:sz w:val="28"/>
      <w:szCs w:val="35"/>
    </w:rPr>
  </w:style>
  <w:style w:type="paragraph" w:styleId="a7">
    <w:name w:val="Quote"/>
    <w:basedOn w:val="a"/>
    <w:next w:val="a"/>
    <w:link w:val="a8"/>
    <w:uiPriority w:val="29"/>
    <w:qFormat/>
    <w:rsid w:val="00557D21"/>
    <w:pPr>
      <w:spacing w:before="160"/>
      <w:jc w:val="center"/>
    </w:pPr>
    <w:rPr>
      <w:i/>
      <w:iCs/>
      <w:color w:val="404040" w:themeColor="text1" w:themeTint="BF"/>
    </w:rPr>
  </w:style>
  <w:style w:type="character" w:customStyle="1" w:styleId="a8">
    <w:name w:val="คำอ้างอิง อักขระ"/>
    <w:basedOn w:val="a0"/>
    <w:link w:val="a7"/>
    <w:uiPriority w:val="29"/>
    <w:rsid w:val="00557D21"/>
    <w:rPr>
      <w:i/>
      <w:iCs/>
      <w:color w:val="404040" w:themeColor="text1" w:themeTint="BF"/>
    </w:rPr>
  </w:style>
  <w:style w:type="paragraph" w:styleId="a9">
    <w:name w:val="List Paragraph"/>
    <w:basedOn w:val="a"/>
    <w:uiPriority w:val="99"/>
    <w:qFormat/>
    <w:rsid w:val="00557D21"/>
    <w:pPr>
      <w:ind w:left="720"/>
      <w:contextualSpacing/>
    </w:pPr>
  </w:style>
  <w:style w:type="character" w:styleId="aa">
    <w:name w:val="Intense Emphasis"/>
    <w:basedOn w:val="a0"/>
    <w:uiPriority w:val="21"/>
    <w:qFormat/>
    <w:rsid w:val="00557D21"/>
    <w:rPr>
      <w:i/>
      <w:iCs/>
      <w:color w:val="0F4761" w:themeColor="accent1" w:themeShade="BF"/>
    </w:rPr>
  </w:style>
  <w:style w:type="paragraph" w:styleId="ab">
    <w:name w:val="Intense Quote"/>
    <w:basedOn w:val="a"/>
    <w:next w:val="a"/>
    <w:link w:val="ac"/>
    <w:uiPriority w:val="30"/>
    <w:qFormat/>
    <w:rsid w:val="00557D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ทำให้คำอ้างอิงเป็นสีเข้มขึ้น อักขระ"/>
    <w:basedOn w:val="a0"/>
    <w:link w:val="ab"/>
    <w:uiPriority w:val="30"/>
    <w:rsid w:val="00557D21"/>
    <w:rPr>
      <w:i/>
      <w:iCs/>
      <w:color w:val="0F4761" w:themeColor="accent1" w:themeShade="BF"/>
    </w:rPr>
  </w:style>
  <w:style w:type="character" w:styleId="ad">
    <w:name w:val="Intense Reference"/>
    <w:basedOn w:val="a0"/>
    <w:uiPriority w:val="32"/>
    <w:qFormat/>
    <w:rsid w:val="00557D21"/>
    <w:rPr>
      <w:b/>
      <w:bCs/>
      <w:smallCaps/>
      <w:color w:val="0F4761" w:themeColor="accent1" w:themeShade="BF"/>
      <w:spacing w:val="5"/>
    </w:rPr>
  </w:style>
  <w:style w:type="table" w:styleId="ae">
    <w:name w:val="Table Grid"/>
    <w:basedOn w:val="a1"/>
    <w:uiPriority w:val="39"/>
    <w:rsid w:val="00557D2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5026</Words>
  <Characters>30508</Characters>
  <Application>Microsoft Office Word</Application>
  <DocSecurity>0</DocSecurity>
  <Lines>1694</Lines>
  <Paragraphs>634</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34900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Kanlayawee A</dc:creator>
  <cp:keywords/>
  <dc:description/>
  <cp:lastModifiedBy>Kanlayawee A</cp:lastModifiedBy>
  <cp:revision>4</cp:revision>
  <dcterms:created xsi:type="dcterms:W3CDTF">2026-02-02T13:30:00Z</dcterms:created>
  <dcterms:modified xsi:type="dcterms:W3CDTF">2026-02-03T03:17:00Z</dcterms:modified>
</cp:coreProperties>
</file>