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00" w:lineRule="exact"/>
        <w:jc w:val="center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Times New Roman" w:hAnsi="Times New Roman" w:eastAsia="宋体" w:cs="Times New Roman"/>
          <w:b/>
          <w:color w:val="000000"/>
          <w:kern w:val="0"/>
          <w:sz w:val="24"/>
          <w:szCs w:val="24"/>
        </w:rPr>
        <w:t xml:space="preserve">Table </w:t>
      </w:r>
      <w:r>
        <w:rPr>
          <w:rFonts w:ascii="Times New Roman" w:hAnsi="Times New Roman" w:eastAsia="宋体" w:cs="Times New Roman"/>
          <w:b/>
          <w:color w:val="000000"/>
          <w:kern w:val="0"/>
          <w:sz w:val="24"/>
          <w:szCs w:val="24"/>
        </w:rPr>
        <w:t>7-2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Statistical results of third-level indicators identified under Delphi method</w:t>
      </w:r>
    </w:p>
    <w:tbl>
      <w:tblPr>
        <w:tblStyle w:val="10"/>
        <w:tblW w:w="7800" w:type="dxa"/>
        <w:jc w:val="center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2"/>
        <w:gridCol w:w="1098"/>
        <w:gridCol w:w="887"/>
        <w:gridCol w:w="1083"/>
        <w:gridCol w:w="621"/>
        <w:gridCol w:w="70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  <w:t>Third-level indicators</w:t>
            </w:r>
          </w:p>
        </w:tc>
        <w:tc>
          <w:tcPr>
            <w:tcW w:w="109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M</w:t>
            </w:r>
          </w:p>
        </w:tc>
        <w:tc>
          <w:tcPr>
            <w:tcW w:w="88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Standard deviation</w:t>
            </w:r>
          </w:p>
        </w:tc>
        <w:tc>
          <w:tcPr>
            <w:tcW w:w="108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Coefficient of variation</w:t>
            </w:r>
          </w:p>
        </w:tc>
        <w:tc>
          <w:tcPr>
            <w:tcW w:w="62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K</w:t>
            </w:r>
          </w:p>
        </w:tc>
        <w:tc>
          <w:tcPr>
            <w:tcW w:w="70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tabs>
                <w:tab w:val="left" w:pos="284"/>
                <w:tab w:val="left" w:pos="567"/>
                <w:tab w:val="left" w:pos="709"/>
              </w:tabs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Q</w:t>
            </w:r>
            <w:r>
              <w:rPr>
                <w:rFonts w:ascii="Times New Roman" w:hAnsi="Times New Roman" w:eastAsia="仿宋" w:cs="Times New Roman"/>
                <w:sz w:val="18"/>
                <w:szCs w:val="18"/>
                <w:vertAlign w:val="subscript"/>
              </w:rPr>
              <w:t>+</w:t>
            </w: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-Q-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1.1.1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In-hospital training demonstration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0.805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1.1.2</w:t>
            </w:r>
            <w:r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Out-of-hospital training demonstration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3.476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1.078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1.2.1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T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echnical information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1.3.1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Providing technical solutions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1.3.2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Program completeness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1.4.1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Requirement Demonstration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1.161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0.294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1.5.1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Product category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3.333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 xml:space="preserve">1.6.1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Popularization and trial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2.1.1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Programme effectiveness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2.2.1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Contract arrival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2.2.2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Logistics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ervices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0.949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0.237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2.3.1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Accompanying documentation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2.4.1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D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evice installation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4.857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0.074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0.857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2.4.2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Installation efficiency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2.4.3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Installation report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0.873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2.4.4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Installation service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2.5.1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Installation and commissioning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2.5.2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Q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uality inspection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0.966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2.5.3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Quality control record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2.5.4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Quality control service satisfaction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2.6.1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Acceptance process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2.6.2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Acceptance Time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0.944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0.223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2.6.3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Unacceptable processing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2.6.4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Acceptance service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2.7.1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Data opening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0.921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0.233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2.8.1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Normative training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4.381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2.8.2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Clinical training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2.8.3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Medical training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3.1.1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Engineer qualification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scale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4.000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and certification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system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3.1.5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implementation normative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3.1.6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Maintenance response time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4.905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0.301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0.061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0.905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3.1.7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Troubleshooting time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4.714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0.762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3.2.1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Post-sales team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3.905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0.700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0.179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3.2.2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Team training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3.2.3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atisfaction with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t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eam service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3.2.4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atisfaction with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m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aintenance service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Complaint procedure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3.952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0.219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0.190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Complaint record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Complaint handling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0.243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Convenience of complaints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0.889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0.210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3.3.5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Complaint feedback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4.238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0.831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0.196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3.4.1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 Adverse event monitoring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0.928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0.222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3.4.2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Report of adverse events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4.048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0.865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0.214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3.4.3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Adverse event handling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4.095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0.768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0.188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3.4.4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Adverse event record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3.5.1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Product recall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3.619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3.6.1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Operation manual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0.156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0.810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>3.6.2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Service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m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anual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0.180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sz w:val="18"/>
                <w:szCs w:val="18"/>
              </w:rPr>
              <w:t xml:space="preserve">3.6.3 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Openness of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t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 xml:space="preserve">echnical </w:t>
            </w:r>
            <w:r>
              <w:rPr>
                <w:rFonts w:hint="eastAsia" w:ascii="Times New Roman" w:hAnsi="仿宋" w:eastAsia="仿宋" w:cs="Times New Roman"/>
                <w:sz w:val="18"/>
                <w:szCs w:val="18"/>
              </w:rPr>
              <w:t>d</w:t>
            </w:r>
            <w:r>
              <w:rPr>
                <w:rFonts w:ascii="Times New Roman" w:hAnsi="仿宋" w:eastAsia="仿宋" w:cs="Times New Roman"/>
                <w:sz w:val="18"/>
                <w:szCs w:val="18"/>
              </w:rPr>
              <w:t>ata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3.7.1 PM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program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 xml:space="preserve">3.7.2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atisfaction</w:t>
            </w: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with</w:t>
            </w:r>
            <w:r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PM</w:t>
            </w:r>
            <w:r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ervice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atisfaction with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m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aintenance hotline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4.143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0.727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0.175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Satisfaction of Maintenance Response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0.680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3.7.5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Satisfaction with troubleshooting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4.667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3.8.1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Quality of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aintenance accessories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4.619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0.498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0.108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3.8.2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Speed of arrival of repair accessories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3.8.3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Satisfaction with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m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aintenance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rice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4.571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0.131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0.619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3.8.4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Satisfaction with payment method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4.143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0.206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3.9.1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Whether to provide a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tandby machine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0.750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0.667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 xml:space="preserve">3.9.2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Satisfaction with standby service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3.10.1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Contract Integrity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3.10.2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Satisfaction with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ontract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e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conomy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3.10.3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PM Satisfaction in Contract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0.152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3.10.4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Satisfaction with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c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ontract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i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ndicators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4.429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0.153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3.10.5</w:t>
            </w:r>
            <w:r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Satisfaction with Contract evaluation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3.11.1</w:t>
            </w:r>
            <w:r>
              <w:rPr>
                <w:rFonts w:ascii="Tahoma" w:hAnsi="Tahoma" w:eastAsia="宋体" w:cs="Times New Roman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Satisfaction with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eporting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q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uality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0.524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3.11.2</w:t>
            </w:r>
            <w:r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Satisfaction with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r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eport completion rate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4.333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0.577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0.381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3.12.1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 Satisfaction with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o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perational retraining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4.190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0.194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3.13.</w:t>
            </w:r>
            <w:r>
              <w:rPr>
                <w:rFonts w:hint="eastAsia"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 Satisfaction with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a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pplication retraining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4.286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0.717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0.167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0.429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3.14.1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 xml:space="preserve"> Technical 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>s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upport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4.143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0.573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0.138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3.15.1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Scientific research cooperation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3.714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1.056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0.284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0.238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3.16.1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Probability of the same fault occurrence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4.524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0.602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0.571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2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left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3.16.2</w:t>
            </w:r>
            <w:r>
              <w:rPr>
                <w:rFonts w:ascii="Tahoma" w:hAnsi="Tahoma" w:eastAsia="宋体" w:cs="Times New Roman"/>
                <w:color w:val="000000"/>
              </w:rPr>
              <w:t xml:space="preserve"> 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Satisfaction with</w:t>
            </w:r>
            <w:r>
              <w:rPr>
                <w:rFonts w:hint="eastAsia" w:ascii="Times New Roman" w:hAnsi="仿宋" w:eastAsia="仿宋" w:cs="Times New Roman"/>
                <w:color w:val="000000"/>
                <w:sz w:val="18"/>
                <w:szCs w:val="18"/>
              </w:rPr>
              <w:t xml:space="preserve"> e</w:t>
            </w:r>
            <w:r>
              <w:rPr>
                <w:rFonts w:ascii="Times New Roman" w:hAnsi="仿宋" w:eastAsia="仿宋" w:cs="Times New Roman"/>
                <w:color w:val="000000"/>
                <w:sz w:val="18"/>
                <w:szCs w:val="18"/>
              </w:rPr>
              <w:t>quipment Performance</w:t>
            </w:r>
          </w:p>
        </w:tc>
        <w:tc>
          <w:tcPr>
            <w:tcW w:w="1098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4.476</w:t>
            </w:r>
          </w:p>
        </w:tc>
        <w:tc>
          <w:tcPr>
            <w:tcW w:w="887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0.512</w:t>
            </w:r>
          </w:p>
        </w:tc>
        <w:tc>
          <w:tcPr>
            <w:tcW w:w="1083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621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0.476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000000"/>
                <w:sz w:val="18"/>
                <w:szCs w:val="18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vTT28000ce1.B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JUHGNT+PingFangSC-Semibold">
    <w:altName w:val="等线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TsbrcwAdvTTaf7f9f4f.B+2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5043"/>
    <w:rsid w:val="000F5DCA"/>
    <w:rsid w:val="003C3040"/>
    <w:rsid w:val="005528C3"/>
    <w:rsid w:val="007C1710"/>
    <w:rsid w:val="008C2083"/>
    <w:rsid w:val="009B64B3"/>
    <w:rsid w:val="00A632A6"/>
    <w:rsid w:val="00B6487B"/>
    <w:rsid w:val="00BF1767"/>
    <w:rsid w:val="00EB6F62"/>
    <w:rsid w:val="00F11C46"/>
    <w:rsid w:val="00F65043"/>
    <w:rsid w:val="00F84BA5"/>
    <w:rsid w:val="00F956B1"/>
    <w:rsid w:val="00FB57D9"/>
    <w:rsid w:val="0DEB5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37"/>
    <w:unhideWhenUsed/>
    <w:qFormat/>
    <w:uiPriority w:val="99"/>
    <w:pPr>
      <w:widowControl/>
      <w:adjustRightInd w:val="0"/>
      <w:snapToGrid w:val="0"/>
      <w:spacing w:after="200"/>
      <w:jc w:val="left"/>
    </w:pPr>
    <w:rPr>
      <w:rFonts w:ascii="Tahoma" w:hAnsi="Tahoma"/>
      <w:kern w:val="0"/>
      <w:sz w:val="24"/>
      <w:szCs w:val="24"/>
    </w:rPr>
  </w:style>
  <w:style w:type="paragraph" w:styleId="4">
    <w:name w:val="Balloon Text"/>
    <w:basedOn w:val="1"/>
    <w:link w:val="4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  <w:lang w:val="en-GB"/>
    </w:rPr>
  </w:style>
  <w:style w:type="paragraph" w:styleId="8">
    <w:name w:val="annotation subject"/>
    <w:basedOn w:val="3"/>
    <w:next w:val="3"/>
    <w:link w:val="38"/>
    <w:semiHidden/>
    <w:unhideWhenUsed/>
    <w:uiPriority w:val="99"/>
    <w:rPr>
      <w:b/>
      <w:bCs/>
      <w:sz w:val="20"/>
      <w:szCs w:val="20"/>
    </w:rPr>
  </w:style>
  <w:style w:type="table" w:styleId="10">
    <w:name w:val="Table Grid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Emphasis"/>
    <w:basedOn w:val="11"/>
    <w:qFormat/>
    <w:uiPriority w:val="20"/>
    <w:rPr>
      <w:i/>
      <w:iCs/>
    </w:rPr>
  </w:style>
  <w:style w:type="character" w:styleId="14">
    <w:name w:val="line number"/>
    <w:basedOn w:val="11"/>
    <w:semiHidden/>
    <w:unhideWhenUsed/>
    <w:uiPriority w:val="99"/>
  </w:style>
  <w:style w:type="character" w:styleId="15">
    <w:name w:val="Hyperlink"/>
    <w:basedOn w:val="11"/>
    <w:unhideWhenUsed/>
    <w:uiPriority w:val="99"/>
    <w:rPr>
      <w:color w:val="0000FF"/>
      <w:u w:val="single"/>
    </w:rPr>
  </w:style>
  <w:style w:type="character" w:styleId="16">
    <w:name w:val="annotation reference"/>
    <w:basedOn w:val="11"/>
    <w:semiHidden/>
    <w:unhideWhenUsed/>
    <w:uiPriority w:val="99"/>
    <w:rPr>
      <w:sz w:val="18"/>
      <w:szCs w:val="18"/>
    </w:rPr>
  </w:style>
  <w:style w:type="character" w:customStyle="1" w:styleId="17">
    <w:name w:val="Header Char"/>
    <w:basedOn w:val="11"/>
    <w:link w:val="6"/>
    <w:uiPriority w:val="99"/>
    <w:rPr>
      <w:sz w:val="18"/>
      <w:szCs w:val="18"/>
    </w:rPr>
  </w:style>
  <w:style w:type="character" w:customStyle="1" w:styleId="18">
    <w:name w:val="Footer Char"/>
    <w:basedOn w:val="11"/>
    <w:link w:val="5"/>
    <w:qFormat/>
    <w:uiPriority w:val="99"/>
    <w:rPr>
      <w:sz w:val="18"/>
      <w:szCs w:val="18"/>
    </w:rPr>
  </w:style>
  <w:style w:type="character" w:customStyle="1" w:styleId="19">
    <w:name w:val="Heading 3 Char"/>
    <w:basedOn w:val="11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0">
    <w:name w:val="fontstyle01"/>
    <w:basedOn w:val="11"/>
    <w:qFormat/>
    <w:uiPriority w:val="0"/>
    <w:rPr>
      <w:rFonts w:hint="default" w:ascii="AdvTT28000ce1.B" w:hAnsi="AdvTT28000ce1.B"/>
      <w:color w:val="231F20"/>
      <w:sz w:val="16"/>
      <w:szCs w:val="16"/>
    </w:rPr>
  </w:style>
  <w:style w:type="paragraph" w:styleId="21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/>
      <w:kern w:val="0"/>
      <w:sz w:val="22"/>
    </w:rPr>
  </w:style>
  <w:style w:type="character" w:customStyle="1" w:styleId="22">
    <w:name w:val="skip"/>
    <w:basedOn w:val="11"/>
    <w:uiPriority w:val="0"/>
  </w:style>
  <w:style w:type="character" w:customStyle="1" w:styleId="23">
    <w:name w:val="apple-converted-space"/>
    <w:basedOn w:val="11"/>
    <w:uiPriority w:val="0"/>
  </w:style>
  <w:style w:type="table" w:customStyle="1" w:styleId="24">
    <w:name w:val="网格型1"/>
    <w:basedOn w:val="9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5">
    <w:name w:val="批注框文本1"/>
    <w:basedOn w:val="1"/>
    <w:next w:val="4"/>
    <w:link w:val="26"/>
    <w:semiHidden/>
    <w:unhideWhenUsed/>
    <w:qFormat/>
    <w:uiPriority w:val="99"/>
    <w:rPr>
      <w:rFonts w:eastAsia="宋体"/>
      <w:sz w:val="18"/>
      <w:szCs w:val="18"/>
    </w:rPr>
  </w:style>
  <w:style w:type="character" w:customStyle="1" w:styleId="26">
    <w:name w:val="批注框文本 字符"/>
    <w:basedOn w:val="11"/>
    <w:link w:val="25"/>
    <w:semiHidden/>
    <w:uiPriority w:val="99"/>
    <w:rPr>
      <w:rFonts w:eastAsia="宋体"/>
      <w:sz w:val="18"/>
      <w:szCs w:val="18"/>
    </w:rPr>
  </w:style>
  <w:style w:type="paragraph" w:customStyle="1" w:styleId="27">
    <w:name w:val="Default"/>
    <w:uiPriority w:val="0"/>
    <w:pPr>
      <w:widowControl w:val="0"/>
      <w:autoSpaceDE w:val="0"/>
      <w:autoSpaceDN w:val="0"/>
      <w:adjustRightInd w:val="0"/>
    </w:pPr>
    <w:rPr>
      <w:rFonts w:ascii="JUHGNT+PingFangSC-Semibold" w:eastAsia="JUHGNT+PingFangSC-Semibold" w:cs="JUHGNT+PingFangSC-Semibold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28">
    <w:name w:val="CM11"/>
    <w:basedOn w:val="27"/>
    <w:next w:val="27"/>
    <w:uiPriority w:val="99"/>
    <w:rPr>
      <w:rFonts w:cs="Times New Roman"/>
      <w:color w:val="auto"/>
    </w:rPr>
  </w:style>
  <w:style w:type="paragraph" w:customStyle="1" w:styleId="29">
    <w:name w:val="CM12"/>
    <w:basedOn w:val="27"/>
    <w:next w:val="27"/>
    <w:uiPriority w:val="99"/>
    <w:rPr>
      <w:rFonts w:cs="Times New Roman"/>
      <w:color w:val="auto"/>
    </w:rPr>
  </w:style>
  <w:style w:type="paragraph" w:customStyle="1" w:styleId="30">
    <w:name w:val="CM14"/>
    <w:basedOn w:val="27"/>
    <w:next w:val="27"/>
    <w:uiPriority w:val="99"/>
    <w:rPr>
      <w:rFonts w:cs="Times New Roman"/>
      <w:color w:val="auto"/>
    </w:rPr>
  </w:style>
  <w:style w:type="paragraph" w:customStyle="1" w:styleId="31">
    <w:name w:val="CM6"/>
    <w:basedOn w:val="27"/>
    <w:next w:val="27"/>
    <w:uiPriority w:val="99"/>
    <w:pPr>
      <w:spacing w:line="426" w:lineRule="atLeast"/>
    </w:pPr>
    <w:rPr>
      <w:rFonts w:cs="Times New Roman"/>
      <w:color w:val="auto"/>
    </w:rPr>
  </w:style>
  <w:style w:type="paragraph" w:customStyle="1" w:styleId="32">
    <w:name w:val="CM9"/>
    <w:basedOn w:val="27"/>
    <w:next w:val="27"/>
    <w:uiPriority w:val="99"/>
    <w:rPr>
      <w:rFonts w:cs="Times New Roman"/>
      <w:color w:val="auto"/>
    </w:rPr>
  </w:style>
  <w:style w:type="character" w:customStyle="1" w:styleId="33">
    <w:name w:val="authors__name"/>
    <w:basedOn w:val="11"/>
    <w:uiPriority w:val="0"/>
  </w:style>
  <w:style w:type="character" w:customStyle="1" w:styleId="34">
    <w:name w:val="fontstyle11"/>
    <w:basedOn w:val="11"/>
    <w:uiPriority w:val="0"/>
    <w:rPr>
      <w:rFonts w:hint="default" w:ascii="TsbrcwAdvTTaf7f9f4f.B+20" w:hAnsi="TsbrcwAdvTTaf7f9f4f.B+20"/>
      <w:color w:val="131413"/>
      <w:sz w:val="22"/>
      <w:szCs w:val="22"/>
    </w:rPr>
  </w:style>
  <w:style w:type="paragraph" w:styleId="35">
    <w:name w:val="No Spacing"/>
    <w:link w:val="36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36">
    <w:name w:val="No Spacing Char"/>
    <w:basedOn w:val="11"/>
    <w:link w:val="35"/>
    <w:uiPriority w:val="1"/>
    <w:rPr>
      <w:kern w:val="0"/>
      <w:sz w:val="22"/>
    </w:rPr>
  </w:style>
  <w:style w:type="character" w:customStyle="1" w:styleId="37">
    <w:name w:val="Comment Text Char"/>
    <w:basedOn w:val="11"/>
    <w:link w:val="3"/>
    <w:qFormat/>
    <w:uiPriority w:val="99"/>
    <w:rPr>
      <w:rFonts w:ascii="Tahoma" w:hAnsi="Tahoma"/>
      <w:kern w:val="0"/>
      <w:sz w:val="24"/>
      <w:szCs w:val="24"/>
    </w:rPr>
  </w:style>
  <w:style w:type="character" w:customStyle="1" w:styleId="38">
    <w:name w:val="Comment Subject Char"/>
    <w:basedOn w:val="37"/>
    <w:link w:val="8"/>
    <w:semiHidden/>
    <w:uiPriority w:val="99"/>
    <w:rPr>
      <w:rFonts w:ascii="Tahoma" w:hAnsi="Tahoma"/>
      <w:b/>
      <w:bCs/>
      <w:kern w:val="0"/>
      <w:sz w:val="20"/>
      <w:szCs w:val="20"/>
    </w:rPr>
  </w:style>
  <w:style w:type="character" w:styleId="39">
    <w:name w:val="Placeholder Text"/>
    <w:basedOn w:val="11"/>
    <w:semiHidden/>
    <w:uiPriority w:val="99"/>
    <w:rPr>
      <w:color w:val="808080"/>
    </w:rPr>
  </w:style>
  <w:style w:type="character" w:customStyle="1" w:styleId="40">
    <w:name w:val="Balloon Text Char"/>
    <w:basedOn w:val="11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40682E-A7A9-4674-A00E-4EA23E070B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699</Words>
  <Characters>3985</Characters>
  <Lines>33</Lines>
  <Paragraphs>9</Paragraphs>
  <TotalTime>1</TotalTime>
  <ScaleCrop>false</ScaleCrop>
  <LinksUpToDate>false</LinksUpToDate>
  <CharactersWithSpaces>4675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2020-04-10T10:30:00Z</dcterms:created>
  <dc:creator>Wang Yating</dc:creator>
  <cp:lastModifiedBy>一花一世界</cp:lastModifiedBy>
  <dcterms:modified xsi:type="dcterms:W3CDTF">2020-04-11T01:37:56Z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