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4F9C1" w14:textId="77777777" w:rsidR="00D1738A" w:rsidRDefault="00000000">
      <w:pPr>
        <w:pStyle w:val="2"/>
        <w:rPr>
          <w:rFonts w:ascii="Arial" w:eastAsiaTheme="majorEastAsia" w:hAnsi="Arial" w:cs="Arial"/>
        </w:rPr>
      </w:pPr>
      <w:r>
        <w:rPr>
          <w:rFonts w:ascii="Arial" w:hAnsi="Arial" w:cs="Arial"/>
        </w:rPr>
        <w:t>Supplementary Materials</w:t>
      </w:r>
    </w:p>
    <w:p w14:paraId="37DE236D" w14:textId="77777777" w:rsidR="00D1738A" w:rsidRDefault="00000000">
      <w:pPr>
        <w:pStyle w:val="2"/>
        <w:numPr>
          <w:ilvl w:val="0"/>
          <w:numId w:val="1"/>
        </w:numPr>
        <w:rPr>
          <w:rFonts w:ascii="Arial" w:hAnsi="Arial" w:cs="Arial"/>
        </w:rPr>
      </w:pPr>
      <w:r>
        <w:rPr>
          <w:rFonts w:ascii="Arial" w:hAnsi="Arial" w:cs="Arial"/>
        </w:rPr>
        <w:t>Supplementary Methods</w:t>
      </w:r>
    </w:p>
    <w:p w14:paraId="6001DCEB" w14:textId="77777777" w:rsidR="00D1738A" w:rsidRDefault="00000000">
      <w:pPr>
        <w:pStyle w:val="2"/>
        <w:rPr>
          <w:rFonts w:ascii="Arial" w:hAnsi="Arial" w:cs="Arial"/>
        </w:rPr>
      </w:pPr>
      <w:bookmarkStart w:id="0" w:name="X0dff1acf12e81ba5dbc58a5f0b4c37598686350"/>
      <w:bookmarkStart w:id="1" w:name="X450dbcdf089e2a0204c84237f3512b2bad01488"/>
      <w:bookmarkStart w:id="2" w:name="Xb5d86b53343dbfe278ae2b2699ed251b171b52b"/>
      <w:r>
        <w:rPr>
          <w:rFonts w:ascii="Arial" w:hAnsi="Arial" w:cs="Arial"/>
        </w:rPr>
        <w:t>S</w:t>
      </w:r>
      <w:r>
        <w:rPr>
          <w:rFonts w:ascii="Arial" w:hAnsi="Arial" w:cs="Arial" w:hint="eastAsia"/>
        </w:rPr>
        <w:t>1</w:t>
      </w:r>
      <w:r>
        <w:rPr>
          <w:rFonts w:ascii="Arial" w:hAnsi="Arial" w:cs="Arial"/>
        </w:rPr>
        <w:t>. Validation of Reference Standard Reliability (Inter-reader Agreement)</w:t>
      </w:r>
    </w:p>
    <w:p w14:paraId="428518C9" w14:textId="77777777" w:rsidR="00D1738A" w:rsidRDefault="00000000">
      <w:pPr>
        <w:pStyle w:val="a0"/>
        <w:spacing w:after="200" w:line="360" w:lineRule="auto"/>
        <w:rPr>
          <w:rFonts w:ascii="Arial" w:hAnsi="Arial" w:cs="Arial"/>
        </w:rPr>
      </w:pPr>
      <w:r>
        <w:rPr>
          <w:rFonts w:ascii="Arial" w:hAnsi="Arial" w:cs="Arial"/>
        </w:rPr>
        <w:t>To ensure the rigor of the composite reference standard used for model development and evaluation, a subset of examinations was independently reviewed by a sports medicine physician (J.X., 8 years of experience) and a musculoskeletal radiologist (H.L., 26 years of experience), both blinded to clinical history and model predictions. Discrepancies were adjudicated by a senior sports medicine physician (J.Z., 32 years of experience).</w:t>
      </w:r>
    </w:p>
    <w:p w14:paraId="0714A2B3" w14:textId="77777777" w:rsidR="00D1738A" w:rsidRDefault="00000000">
      <w:pPr>
        <w:pStyle w:val="a0"/>
        <w:spacing w:after="200" w:line="360" w:lineRule="auto"/>
        <w:rPr>
          <w:rFonts w:ascii="Arial" w:hAnsi="Arial" w:cs="Arial"/>
        </w:rPr>
      </w:pPr>
      <w:r>
        <w:rPr>
          <w:rFonts w:ascii="Arial" w:hAnsi="Arial" w:cs="Arial"/>
          <w:b/>
          <w:bCs/>
        </w:rPr>
        <w:t>Method</w:t>
      </w:r>
      <w:r>
        <w:rPr>
          <w:rFonts w:ascii="Arial" w:hAnsi="Arial" w:cs="Arial"/>
        </w:rPr>
        <w:br/>
        <w:t>Analyses were conducted in Python (v3.12.7) using scikit-learn and scipy. For binary rotator cuff tear identification, inter-reader reliability was quantified using Cohen’s kappa with 95% confidence intervals (CI) derived via bootstrap resampling (n = 1,000). For ordinal Goutallier grading, reliability was assessed using the intra-class correlation coefficient (ICC). Both readers were additionally benchmarked against the finalized composite reference standard to compute sensitivity, specificity, and accuracy.</w:t>
      </w:r>
    </w:p>
    <w:p w14:paraId="3DB27209" w14:textId="77777777" w:rsidR="00D1738A" w:rsidRDefault="00000000">
      <w:pPr>
        <w:pStyle w:val="a0"/>
        <w:spacing w:after="200" w:line="360" w:lineRule="auto"/>
        <w:rPr>
          <w:rFonts w:ascii="Arial" w:hAnsi="Arial" w:cs="Arial"/>
        </w:rPr>
      </w:pPr>
      <w:r>
        <w:rPr>
          <w:rFonts w:ascii="Arial" w:hAnsi="Arial" w:cs="Arial"/>
          <w:b/>
          <w:bCs/>
        </w:rPr>
        <w:t>Visual diagnostics of agreement</w:t>
      </w:r>
      <w:r>
        <w:rPr>
          <w:rFonts w:ascii="Arial" w:hAnsi="Arial" w:cs="Arial"/>
        </w:rPr>
        <w:br/>
        <w:t xml:space="preserve">Beyond summary statistics, complementary visualization techniques were employed to characterize inter-reader agreement and potential systematic bias. For binary tear identification, agreement patterns were illustrated using Bland–Altman plots, confusion matrices, and label distribution comparisons </w:t>
      </w:r>
      <w:r>
        <w:rPr>
          <w:rFonts w:ascii="Arial" w:hAnsi="Arial" w:cs="Arial"/>
          <w:b/>
          <w:bCs/>
        </w:rPr>
        <w:t>(Supplementary Figure S7)</w:t>
      </w:r>
      <w:r>
        <w:rPr>
          <w:rFonts w:ascii="Arial" w:hAnsi="Arial" w:cs="Arial"/>
        </w:rPr>
        <w:t>. For ordinal Goutallier grading, analogous visualizations were provided separately to assess grade-wise concordance and clinically plausible disagreement patterns</w:t>
      </w:r>
      <w:r>
        <w:rPr>
          <w:rFonts w:ascii="Arial" w:hAnsi="Arial" w:cs="Arial"/>
          <w:b/>
          <w:bCs/>
        </w:rPr>
        <w:t xml:space="preserve"> (Supplementary Figure S8)</w:t>
      </w:r>
      <w:r>
        <w:rPr>
          <w:rFonts w:ascii="Arial" w:hAnsi="Arial" w:cs="Arial"/>
        </w:rPr>
        <w:t>. These visual diagnostics confirmed that disagreement was centered around zero, indicating the absence of directional bias, and that discordance—when present—was predominantly limited to adjacent Goutallier grades.</w:t>
      </w:r>
    </w:p>
    <w:p w14:paraId="01CDA847" w14:textId="77777777" w:rsidR="00D1738A" w:rsidRDefault="00000000">
      <w:pPr>
        <w:pStyle w:val="a0"/>
        <w:spacing w:after="200" w:line="360" w:lineRule="auto"/>
        <w:rPr>
          <w:rFonts w:ascii="Arial" w:hAnsi="Arial" w:cs="Arial"/>
        </w:rPr>
      </w:pPr>
      <w:r>
        <w:rPr>
          <w:rFonts w:ascii="Arial" w:hAnsi="Arial" w:cs="Arial"/>
          <w:b/>
          <w:bCs/>
        </w:rPr>
        <w:t>Results</w:t>
      </w:r>
      <w:r>
        <w:rPr>
          <w:rFonts w:ascii="Arial" w:hAnsi="Arial" w:cs="Arial"/>
        </w:rPr>
        <w:br/>
        <w:t xml:space="preserve">For tear identification, inter-reader agreement was substantial, with a bootstrapped </w:t>
      </w:r>
      <w:r>
        <w:rPr>
          <w:rFonts w:ascii="Arial" w:hAnsi="Arial" w:cs="Arial"/>
        </w:rPr>
        <w:lastRenderedPageBreak/>
        <w:t xml:space="preserve">Cohen’s kappa of 0.911 (95% CI: 0.885–0.936). Confusion-matrix visualization demonstrated minimal discordance between readers </w:t>
      </w:r>
      <w:r>
        <w:rPr>
          <w:rFonts w:ascii="Arial" w:hAnsi="Arial" w:cs="Arial"/>
          <w:b/>
          <w:bCs/>
        </w:rPr>
        <w:t>(Supplementary Figure S7)</w:t>
      </w:r>
      <w:r>
        <w:rPr>
          <w:rFonts w:ascii="Arial" w:hAnsi="Arial" w:cs="Arial"/>
        </w:rPr>
        <w:t>. When benchmarked against the composite reference standard, Expert 1 achieved an accuracy of 98.5%, sensitivity of 98.6%, and specificity of 98.5%, while Expert 2 achieved an accuracy of 97.0%, sensitivity of 98.1%, and specificity of 95.9%.</w:t>
      </w:r>
    </w:p>
    <w:p w14:paraId="49BD5993" w14:textId="77777777" w:rsidR="00D1738A" w:rsidRDefault="00000000">
      <w:pPr>
        <w:pStyle w:val="a0"/>
        <w:spacing w:after="200" w:line="360" w:lineRule="auto"/>
        <w:rPr>
          <w:rFonts w:ascii="Arial" w:hAnsi="Arial" w:cs="Arial"/>
        </w:rPr>
      </w:pPr>
      <w:r>
        <w:rPr>
          <w:rFonts w:ascii="Arial" w:hAnsi="Arial" w:cs="Arial"/>
        </w:rPr>
        <w:t xml:space="preserve">For Goutallier grading, agreement between readers and the reference standard remained excellent. Expert 1 achieved an accuracy of 97.3% with a Cohen’s kappa of 0.962, while Expert 2 achieved an accuracy of 94.7% with a Cohen’s kappa of 0.928. Sensitivity and specificity exceeded 95% for both readers. Visual agreement analyses demonstrated a near-zero mean bias and narrow limits of agreement, with discrepancies largely confined to adjacent grades, supporting the robustness of the reference standard </w:t>
      </w:r>
      <w:r>
        <w:rPr>
          <w:rFonts w:ascii="Arial" w:hAnsi="Arial" w:cs="Arial"/>
          <w:b/>
          <w:bCs/>
        </w:rPr>
        <w:t>(Supplementary Figure S8)</w:t>
      </w:r>
      <w:r>
        <w:rPr>
          <w:rFonts w:ascii="Arial" w:hAnsi="Arial" w:cs="Arial"/>
        </w:rPr>
        <w:t>.</w:t>
      </w:r>
    </w:p>
    <w:bookmarkEnd w:id="0"/>
    <w:bookmarkEnd w:id="1"/>
    <w:bookmarkEnd w:id="2"/>
    <w:p w14:paraId="00223593" w14:textId="77777777" w:rsidR="00D1738A" w:rsidRDefault="00000000">
      <w:pPr>
        <w:spacing w:after="200" w:line="360" w:lineRule="auto"/>
        <w:rPr>
          <w:rFonts w:ascii="Arial" w:hAnsi="Arial" w:cs="Arial"/>
          <w:b/>
          <w:bCs/>
        </w:rPr>
      </w:pPr>
      <w:r>
        <w:rPr>
          <w:rFonts w:ascii="Arial" w:hAnsi="Arial" w:cs="Arial"/>
          <w:b/>
          <w:bCs/>
        </w:rPr>
        <w:br w:type="page"/>
      </w:r>
    </w:p>
    <w:p w14:paraId="3B6DF25D" w14:textId="77777777" w:rsidR="00D1738A" w:rsidRDefault="00000000">
      <w:pPr>
        <w:pStyle w:val="3"/>
        <w:spacing w:after="200" w:line="360" w:lineRule="auto"/>
        <w:rPr>
          <w:rFonts w:ascii="Arial" w:hAnsi="Arial" w:cs="Arial"/>
        </w:rPr>
      </w:pPr>
      <w:r>
        <w:rPr>
          <w:rFonts w:ascii="Arial" w:hAnsi="Arial" w:cs="Arial"/>
        </w:rPr>
        <w:lastRenderedPageBreak/>
        <w:t>S</w:t>
      </w:r>
      <w:r>
        <w:rPr>
          <w:rFonts w:ascii="Arial" w:eastAsiaTheme="minorEastAsia" w:hAnsi="Arial" w:cs="Arial" w:hint="eastAsia"/>
        </w:rPr>
        <w:t>2</w:t>
      </w:r>
      <w:r>
        <w:rPr>
          <w:rFonts w:ascii="Arial" w:hAnsi="Arial" w:cs="Arial"/>
        </w:rPr>
        <w:t>. Validation of Automated Anatomical Segmentation and ROI Localization</w:t>
      </w:r>
    </w:p>
    <w:p w14:paraId="03F7A8D7" w14:textId="77777777" w:rsidR="00D1738A" w:rsidRDefault="00000000">
      <w:pPr>
        <w:pStyle w:val="a0"/>
        <w:spacing w:after="200" w:line="360" w:lineRule="auto"/>
        <w:rPr>
          <w:rFonts w:ascii="Arial" w:hAnsi="Arial" w:cs="Arial"/>
          <w:b/>
          <w:bCs/>
        </w:rPr>
      </w:pPr>
      <w:r>
        <w:rPr>
          <w:rFonts w:ascii="Arial" w:hAnsi="Arial" w:cs="Arial"/>
        </w:rPr>
        <w:t>Given that the proposed pipeline relies on automated delineation of anatomical anchors and subsequent ROI localization on non-contrast chest CT, we adopted a dual-validation paradigm integrating quantitative geometric accuracy and qualitative clinical plausibility.</w:t>
      </w:r>
    </w:p>
    <w:p w14:paraId="4F14F3CE" w14:textId="77777777" w:rsidR="00D1738A" w:rsidRDefault="00000000">
      <w:pPr>
        <w:pStyle w:val="4"/>
        <w:spacing w:after="200" w:line="360" w:lineRule="auto"/>
        <w:rPr>
          <w:rFonts w:ascii="Arial" w:hAnsi="Arial" w:cs="Arial"/>
          <w:b/>
          <w:bCs/>
          <w:i w:val="0"/>
          <w:iCs w:val="0"/>
          <w:color w:val="auto"/>
        </w:rPr>
      </w:pPr>
      <w:r>
        <w:rPr>
          <w:rFonts w:ascii="Arial" w:hAnsi="Arial" w:cs="Arial"/>
          <w:b/>
          <w:bCs/>
          <w:i w:val="0"/>
          <w:iCs w:val="0"/>
          <w:color w:val="auto"/>
        </w:rPr>
        <w:t>S</w:t>
      </w:r>
      <w:r>
        <w:rPr>
          <w:rFonts w:ascii="Arial" w:eastAsiaTheme="minorEastAsia" w:hAnsi="Arial" w:cs="Arial" w:hint="eastAsia"/>
          <w:b/>
          <w:bCs/>
          <w:i w:val="0"/>
          <w:iCs w:val="0"/>
          <w:color w:val="auto"/>
        </w:rPr>
        <w:t>2</w:t>
      </w:r>
      <w:r>
        <w:rPr>
          <w:rFonts w:ascii="Arial" w:hAnsi="Arial" w:cs="Arial"/>
          <w:b/>
          <w:bCs/>
          <w:i w:val="0"/>
          <w:iCs w:val="0"/>
          <w:color w:val="auto"/>
        </w:rPr>
        <w:t>.1. Quantitative evaluation of skeletal anchor segmentation</w:t>
      </w:r>
    </w:p>
    <w:p w14:paraId="71DA0C69" w14:textId="77777777" w:rsidR="00D1738A" w:rsidRDefault="00000000">
      <w:pPr>
        <w:pStyle w:val="a0"/>
        <w:spacing w:after="200" w:line="360" w:lineRule="auto"/>
        <w:rPr>
          <w:rFonts w:ascii="Arial" w:hAnsi="Arial" w:cs="Arial"/>
        </w:rPr>
      </w:pPr>
      <w:r>
        <w:rPr>
          <w:rFonts w:ascii="Arial" w:hAnsi="Arial" w:cs="Arial"/>
        </w:rPr>
        <w:t>A validation sub-cohort was randomly sampled from the prospective development set. Skeletal landmarks, including the proximal humerus and scapula, were manually segmented using ITK-SNAP and compared against automated outputs generated by TotalSegmentator V2. Segmentation accuracy was quantified using the Dice Similarity Coefficient (DSC).</w:t>
      </w:r>
    </w:p>
    <w:p w14:paraId="551B0B88" w14:textId="77777777" w:rsidR="00D1738A" w:rsidRDefault="00000000">
      <w:pPr>
        <w:pStyle w:val="a0"/>
        <w:spacing w:after="200" w:line="360" w:lineRule="auto"/>
        <w:rPr>
          <w:rFonts w:ascii="Arial" w:hAnsi="Arial" w:cs="Arial"/>
        </w:rPr>
      </w:pPr>
      <w:r>
        <w:rPr>
          <w:rFonts w:ascii="Arial" w:hAnsi="Arial" w:cs="Arial"/>
        </w:rPr>
        <w:t xml:space="preserve">The automated pipeline demonstrated high spatial overlap with manual annotations, achieving a mean DSC of </w:t>
      </w:r>
      <w:r>
        <w:rPr>
          <w:rFonts w:ascii="Arial" w:hAnsi="Arial" w:cs="Arial"/>
          <w:b/>
          <w:bCs/>
        </w:rPr>
        <w:t>0.927 ± 0.031</w:t>
      </w:r>
      <w:r>
        <w:rPr>
          <w:rFonts w:ascii="Arial" w:hAnsi="Arial" w:cs="Arial"/>
        </w:rPr>
        <w:t xml:space="preserve"> for the humerus and </w:t>
      </w:r>
      <w:r>
        <w:rPr>
          <w:rFonts w:ascii="Arial" w:hAnsi="Arial" w:cs="Arial"/>
          <w:b/>
          <w:bCs/>
        </w:rPr>
        <w:t>0.910 ± 0.030</w:t>
      </w:r>
      <w:r>
        <w:rPr>
          <w:rFonts w:ascii="Arial" w:hAnsi="Arial" w:cs="Arial"/>
        </w:rPr>
        <w:t xml:space="preserve"> for the scapula. These results support the geometric reliability of the skeletal anchors used for downstream ROI localization.</w:t>
      </w:r>
    </w:p>
    <w:p w14:paraId="0996561F" w14:textId="77777777" w:rsidR="00D1738A" w:rsidRDefault="00000000">
      <w:pPr>
        <w:pStyle w:val="4"/>
        <w:spacing w:after="200" w:line="360" w:lineRule="auto"/>
        <w:rPr>
          <w:rFonts w:ascii="Arial" w:hAnsi="Arial" w:cs="Arial"/>
          <w:b/>
          <w:bCs/>
          <w:i w:val="0"/>
          <w:iCs w:val="0"/>
          <w:color w:val="auto"/>
        </w:rPr>
      </w:pPr>
      <w:r>
        <w:rPr>
          <w:rFonts w:ascii="Arial" w:hAnsi="Arial" w:cs="Arial"/>
          <w:b/>
          <w:bCs/>
          <w:i w:val="0"/>
          <w:iCs w:val="0"/>
          <w:color w:val="auto"/>
        </w:rPr>
        <w:t>S</w:t>
      </w:r>
      <w:r>
        <w:rPr>
          <w:rFonts w:ascii="Arial" w:eastAsiaTheme="minorEastAsia" w:hAnsi="Arial" w:cs="Arial" w:hint="eastAsia"/>
          <w:b/>
          <w:bCs/>
          <w:i w:val="0"/>
          <w:iCs w:val="0"/>
          <w:color w:val="auto"/>
        </w:rPr>
        <w:t>2</w:t>
      </w:r>
      <w:r>
        <w:rPr>
          <w:rFonts w:ascii="Arial" w:hAnsi="Arial" w:cs="Arial"/>
          <w:b/>
          <w:bCs/>
          <w:i w:val="0"/>
          <w:iCs w:val="0"/>
          <w:color w:val="auto"/>
        </w:rPr>
        <w:t>.2. Qualitative expert assessment of the Functional Soft Tissue Belt</w:t>
      </w:r>
    </w:p>
    <w:p w14:paraId="6772A472" w14:textId="77777777" w:rsidR="00D1738A" w:rsidRDefault="00000000">
      <w:pPr>
        <w:pStyle w:val="a0"/>
        <w:spacing w:after="200" w:line="360" w:lineRule="auto"/>
        <w:rPr>
          <w:rFonts w:ascii="Arial" w:hAnsi="Arial" w:cs="Arial"/>
        </w:rPr>
      </w:pPr>
      <w:r>
        <w:rPr>
          <w:rFonts w:ascii="Arial" w:hAnsi="Arial" w:cs="Arial"/>
        </w:rPr>
        <w:t>Because pixel-perfect separation of individual shoulder muscles is technically challenging in non-contrast chest CT, we validated a clinically functional extraction zone rather than strict muscle-boundary segmentation. Specifically, a Functional Soft Tissue Belt was defined as the 0–25 mm circumferential zone surrounding the segmented skeletal structures, serving as the primary ROI for downstream analysis of compensatory soft-tissue signatures.</w:t>
      </w:r>
    </w:p>
    <w:p w14:paraId="341BAAAB" w14:textId="77777777" w:rsidR="00D1738A" w:rsidRDefault="00000000">
      <w:pPr>
        <w:pStyle w:val="a0"/>
        <w:spacing w:after="200" w:line="360" w:lineRule="auto"/>
        <w:rPr>
          <w:rFonts w:ascii="Arial" w:hAnsi="Arial" w:cs="Arial"/>
        </w:rPr>
      </w:pPr>
      <w:r>
        <w:rPr>
          <w:rFonts w:ascii="Arial" w:hAnsi="Arial" w:cs="Arial"/>
        </w:rPr>
        <w:t>For representative cases stratified by segmentation fidelity, three-dimensional visualizations were generated with the Belt Mask overlaid on the original CT images. Two blinded experts independently rated anatomical coverage using a 5-point Likert scale, where higher scores indicated better clinical plausibility and functional coverage of relevant muscle groups.</w:t>
      </w:r>
    </w:p>
    <w:p w14:paraId="246F2243" w14:textId="77777777" w:rsidR="00D1738A" w:rsidRDefault="00000000">
      <w:pPr>
        <w:numPr>
          <w:ilvl w:val="0"/>
          <w:numId w:val="2"/>
        </w:numPr>
        <w:spacing w:after="200" w:line="360" w:lineRule="auto"/>
        <w:rPr>
          <w:rFonts w:ascii="Arial" w:hAnsi="Arial" w:cs="Arial"/>
        </w:rPr>
      </w:pPr>
      <w:r>
        <w:rPr>
          <w:rFonts w:ascii="Arial" w:hAnsi="Arial" w:cs="Arial"/>
          <w:b/>
          <w:bCs/>
        </w:rPr>
        <w:lastRenderedPageBreak/>
        <w:t>5 (Excellent):</w:t>
      </w:r>
      <w:r>
        <w:rPr>
          <w:rFonts w:ascii="Arial" w:hAnsi="Arial" w:cs="Arial"/>
        </w:rPr>
        <w:t xml:space="preserve"> Perfectly encapsulates core muscle bellies (e.g., latissimus dorsi, trapezius) with no deviation.</w:t>
      </w:r>
    </w:p>
    <w:p w14:paraId="56822A66" w14:textId="77777777" w:rsidR="00D1738A" w:rsidRDefault="00000000">
      <w:pPr>
        <w:numPr>
          <w:ilvl w:val="0"/>
          <w:numId w:val="2"/>
        </w:numPr>
        <w:spacing w:after="200" w:line="360" w:lineRule="auto"/>
        <w:rPr>
          <w:rFonts w:ascii="Arial" w:hAnsi="Arial" w:cs="Arial"/>
        </w:rPr>
      </w:pPr>
      <w:r>
        <w:rPr>
          <w:rFonts w:ascii="Arial" w:hAnsi="Arial" w:cs="Arial"/>
          <w:b/>
          <w:bCs/>
        </w:rPr>
        <w:t>4 (Good):</w:t>
      </w:r>
      <w:r>
        <w:rPr>
          <w:rFonts w:ascii="Arial" w:hAnsi="Arial" w:cs="Arial"/>
        </w:rPr>
        <w:t xml:space="preserve"> Covers target muscles with minor peripheral drift not impacting HU extraction.</w:t>
      </w:r>
    </w:p>
    <w:p w14:paraId="5AA15E86" w14:textId="77777777" w:rsidR="00D1738A" w:rsidRDefault="00000000">
      <w:pPr>
        <w:numPr>
          <w:ilvl w:val="0"/>
          <w:numId w:val="2"/>
        </w:numPr>
        <w:spacing w:after="200" w:line="360" w:lineRule="auto"/>
        <w:rPr>
          <w:rFonts w:ascii="Arial" w:hAnsi="Arial" w:cs="Arial"/>
        </w:rPr>
      </w:pPr>
      <w:r>
        <w:rPr>
          <w:rFonts w:ascii="Arial" w:hAnsi="Arial" w:cs="Arial"/>
          <w:b/>
          <w:bCs/>
        </w:rPr>
        <w:t>3 (Acceptable):</w:t>
      </w:r>
      <w:r>
        <w:rPr>
          <w:rFonts w:ascii="Arial" w:hAnsi="Arial" w:cs="Arial"/>
        </w:rPr>
        <w:t xml:space="preserve"> Covers the majority of target structures with minor inclusion of non-muscular tissue.</w:t>
      </w:r>
    </w:p>
    <w:p w14:paraId="7BB421DA" w14:textId="77777777" w:rsidR="00D1738A" w:rsidRDefault="00000000">
      <w:pPr>
        <w:numPr>
          <w:ilvl w:val="0"/>
          <w:numId w:val="2"/>
        </w:numPr>
        <w:spacing w:after="200" w:line="360" w:lineRule="auto"/>
        <w:rPr>
          <w:rFonts w:ascii="Arial" w:eastAsiaTheme="minorEastAsia" w:hAnsi="Arial" w:cs="Arial"/>
        </w:rPr>
      </w:pPr>
      <w:r>
        <w:rPr>
          <w:rFonts w:ascii="Arial" w:hAnsi="Arial" w:cs="Arial"/>
          <w:b/>
          <w:bCs/>
        </w:rPr>
        <w:t>2–1 (Inadequate):</w:t>
      </w:r>
      <w:r>
        <w:rPr>
          <w:rFonts w:ascii="Arial" w:hAnsi="Arial" w:cs="Arial"/>
        </w:rPr>
        <w:t xml:space="preserve"> Significant misalignment or failure to capture compensatory muscle groups. </w:t>
      </w:r>
    </w:p>
    <w:p w14:paraId="4883ACF8" w14:textId="77777777" w:rsidR="00D1738A" w:rsidRDefault="00000000">
      <w:pPr>
        <w:pStyle w:val="a0"/>
        <w:spacing w:after="200" w:line="360" w:lineRule="auto"/>
        <w:rPr>
          <w:rFonts w:ascii="Arial" w:hAnsi="Arial" w:cs="Arial"/>
        </w:rPr>
      </w:pPr>
      <w:r>
        <w:rPr>
          <w:rFonts w:ascii="Arial" w:hAnsi="Arial" w:cs="Arial"/>
        </w:rPr>
        <w:t>Inter-rater reliability was quantified using weighted Cohen’s kappa with 95% confidence intervals (CI). In addition, systematic bias between expert ratings was assessed using Bland–Altman analysis.</w:t>
      </w:r>
    </w:p>
    <w:p w14:paraId="7E8F7AD6" w14:textId="77777777" w:rsidR="00D1738A" w:rsidRDefault="00000000">
      <w:pPr>
        <w:pStyle w:val="a0"/>
        <w:spacing w:after="200" w:line="360" w:lineRule="auto"/>
        <w:rPr>
          <w:rFonts w:ascii="Arial" w:hAnsi="Arial" w:cs="Arial"/>
        </w:rPr>
      </w:pPr>
      <w:r>
        <w:rPr>
          <w:rFonts w:ascii="Arial" w:hAnsi="Arial" w:cs="Arial"/>
          <w:b/>
          <w:bCs/>
        </w:rPr>
        <w:t>Results</w:t>
      </w:r>
      <w:r>
        <w:rPr>
          <w:rFonts w:ascii="Arial" w:hAnsi="Arial" w:cs="Arial"/>
        </w:rPr>
        <w:br/>
        <w:t xml:space="preserve">The Clinical Acceptance Rate (Likert score ≥ 4) was </w:t>
      </w:r>
      <w:r>
        <w:rPr>
          <w:rFonts w:ascii="Arial" w:hAnsi="Arial" w:cs="Arial"/>
          <w:b/>
          <w:bCs/>
        </w:rPr>
        <w:t>87.5%</w:t>
      </w:r>
      <w:r>
        <w:rPr>
          <w:rFonts w:ascii="Arial" w:hAnsi="Arial" w:cs="Arial"/>
        </w:rPr>
        <w:t xml:space="preserve">. Mean scores were </w:t>
      </w:r>
      <w:r>
        <w:rPr>
          <w:rFonts w:ascii="Arial" w:hAnsi="Arial" w:cs="Arial"/>
          <w:b/>
          <w:bCs/>
        </w:rPr>
        <w:t xml:space="preserve">4.38 (95% CI: 4.13–4.62) </w:t>
      </w:r>
      <w:r>
        <w:rPr>
          <w:rFonts w:ascii="Arial" w:hAnsi="Arial" w:cs="Arial"/>
        </w:rPr>
        <w:t>and 4.45</w:t>
      </w:r>
      <w:r>
        <w:rPr>
          <w:rFonts w:ascii="Arial" w:hAnsi="Arial" w:cs="Arial"/>
          <w:b/>
          <w:bCs/>
        </w:rPr>
        <w:t xml:space="preserve"> (95% CI: 4.22–4.68) </w:t>
      </w:r>
      <w:r>
        <w:rPr>
          <w:rFonts w:ascii="Arial" w:hAnsi="Arial" w:cs="Arial"/>
        </w:rPr>
        <w:t xml:space="preserve">for the two experts, respectively, demonstrating excellent inter-rater reliability (weighted kappa = </w:t>
      </w:r>
      <w:r>
        <w:rPr>
          <w:rFonts w:ascii="Arial" w:hAnsi="Arial" w:cs="Arial"/>
          <w:b/>
          <w:bCs/>
        </w:rPr>
        <w:t>0.885; 95% CI: 0.773–0.967</w:t>
      </w:r>
      <w:r>
        <w:rPr>
          <w:rFonts w:ascii="Arial" w:hAnsi="Arial" w:cs="Arial"/>
        </w:rPr>
        <w:t>). Bland–Altman analysis revealed a near-zero mean difference (</w:t>
      </w:r>
      <w:r>
        <w:rPr>
          <w:rFonts w:ascii="Arial" w:hAnsi="Arial" w:cs="Arial"/>
          <w:b/>
          <w:bCs/>
        </w:rPr>
        <w:t>−0.07</w:t>
      </w:r>
      <w:r>
        <w:rPr>
          <w:rFonts w:ascii="Arial" w:hAnsi="Arial" w:cs="Arial"/>
        </w:rPr>
        <w:t>) and narrow, symmetric limits of agreement, indicating the absence of systematic scoring bias</w:t>
      </w:r>
      <w:r>
        <w:rPr>
          <w:rFonts w:ascii="Arial" w:hAnsi="Arial" w:cs="Arial"/>
          <w:b/>
          <w:bCs/>
        </w:rPr>
        <w:t>(Supplementary Figure S9)</w:t>
      </w:r>
      <w:r>
        <w:rPr>
          <w:rFonts w:ascii="Arial" w:hAnsi="Arial" w:cs="Arial"/>
        </w:rPr>
        <w:t>.</w:t>
      </w:r>
    </w:p>
    <w:p w14:paraId="61684E4A" w14:textId="77777777" w:rsidR="00D1738A" w:rsidRDefault="00000000">
      <w:pPr>
        <w:widowControl/>
        <w:jc w:val="left"/>
        <w:rPr>
          <w:rFonts w:ascii="Arial" w:eastAsiaTheme="minorEastAsia" w:hAnsi="Arial" w:cs="Arial"/>
        </w:rPr>
      </w:pPr>
      <w:r>
        <w:rPr>
          <w:rFonts w:ascii="Arial" w:hAnsi="Arial" w:cs="Arial"/>
        </w:rPr>
        <w:br w:type="page"/>
      </w:r>
    </w:p>
    <w:p w14:paraId="7990521C" w14:textId="77777777" w:rsidR="00D1738A" w:rsidRDefault="00000000">
      <w:pPr>
        <w:pStyle w:val="2"/>
        <w:rPr>
          <w:rFonts w:ascii="Arial" w:hAnsi="Arial" w:cs="Arial"/>
        </w:rPr>
      </w:pPr>
      <w:r>
        <w:rPr>
          <w:rFonts w:ascii="Arial" w:hAnsi="Arial" w:cs="Arial"/>
        </w:rPr>
        <w:lastRenderedPageBreak/>
        <w:t>S</w:t>
      </w:r>
      <w:r>
        <w:rPr>
          <w:rFonts w:ascii="Arial" w:eastAsiaTheme="minorEastAsia" w:hAnsi="Arial" w:cs="Arial" w:hint="eastAsia"/>
        </w:rPr>
        <w:t>3</w:t>
      </w:r>
      <w:r>
        <w:rPr>
          <w:rFonts w:ascii="Arial" w:hAnsi="Arial" w:cs="Arial"/>
        </w:rPr>
        <w:t xml:space="preserve">. Technical </w:t>
      </w:r>
      <w:r>
        <w:rPr>
          <w:rFonts w:ascii="Arial" w:eastAsiaTheme="minorEastAsia" w:hAnsi="Arial" w:cs="Arial" w:hint="eastAsia"/>
        </w:rPr>
        <w:t>Details</w:t>
      </w:r>
      <w:r>
        <w:rPr>
          <w:rFonts w:ascii="Arial" w:hAnsi="Arial" w:cs="Arial"/>
        </w:rPr>
        <w:t xml:space="preserve"> of the Image Analysis Pipeline and Hybrid Model Architecture</w:t>
      </w:r>
    </w:p>
    <w:p w14:paraId="30AAE539" w14:textId="77777777" w:rsidR="00D1738A" w:rsidRDefault="00000000">
      <w:pPr>
        <w:spacing w:afterLines="100" w:after="240" w:line="360" w:lineRule="auto"/>
        <w:rPr>
          <w:rFonts w:ascii="Arial" w:hAnsi="Arial" w:cs="Arial"/>
          <w:b/>
          <w:bCs/>
        </w:rPr>
      </w:pPr>
      <w:r>
        <w:rPr>
          <w:rFonts w:ascii="Arial" w:hAnsi="Arial" w:cs="Arial" w:hint="eastAsia"/>
          <w:b/>
          <w:bCs/>
        </w:rPr>
        <w:t>S</w:t>
      </w:r>
      <w:r>
        <w:rPr>
          <w:rFonts w:ascii="Arial" w:eastAsiaTheme="minorEastAsia" w:hAnsi="Arial" w:cs="Arial" w:hint="eastAsia"/>
          <w:b/>
          <w:bCs/>
        </w:rPr>
        <w:t>3</w:t>
      </w:r>
      <w:r>
        <w:rPr>
          <w:rFonts w:ascii="Arial" w:hAnsi="Arial" w:cs="Arial" w:hint="eastAsia"/>
          <w:b/>
          <w:bCs/>
        </w:rPr>
        <w:t xml:space="preserve">.1 </w:t>
      </w:r>
      <w:r>
        <w:rPr>
          <w:rFonts w:ascii="Arial" w:hAnsi="Arial" w:cs="Arial"/>
          <w:b/>
          <w:bCs/>
        </w:rPr>
        <w:t>Detailed Preprocessing Protocols</w:t>
      </w:r>
    </w:p>
    <w:p w14:paraId="272888A9" w14:textId="77777777" w:rsidR="00D1738A" w:rsidRDefault="00000000">
      <w:pPr>
        <w:spacing w:after="200" w:line="360" w:lineRule="auto"/>
        <w:rPr>
          <w:rFonts w:ascii="Arial" w:hAnsi="Arial" w:cs="Arial"/>
        </w:rPr>
      </w:pPr>
      <w:r>
        <w:rPr>
          <w:rFonts w:ascii="Arial" w:hAnsi="Arial" w:cs="Arial"/>
        </w:rPr>
        <w:t>Resampling was performed via trilinear interpolation using the SimpleITK library. The intensity normalization process was governed by the following equation:</w:t>
      </w:r>
    </w:p>
    <w:p w14:paraId="590F83C6" w14:textId="77777777" w:rsidR="00D1738A" w:rsidRDefault="00000000">
      <w:pPr>
        <w:spacing w:after="200" w:line="360" w:lineRule="auto"/>
        <w:rPr>
          <w:rFonts w:ascii="Arial" w:hAnsi="Arial" w:cs="Arial"/>
        </w:rPr>
      </w:pPr>
      <m:oMathPara>
        <m:oMathParaPr>
          <m:jc m:val="center"/>
        </m:oMathParaPr>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norm</m:t>
              </m:r>
            </m:sub>
          </m:sSub>
          <m:r>
            <m:rPr>
              <m:sty m:val="p"/>
            </m:rPr>
            <w:rPr>
              <w:rFonts w:ascii="Cambria Math" w:hAnsi="Cambria Math" w:cs="Arial"/>
            </w:rPr>
            <m:t>=</m:t>
          </m:r>
          <m:r>
            <m:rPr>
              <m:nor/>
            </m:rPr>
            <w:rPr>
              <w:rFonts w:ascii="Cambria Math" w:hAnsi="Cambria Math" w:cs="Arial"/>
            </w:rPr>
            <m:t>clip</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raw</m:t>
                      </m:r>
                    </m:sub>
                  </m:sSub>
                  <m:r>
                    <m:rPr>
                      <m:sty m:val="p"/>
                    </m:rPr>
                    <w:rPr>
                      <w:rFonts w:ascii="Cambria Math" w:hAnsi="Cambria Math" w:cs="Arial"/>
                    </w:rPr>
                    <m:t>+200</m:t>
                  </m:r>
                </m:num>
                <m:den>
                  <m:r>
                    <m:rPr>
                      <m:sty m:val="p"/>
                    </m:rPr>
                    <w:rPr>
                      <w:rFonts w:ascii="Cambria Math" w:hAnsi="Cambria Math" w:cs="Arial"/>
                    </w:rPr>
                    <m:t>1000</m:t>
                  </m:r>
                </m:den>
              </m:f>
              <m:r>
                <m:rPr>
                  <m:sty m:val="p"/>
                </m:rPr>
                <w:rPr>
                  <w:rFonts w:ascii="Cambria Math" w:hAnsi="Cambria Math" w:cs="Arial"/>
                </w:rPr>
                <m:t>,0,1</m:t>
              </m:r>
            </m:e>
          </m:d>
        </m:oMath>
      </m:oMathPara>
    </w:p>
    <w:p w14:paraId="433F2E9A" w14:textId="77777777" w:rsidR="00D1738A" w:rsidRDefault="00000000">
      <w:pPr>
        <w:spacing w:after="200" w:line="360" w:lineRule="auto"/>
        <w:rPr>
          <w:rFonts w:ascii="Arial" w:hAnsi="Arial" w:cs="Arial"/>
        </w:rPr>
      </w:pPr>
      <w:r>
        <w:rPr>
          <w:rFonts w:ascii="Arial" w:hAnsi="Arial" w:cs="Arial"/>
        </w:rPr>
        <w:t xml:space="preserve">where </w:t>
      </w:r>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raw</m:t>
            </m:r>
          </m:sub>
        </m:sSub>
      </m:oMath>
      <w:r>
        <w:rPr>
          <w:rFonts w:ascii="Arial" w:hAnsi="Arial" w:cs="Arial"/>
        </w:rPr>
        <w:t xml:space="preserve"> denotes the native radiodensity of the voxel in Hounsfield Units, and </w:t>
      </w:r>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norm</m:t>
            </m:r>
          </m:sub>
        </m:sSub>
      </m:oMath>
      <w:r>
        <w:rPr>
          <w:rFonts w:ascii="Arial" w:hAnsi="Arial" w:cs="Arial"/>
        </w:rPr>
        <w:t xml:space="preserve"> represents the normalized intensity value. The function </w:t>
      </w:r>
      <m:oMath>
        <m:r>
          <m:rPr>
            <m:nor/>
          </m:rPr>
          <w:rPr>
            <w:rFonts w:ascii="Cambria Math" w:hAnsi="Cambria Math" w:cs="Arial"/>
          </w:rPr>
          <m:t>clip</m:t>
        </m:r>
        <m:r>
          <m:rPr>
            <m:sty m:val="p"/>
          </m:rPr>
          <w:rPr>
            <w:rFonts w:ascii="Cambria Math" w:hAnsi="Cambria Math" w:cs="Arial"/>
          </w:rPr>
          <m:t>(x,a,b)</m:t>
        </m:r>
      </m:oMath>
      <w:r>
        <w:rPr>
          <w:rFonts w:ascii="Arial" w:hAnsi="Arial" w:cs="Arial"/>
        </w:rPr>
        <w:t xml:space="preserve"> constrains values within the interval </w:t>
      </w:r>
      <m:oMath>
        <m:r>
          <m:rPr>
            <m:sty m:val="p"/>
          </m:rPr>
          <w:rPr>
            <w:rFonts w:ascii="Cambria Math" w:hAnsi="Cambria Math" w:cs="Arial"/>
          </w:rPr>
          <m:t>[a,b]</m:t>
        </m:r>
      </m:oMath>
      <w:r>
        <w:rPr>
          <w:rFonts w:ascii="Arial" w:hAnsi="Arial" w:cs="Arial"/>
        </w:rPr>
        <w:t>. Specifically, signals below −200 HU (approximating air) and above 800 HU (approximating cortical bone or metallic artifacts) were truncated to maximize the dynamic range for soft tissue analysis.</w:t>
      </w:r>
    </w:p>
    <w:p w14:paraId="69EBA475" w14:textId="77777777" w:rsidR="00D1738A" w:rsidRDefault="00000000">
      <w:pPr>
        <w:spacing w:afterLines="100" w:after="240" w:line="360" w:lineRule="auto"/>
        <w:rPr>
          <w:rFonts w:ascii="Arial" w:hAnsi="Arial" w:cs="Arial"/>
          <w:b/>
          <w:bCs/>
        </w:rPr>
      </w:pPr>
      <w:r>
        <w:rPr>
          <w:rFonts w:ascii="Arial" w:hAnsi="Arial" w:cs="Arial" w:hint="eastAsia"/>
          <w:b/>
          <w:bCs/>
        </w:rPr>
        <w:t>S</w:t>
      </w:r>
      <w:r>
        <w:rPr>
          <w:rFonts w:ascii="Arial" w:eastAsiaTheme="minorEastAsia" w:hAnsi="Arial" w:cs="Arial" w:hint="eastAsia"/>
          <w:b/>
          <w:bCs/>
        </w:rPr>
        <w:t>3</w:t>
      </w:r>
      <w:r>
        <w:rPr>
          <w:rFonts w:ascii="Arial" w:hAnsi="Arial" w:cs="Arial" w:hint="eastAsia"/>
          <w:b/>
          <w:bCs/>
        </w:rPr>
        <w:t>.2 ROI Definition and Localization Algorithm</w:t>
      </w:r>
    </w:p>
    <w:p w14:paraId="10110688" w14:textId="77777777" w:rsidR="00D1738A" w:rsidRDefault="00000000">
      <w:pPr>
        <w:spacing w:after="200" w:line="360" w:lineRule="auto"/>
        <w:rPr>
          <w:rFonts w:ascii="Arial" w:hAnsi="Arial" w:cs="Arial"/>
        </w:rPr>
      </w:pPr>
      <w:r>
        <w:rPr>
          <w:rFonts w:ascii="Arial" w:hAnsi="Arial" w:cs="Arial" w:hint="eastAsia"/>
        </w:rPr>
        <w:t>The 14 segmented regions of interest (ROIs) included 10 muscle groups (supraspinatus, infraspinatus, subscapularis, teres major, pectoralis major, pectoralis minor, triceps brachii, deltoid, trapezius, and latissimus dorsi) and 4 skeletal landmarks (humerus, scapula, T1 vertebra, and C7 vertebra).</w:t>
      </w:r>
      <w:r>
        <w:rPr>
          <w:rFonts w:ascii="Arial" w:eastAsia="宋体" w:hAnsi="Arial" w:cs="Arial" w:hint="eastAsia"/>
        </w:rPr>
        <w:t xml:space="preserve"> </w:t>
      </w:r>
      <w:r>
        <w:rPr>
          <w:rFonts w:ascii="Arial" w:hAnsi="Arial" w:cs="Arial" w:hint="eastAsia"/>
        </w:rPr>
        <w:t>The coordinate system was constructed using a geometric approach to normalize variability. Specifically, the maximum Z-axis coordinate of the lung apex served as the superior-inferior reference anchor. On the X-Y plane, a local coordinate system was defined by integrating the spatial centroids of the clavicle and scapula. This registration process corrected for non-standard positioning, ensuring anatomical consistency across the cohort.</w:t>
      </w:r>
    </w:p>
    <w:p w14:paraId="783443B4" w14:textId="77777777" w:rsidR="00D1738A" w:rsidRDefault="00000000">
      <w:pPr>
        <w:spacing w:afterLines="100" w:after="240" w:line="360" w:lineRule="auto"/>
        <w:rPr>
          <w:rFonts w:ascii="Arial" w:hAnsi="Arial" w:cs="Arial"/>
          <w:b/>
          <w:bCs/>
        </w:rPr>
      </w:pPr>
      <w:r>
        <w:rPr>
          <w:rFonts w:ascii="Arial" w:hAnsi="Arial" w:cs="Arial" w:hint="eastAsia"/>
          <w:b/>
          <w:bCs/>
        </w:rPr>
        <w:t>S</w:t>
      </w:r>
      <w:r>
        <w:rPr>
          <w:rFonts w:ascii="Arial" w:eastAsiaTheme="minorEastAsia" w:hAnsi="Arial" w:cs="Arial" w:hint="eastAsia"/>
          <w:b/>
          <w:bCs/>
        </w:rPr>
        <w:t>3</w:t>
      </w:r>
      <w:r>
        <w:rPr>
          <w:rFonts w:ascii="Arial" w:hAnsi="Arial" w:cs="Arial" w:hint="eastAsia"/>
          <w:b/>
          <w:bCs/>
        </w:rPr>
        <w:t>.3 Deep Learning Architecture and Attention Mechanism</w:t>
      </w:r>
    </w:p>
    <w:p w14:paraId="0816485B" w14:textId="1E166B5E" w:rsidR="00D1738A" w:rsidRDefault="00000000">
      <w:pPr>
        <w:spacing w:after="200" w:line="360" w:lineRule="auto"/>
        <w:rPr>
          <w:rFonts w:ascii="Arial" w:hAnsi="Arial" w:cs="Arial"/>
        </w:rPr>
      </w:pPr>
      <w:r>
        <w:rPr>
          <w:rFonts w:ascii="Arial" w:hAnsi="Arial" w:cs="Arial" w:hint="eastAsia"/>
        </w:rPr>
        <w:t xml:space="preserve">Each bag consisted of a maximum of </w:t>
      </w:r>
      <w:r>
        <w:rPr>
          <w:rFonts w:ascii="Arial" w:hAnsi="Arial" w:cs="Arial"/>
        </w:rPr>
        <w:t>N=48</w:t>
      </w:r>
      <w:r>
        <w:rPr>
          <w:rFonts w:ascii="Arial" w:eastAsiaTheme="minorEastAsia" w:hAnsi="Arial" w:cs="Arial" w:hint="eastAsia"/>
        </w:rPr>
        <w:t xml:space="preserve"> </w:t>
      </w:r>
      <w:r>
        <w:rPr>
          <w:rFonts w:ascii="Arial" w:hAnsi="Arial" w:cs="Arial" w:hint="eastAsia"/>
        </w:rPr>
        <w:t xml:space="preserve">instances. Each instance was a 3D patch of size </w:t>
      </w:r>
      <w:r>
        <w:rPr>
          <w:rFonts w:ascii="Arial" w:hAnsi="Arial" w:cs="Arial"/>
        </w:rPr>
        <w:t>48×48×48</w:t>
      </w:r>
      <w:r>
        <w:rPr>
          <w:rFonts w:ascii="Arial" w:hAnsi="Arial" w:cs="Arial" w:hint="eastAsia"/>
        </w:rPr>
        <w:t xml:space="preserve"> voxels.</w:t>
      </w:r>
      <w:r>
        <w:rPr>
          <w:rFonts w:ascii="Arial" w:eastAsia="宋体" w:hAnsi="Arial" w:cs="Arial" w:hint="eastAsia"/>
        </w:rPr>
        <w:t xml:space="preserve"> </w:t>
      </w:r>
      <w:r>
        <w:rPr>
          <w:rFonts w:ascii="Arial" w:hAnsi="Arial" w:cs="Arial" w:hint="eastAsia"/>
        </w:rPr>
        <w:t>The encoder (Simple3DEncoder) produced 256-dimensional instance-level embeddings (</w:t>
      </w:r>
      <m:oMath>
        <m:sSub>
          <m:sSubPr>
            <m:ctrlPr>
              <w:rPr>
                <w:rFonts w:ascii="Cambria Math" w:hAnsi="Cambria Math" w:cs="Arial" w:hint="eastAsia"/>
              </w:rPr>
            </m:ctrlPr>
          </m:sSubPr>
          <m:e>
            <m:r>
              <m:rPr>
                <m:sty m:val="p"/>
              </m:rPr>
              <w:rPr>
                <w:rFonts w:ascii="Cambria Math" w:hAnsi="Cambria Math" w:cs="Arial" w:hint="eastAsia"/>
              </w:rPr>
              <m:t>h</m:t>
            </m:r>
          </m:e>
          <m:sub>
            <m:r>
              <m:rPr>
                <m:sty m:val="p"/>
              </m:rPr>
              <w:rPr>
                <w:rFonts w:ascii="Cambria Math" w:hAnsi="Cambria Math" w:cs="Arial" w:hint="eastAsia"/>
              </w:rPr>
              <m:t>k</m:t>
            </m:r>
          </m:sub>
        </m:sSub>
      </m:oMath>
      <w:r>
        <w:rPr>
          <w:rFonts w:ascii="Arial" w:hAnsi="Arial" w:cs="Arial" w:hint="eastAsia"/>
        </w:rPr>
        <w:t>).</w:t>
      </w:r>
      <w:r>
        <w:rPr>
          <w:rFonts w:ascii="Arial" w:eastAsia="宋体" w:hAnsi="Arial" w:cs="Arial" w:hint="eastAsia"/>
        </w:rPr>
        <w:t xml:space="preserve"> </w:t>
      </w:r>
      <w:r>
        <w:rPr>
          <w:rFonts w:ascii="Arial" w:hAnsi="Arial" w:cs="Arial" w:hint="eastAsia"/>
        </w:rPr>
        <w:t>To capture complex non-linear relationships among instances, we employed the Gated Attention mechanism proposed by Ilse et al</w:t>
      </w:r>
      <w:r>
        <w:rPr>
          <w:rFonts w:ascii="Arial" w:hAnsi="Arial" w:cs="Arial"/>
        </w:rPr>
        <w:fldChar w:fldCharType="begin"/>
      </w:r>
      <w:r w:rsidR="003F5DC5">
        <w:rPr>
          <w:rFonts w:ascii="Arial" w:hAnsi="Arial" w:cs="Arial"/>
        </w:rPr>
        <w:instrText xml:space="preserve"> ADDIN EN.CITE &lt;EndNote&gt;&lt;Cite&gt;&lt;Author&gt;Ilse&lt;/Author&gt;&lt;Year&gt;2018&lt;/Year&gt;&lt;RecNum&gt;51&lt;/RecNum&gt;&lt;DisplayText&gt;&lt;style face="superscript"&gt;1&lt;/style&gt;&lt;/DisplayText&gt;&lt;record&gt;&lt;rec-number&gt;51&lt;/rec-number&gt;&lt;foreign-keys&gt;&lt;key app="EN" db-id="tx9z5az5k00esre9tw8xe52r29vatv29a55x" timestamp="1770626587"&gt;51&lt;/key&gt;&lt;/foreign-keys&gt;&lt;ref-type name="Conference Proceedings"&gt;10&lt;/ref-type&gt;&lt;contributors&gt;&lt;authors&gt;&lt;author&gt;Ilse, Maximilian&lt;/author&gt;&lt;author&gt;Tomczak, Jakub&lt;/author&gt;&lt;author&gt;Welling, Max&lt;/author&gt;&lt;/authors&gt;&lt;/contributors&gt;&lt;titles&gt;&lt;title&gt;Attention-based deep multiple instance learning&lt;/title&gt;&lt;secondary-title&gt;International conference on machine learning&lt;/secondary-title&gt;&lt;/titles&gt;&lt;pages&gt;2127-2136&lt;/pages&gt;&lt;dates&gt;&lt;year&gt;2018&lt;/year&gt;&lt;/dates&gt;&lt;publisher&gt;PMLR&lt;/publisher&gt;&lt;isbn&gt;2640-3498&lt;/isbn&gt;&lt;urls&gt;&lt;/urls&gt;&lt;/record&gt;&lt;/Cite&gt;&lt;/EndNote&gt;</w:instrText>
      </w:r>
      <w:r>
        <w:rPr>
          <w:rFonts w:ascii="Arial" w:hAnsi="Arial" w:cs="Arial"/>
        </w:rPr>
        <w:fldChar w:fldCharType="separate"/>
      </w:r>
      <w:r w:rsidR="003F5DC5" w:rsidRPr="003F5DC5">
        <w:rPr>
          <w:rFonts w:ascii="Arial" w:hAnsi="Arial" w:cs="Arial"/>
          <w:noProof/>
          <w:vertAlign w:val="superscript"/>
        </w:rPr>
        <w:t>1</w:t>
      </w:r>
      <w:r>
        <w:rPr>
          <w:rFonts w:ascii="Arial" w:hAnsi="Arial" w:cs="Arial"/>
        </w:rPr>
        <w:fldChar w:fldCharType="end"/>
      </w:r>
      <w:r>
        <w:rPr>
          <w:rFonts w:ascii="Arial" w:hAnsi="Arial" w:cs="Arial" w:hint="eastAsia"/>
        </w:rPr>
        <w:t>.</w:t>
      </w:r>
    </w:p>
    <w:p w14:paraId="59E27731" w14:textId="77777777" w:rsidR="00D1738A" w:rsidRDefault="00000000">
      <w:pPr>
        <w:spacing w:after="200" w:line="360" w:lineRule="auto"/>
        <w:rPr>
          <w:rFonts w:ascii="Arial" w:hAnsi="Arial" w:cs="Arial"/>
        </w:rPr>
      </w:pPr>
      <w:r>
        <w:rPr>
          <w:rFonts w:ascii="Arial" w:hAnsi="Arial" w:cs="Arial" w:hint="eastAsia"/>
        </w:rPr>
        <w:lastRenderedPageBreak/>
        <w:t xml:space="preserve">The attention weight </w:t>
      </w:r>
      <m:oMath>
        <m:sSub>
          <m:sSubPr>
            <m:ctrlPr>
              <w:rPr>
                <w:rFonts w:ascii="Cambria Math" w:hAnsi="Cambria Math" w:cs="Arial" w:hint="eastAsia"/>
              </w:rPr>
            </m:ctrlPr>
          </m:sSubPr>
          <m:e>
            <m:r>
              <m:rPr>
                <m:sty m:val="p"/>
              </m:rPr>
              <w:rPr>
                <w:rFonts w:ascii="Cambria Math" w:hAnsi="Cambria Math" w:cs="Arial" w:hint="eastAsia"/>
              </w:rPr>
              <m:t>a</m:t>
            </m:r>
          </m:e>
          <m:sub>
            <m:r>
              <m:rPr>
                <m:sty m:val="p"/>
              </m:rPr>
              <w:rPr>
                <w:rFonts w:ascii="Cambria Math" w:hAnsi="Cambria Math" w:cs="Arial" w:hint="eastAsia"/>
              </w:rPr>
              <m:t>k</m:t>
            </m:r>
          </m:sub>
        </m:sSub>
      </m:oMath>
      <w:r>
        <w:rPr>
          <w:rFonts w:ascii="Arial" w:hAnsi="Arial" w:cs="Arial" w:hint="eastAsia"/>
        </w:rPr>
        <w:t xml:space="preserve"> for each patch is computed as follows:</w:t>
      </w:r>
    </w:p>
    <w:p w14:paraId="60036C1D" w14:textId="77777777" w:rsidR="00D1738A" w:rsidRDefault="00000000">
      <w:pPr>
        <w:spacing w:after="200" w:line="360" w:lineRule="auto"/>
        <w:rPr>
          <w:rFonts w:ascii="Arial" w:eastAsiaTheme="minorEastAsia" w:hAnsi="Arial" w:cs="Arial"/>
        </w:rPr>
      </w:pPr>
      <w:r>
        <w:rPr>
          <w:rFonts w:eastAsiaTheme="minorEastAsia"/>
          <w:noProof/>
        </w:rPr>
        <w:drawing>
          <wp:inline distT="0" distB="0" distL="0" distR="0" wp14:anchorId="208C6E7E" wp14:editId="4677A8FF">
            <wp:extent cx="5943600" cy="658495"/>
            <wp:effectExtent l="0" t="0" r="0" b="0"/>
            <wp:docPr id="10948395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959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658495"/>
                    </a:xfrm>
                    <a:prstGeom prst="rect">
                      <a:avLst/>
                    </a:prstGeom>
                    <a:noFill/>
                    <a:ln>
                      <a:noFill/>
                    </a:ln>
                  </pic:spPr>
                </pic:pic>
              </a:graphicData>
            </a:graphic>
          </wp:inline>
        </w:drawing>
      </w:r>
    </w:p>
    <w:p w14:paraId="7E578227" w14:textId="77777777" w:rsidR="00D1738A" w:rsidRDefault="00000000">
      <w:pPr>
        <w:spacing w:after="200" w:line="360" w:lineRule="auto"/>
        <w:rPr>
          <w:rFonts w:ascii="Arial" w:hAnsi="Arial" w:cs="Arial"/>
        </w:rPr>
      </w:pPr>
      <w:r>
        <w:rPr>
          <w:rFonts w:ascii="Arial" w:hAnsi="Arial" w:cs="Arial" w:hint="eastAsia"/>
        </w:rPr>
        <w:t>Where:</w:t>
      </w:r>
    </w:p>
    <w:p w14:paraId="7E290867" w14:textId="77777777" w:rsidR="00D1738A" w:rsidRDefault="00000000">
      <w:pPr>
        <w:spacing w:after="200" w:line="360" w:lineRule="auto"/>
        <w:rPr>
          <w:rFonts w:ascii="Arial" w:hAnsi="Arial" w:cs="Arial"/>
        </w:rPr>
      </w:pPr>
      <m:oMath>
        <m:sSub>
          <m:sSubPr>
            <m:ctrlPr>
              <w:rPr>
                <w:rFonts w:ascii="Cambria Math" w:hAnsi="Cambria Math" w:cs="Arial" w:hint="eastAsia"/>
              </w:rPr>
            </m:ctrlPr>
          </m:sSubPr>
          <m:e>
            <m:r>
              <m:rPr>
                <m:sty m:val="p"/>
              </m:rPr>
              <w:rPr>
                <w:rFonts w:ascii="Cambria Math" w:hAnsi="Cambria Math" w:cs="Arial" w:hint="eastAsia"/>
              </w:rPr>
              <m:t>h</m:t>
            </m:r>
          </m:e>
          <m:sub>
            <m:r>
              <m:rPr>
                <m:sty m:val="p"/>
              </m:rPr>
              <w:rPr>
                <w:rFonts w:ascii="Cambria Math" w:hAnsi="Cambria Math" w:cs="Arial" w:hint="eastAsia"/>
              </w:rPr>
              <m:t>k</m:t>
            </m:r>
          </m:sub>
        </m:sSub>
      </m:oMath>
      <w:r>
        <w:rPr>
          <w:rFonts w:ascii="Arial" w:hAnsi="Arial" w:cs="Arial" w:hint="eastAsia"/>
        </w:rPr>
        <w:t xml:space="preserve"> is the 3D CNN-encoded feature vector of the </w:t>
      </w:r>
      <m:oMath>
        <m:r>
          <m:rPr>
            <m:sty m:val="p"/>
          </m:rPr>
          <w:rPr>
            <w:rFonts w:ascii="Cambria Math" w:hAnsi="Cambria Math" w:cs="Arial" w:hint="eastAsia"/>
          </w:rPr>
          <m:t>k</m:t>
        </m:r>
      </m:oMath>
      <w:r>
        <w:rPr>
          <w:rFonts w:ascii="Arial" w:hAnsi="Arial" w:cs="Arial" w:hint="eastAsia"/>
        </w:rPr>
        <w:t>-th instance (patch).</w:t>
      </w:r>
    </w:p>
    <w:p w14:paraId="0734498A" w14:textId="77777777" w:rsidR="00D1738A" w:rsidRDefault="00000000">
      <w:pPr>
        <w:spacing w:after="200" w:line="360" w:lineRule="auto"/>
        <w:rPr>
          <w:rFonts w:ascii="Arial" w:hAnsi="Arial" w:cs="Arial"/>
        </w:rPr>
      </w:pPr>
      <m:oMath>
        <m:r>
          <m:rPr>
            <m:sty m:val="p"/>
          </m:rPr>
          <w:rPr>
            <w:rFonts w:ascii="Cambria Math" w:hAnsi="Cambria Math" w:cs="Arial" w:hint="eastAsia"/>
          </w:rPr>
          <m:t>w</m:t>
        </m:r>
      </m:oMath>
      <w:r>
        <w:rPr>
          <w:rFonts w:ascii="Arial" w:hAnsi="Arial" w:cs="Arial" w:hint="eastAsia"/>
        </w:rPr>
        <w:t xml:space="preserve"> and </w:t>
      </w:r>
      <m:oMath>
        <m:r>
          <m:rPr>
            <m:sty m:val="p"/>
          </m:rPr>
          <w:rPr>
            <w:rFonts w:ascii="Cambria Math" w:hAnsi="Cambria Math" w:cs="Arial" w:hint="eastAsia"/>
          </w:rPr>
          <m:t>V</m:t>
        </m:r>
      </m:oMath>
      <w:r>
        <w:rPr>
          <w:rFonts w:ascii="Arial" w:hAnsi="Arial" w:cs="Arial" w:hint="eastAsia"/>
        </w:rPr>
        <w:t xml:space="preserve"> are learnable bilinear weight matrices that capture complex non-linear feature relationships.</w:t>
      </w:r>
    </w:p>
    <w:p w14:paraId="7BF5D8D2" w14:textId="77777777" w:rsidR="00D1738A" w:rsidRDefault="00000000">
      <w:pPr>
        <w:spacing w:after="200" w:line="360" w:lineRule="auto"/>
        <w:rPr>
          <w:rFonts w:ascii="Arial" w:hAnsi="Arial" w:cs="Arial"/>
        </w:rPr>
      </w:pPr>
      <m:oMath>
        <m:r>
          <m:rPr>
            <m:sty m:val="p"/>
          </m:rPr>
          <w:rPr>
            <w:rFonts w:ascii="Cambria Math" w:hAnsi="Cambria Math" w:cs="Arial" w:hint="eastAsia"/>
          </w:rPr>
          <m:t>U</m:t>
        </m:r>
      </m:oMath>
      <w:r>
        <w:rPr>
          <w:rFonts w:ascii="Arial" w:hAnsi="Arial" w:cs="Arial" w:hint="eastAsia"/>
        </w:rPr>
        <w:t xml:space="preserve"> is a learnable vector that maps the gated representation to a scalar attention score.</w:t>
      </w:r>
    </w:p>
    <w:p w14:paraId="218BD824" w14:textId="77777777" w:rsidR="00D1738A" w:rsidRDefault="00000000">
      <w:pPr>
        <w:spacing w:after="200" w:line="360" w:lineRule="auto"/>
        <w:rPr>
          <w:rFonts w:ascii="Arial" w:hAnsi="Arial" w:cs="Arial"/>
        </w:rPr>
      </w:pPr>
      <m:oMath>
        <m:r>
          <m:rPr>
            <m:sty m:val="p"/>
          </m:rPr>
          <w:rPr>
            <w:rFonts w:ascii="Cambria Math" w:hAnsi="Cambria Math" w:cs="Arial" w:hint="eastAsia"/>
          </w:rPr>
          <m:t>⊙</m:t>
        </m:r>
      </m:oMath>
      <w:r>
        <w:rPr>
          <w:rFonts w:ascii="Arial" w:hAnsi="Arial" w:cs="Arial" w:hint="eastAsia"/>
        </w:rPr>
        <w:t xml:space="preserve"> denotes the element-wise multiplication (Hadamard product).</w:t>
      </w:r>
    </w:p>
    <w:p w14:paraId="0CEFADA1" w14:textId="77777777" w:rsidR="00D1738A" w:rsidRDefault="00000000">
      <w:pPr>
        <w:spacing w:after="200" w:line="360" w:lineRule="auto"/>
        <w:rPr>
          <w:rFonts w:ascii="Arial" w:hAnsi="Arial" w:cs="Arial"/>
        </w:rPr>
      </w:pPr>
      <m:oMath>
        <m:r>
          <m:rPr>
            <m:sty m:val="p"/>
          </m:rPr>
          <w:rPr>
            <w:rFonts w:ascii="Cambria Math" w:hAnsi="Cambria Math" w:cs="Arial" w:hint="eastAsia"/>
          </w:rPr>
          <m:t>σ</m:t>
        </m:r>
      </m:oMath>
      <w:r>
        <w:rPr>
          <w:rFonts w:ascii="Arial" w:hAnsi="Arial" w:cs="Arial" w:hint="eastAsia"/>
        </w:rPr>
        <w:t xml:space="preserve"> (sigmoid function) gates informative features.</w:t>
      </w:r>
    </w:p>
    <w:p w14:paraId="61E4B714" w14:textId="77777777" w:rsidR="00D1738A" w:rsidRDefault="00000000">
      <w:pPr>
        <w:spacing w:after="200" w:line="360" w:lineRule="auto"/>
        <w:rPr>
          <w:rFonts w:ascii="Arial" w:hAnsi="Arial" w:cs="Arial"/>
        </w:rPr>
      </w:pPr>
      <m:oMath>
        <m:r>
          <m:rPr>
            <m:sty m:val="p"/>
          </m:rPr>
          <w:rPr>
            <w:rFonts w:ascii="Cambria Math" w:hAnsi="Cambria Math" w:cs="Arial" w:hint="eastAsia"/>
          </w:rPr>
          <m:t>tanh</m:t>
        </m:r>
      </m:oMath>
      <w:r>
        <w:rPr>
          <w:rFonts w:ascii="Arial" w:hAnsi="Arial" w:cs="Arial" w:hint="eastAsia"/>
        </w:rPr>
        <w:t xml:space="preserve"> (hyperbolic tangent) ensures numerical stability of the attention scores.</w:t>
      </w:r>
    </w:p>
    <w:p w14:paraId="1E505FF2" w14:textId="77777777" w:rsidR="00D1738A" w:rsidRDefault="00000000">
      <w:pPr>
        <w:spacing w:afterLines="100" w:after="240" w:line="360" w:lineRule="auto"/>
        <w:rPr>
          <w:rFonts w:ascii="Arial" w:hAnsi="Arial" w:cs="Arial"/>
        </w:rPr>
      </w:pPr>
      <w:r>
        <w:rPr>
          <w:rFonts w:ascii="Arial" w:hAnsi="Arial" w:cs="Arial" w:hint="eastAsia"/>
          <w:b/>
          <w:bCs/>
        </w:rPr>
        <w:t>S</w:t>
      </w:r>
      <w:r>
        <w:rPr>
          <w:rFonts w:ascii="Arial" w:eastAsiaTheme="minorEastAsia" w:hAnsi="Arial" w:cs="Arial" w:hint="eastAsia"/>
          <w:b/>
          <w:bCs/>
        </w:rPr>
        <w:t>3</w:t>
      </w:r>
      <w:r>
        <w:rPr>
          <w:rFonts w:ascii="Arial" w:hAnsi="Arial" w:cs="Arial" w:hint="eastAsia"/>
          <w:b/>
          <w:bCs/>
        </w:rPr>
        <w:t>.</w:t>
      </w:r>
      <w:r>
        <w:rPr>
          <w:rFonts w:ascii="Arial" w:eastAsiaTheme="minorEastAsia" w:hAnsi="Arial" w:cs="Arial" w:hint="eastAsia"/>
          <w:b/>
          <w:bCs/>
        </w:rPr>
        <w:t>4</w:t>
      </w:r>
      <w:r>
        <w:rPr>
          <w:rFonts w:ascii="Arial" w:hAnsi="Arial" w:cs="Arial" w:hint="eastAsia"/>
          <w:b/>
          <w:bCs/>
        </w:rPr>
        <w:t xml:space="preserve"> </w:t>
      </w:r>
      <w:r>
        <w:rPr>
          <w:rFonts w:ascii="Arial" w:hAnsi="Arial" w:cs="Arial"/>
          <w:b/>
          <w:bCs/>
        </w:rPr>
        <w:t>Multi-center quantitative feature extraction, feature fusion, and comparative model analysis</w:t>
      </w:r>
    </w:p>
    <w:p w14:paraId="0C7D8D0D" w14:textId="77777777" w:rsidR="00D1738A" w:rsidRDefault="00000000">
      <w:pPr>
        <w:spacing w:after="200" w:line="360" w:lineRule="auto"/>
        <w:rPr>
          <w:rFonts w:ascii="Arial" w:hAnsi="Arial" w:cs="Arial"/>
        </w:rPr>
      </w:pPr>
      <w:r>
        <w:rPr>
          <w:rFonts w:ascii="Arial" w:hAnsi="Arial" w:cs="Arial"/>
        </w:rPr>
        <w:t>This study constructed three model categories for comparative analysis: deep learning models, machine learning (radiomics-driven) models, and deep learning-machine learning hybrid models.</w:t>
      </w:r>
    </w:p>
    <w:p w14:paraId="4798DFCC" w14:textId="67CCDCAB" w:rsidR="00D1738A" w:rsidRDefault="00000000">
      <w:pPr>
        <w:spacing w:after="200" w:line="360" w:lineRule="auto"/>
        <w:rPr>
          <w:rFonts w:ascii="Arial" w:hAnsi="Arial" w:cs="Arial"/>
        </w:rPr>
      </w:pPr>
      <w:r>
        <w:rPr>
          <w:rFonts w:ascii="Arial" w:hAnsi="Arial" w:cs="Arial"/>
          <w:b/>
          <w:bCs/>
        </w:rPr>
        <w:t xml:space="preserve">Feature extraction and preprocessing: </w:t>
      </w:r>
      <w:r>
        <w:rPr>
          <w:rFonts w:ascii="Arial" w:hAnsi="Arial" w:cs="Arial"/>
        </w:rPr>
        <w:t>For 14 key anatomical ROIs, quantitative analysis was automated via Pyradiomics. Five metrics per ROI—mean CT value, cross-sectional area, 3D volume, contrast, and entropy—were extracted, forming a 70-dimensional radiomic feature matrix (</w:t>
      </w:r>
      <w:r>
        <w:rPr>
          <w:rStyle w:val="katex-mathml"/>
          <w:rFonts w:ascii="Arial" w:hAnsi="Arial" w:cs="Arial"/>
        </w:rPr>
        <w:t>X</w:t>
      </w:r>
      <w:r>
        <w:rPr>
          <w:rStyle w:val="katex-mathml"/>
          <w:rFonts w:ascii="Arial" w:hAnsi="Arial" w:cs="Arial"/>
          <w:vertAlign w:val="subscript"/>
        </w:rPr>
        <w:t>Rad</w:t>
      </w:r>
      <w:r>
        <w:rPr>
          <w:rFonts w:ascii="Arial" w:hAnsi="Arial" w:cs="Arial"/>
        </w:rPr>
        <w:t>), strictly following IBSI guidelines</w:t>
      </w:r>
      <w:r>
        <w:rPr>
          <w:rFonts w:ascii="Arial" w:hAnsi="Arial" w:cs="Arial"/>
        </w:rPr>
        <w:fldChar w:fldCharType="begin">
          <w:fldData xml:space="preserve">PEVuZE5vdGU+PENpdGU+PEF1dGhvcj52YW4gR3JpZXRodXlzZW48L0F1dGhvcj48WWVhcj4yMDE3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</w:fldData>
        </w:fldChar>
      </w:r>
      <w:r w:rsidR="003F5DC5">
        <w:rPr>
          <w:rFonts w:ascii="Arial" w:hAnsi="Arial" w:cs="Arial"/>
        </w:rPr>
        <w:instrText xml:space="preserve"> ADDIN EN.CITE </w:instrText>
      </w:r>
      <w:r w:rsidR="003F5DC5">
        <w:rPr>
          <w:rFonts w:ascii="Arial" w:hAnsi="Arial" w:cs="Arial"/>
        </w:rPr>
        <w:fldChar w:fldCharType="begin">
          <w:fldData xml:space="preserve">PEVuZE5vdGU+PENpdGU+PEF1dGhvcj52YW4gR3JpZXRodXlzZW48L0F1dGhvcj48WWVhcj4yMDE3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</w:fldData>
        </w:fldChar>
      </w:r>
      <w:r w:rsidR="003F5DC5">
        <w:rPr>
          <w:rFonts w:ascii="Arial" w:hAnsi="Arial" w:cs="Arial"/>
        </w:rPr>
        <w:instrText xml:space="preserve"> ADDIN EN.CITE.DATA </w:instrText>
      </w:r>
      <w:r w:rsidR="003F5DC5">
        <w:rPr>
          <w:rFonts w:ascii="Arial" w:hAnsi="Arial" w:cs="Arial"/>
        </w:rPr>
      </w:r>
      <w:r w:rsidR="003F5DC5">
        <w:rPr>
          <w:rFonts w:ascii="Arial" w:hAnsi="Arial" w:cs="Arial"/>
        </w:rPr>
        <w:fldChar w:fldCharType="end"/>
      </w:r>
      <w:r>
        <w:rPr>
          <w:rFonts w:ascii="Arial" w:hAnsi="Arial" w:cs="Arial"/>
        </w:rPr>
        <w:fldChar w:fldCharType="separate"/>
      </w:r>
      <w:r w:rsidR="003F5DC5" w:rsidRPr="003F5DC5">
        <w:rPr>
          <w:rFonts w:ascii="Arial" w:hAnsi="Arial" w:cs="Arial"/>
          <w:noProof/>
          <w:vertAlign w:val="superscript"/>
        </w:rPr>
        <w:t>2</w:t>
      </w:r>
      <w:r>
        <w:rPr>
          <w:rFonts w:ascii="Arial" w:hAnsi="Arial" w:cs="Arial"/>
        </w:rPr>
        <w:fldChar w:fldCharType="end"/>
      </w:r>
      <w:r>
        <w:rPr>
          <w:rFonts w:ascii="Arial" w:hAnsi="Arial" w:cs="Arial"/>
        </w:rPr>
        <w:t>. To remove cross-center batch effects, the ComBat mothod (empirical Bayesian) was applied for parametric translation and scaling of feature distributions, using the primary center as the reference batch, with age, sex, and disease status preserved as biological covariates</w:t>
      </w:r>
      <w:r>
        <w:rPr>
          <w:rFonts w:ascii="Arial" w:hAnsi="Arial" w:cs="Arial"/>
        </w:rPr>
        <w:fldChar w:fldCharType="begin">
          <w:fldData xml:space="preserve">PEVuZE5vdGU+PENpdGU+PEF1dGhvcj5Gb3J0aW48L0F1dGhvcj48WWVhcj4yMDE4PC9ZZWFyPjxS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</w:fldData>
        </w:fldChar>
      </w:r>
      <w:r w:rsidR="003F5DC5">
        <w:rPr>
          <w:rFonts w:ascii="Arial" w:hAnsi="Arial" w:cs="Arial"/>
        </w:rPr>
        <w:instrText xml:space="preserve"> ADDIN EN.CITE </w:instrText>
      </w:r>
      <w:r w:rsidR="003F5DC5">
        <w:rPr>
          <w:rFonts w:ascii="Arial" w:hAnsi="Arial" w:cs="Arial"/>
        </w:rPr>
        <w:fldChar w:fldCharType="begin">
          <w:fldData xml:space="preserve">PEVuZE5vdGU+PENpdGU+PEF1dGhvcj5Gb3J0aW48L0F1dGhvcj48WWVhcj4yMDE4PC9ZZWFyPjxS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</w:fldData>
        </w:fldChar>
      </w:r>
      <w:r w:rsidR="003F5DC5">
        <w:rPr>
          <w:rFonts w:ascii="Arial" w:hAnsi="Arial" w:cs="Arial"/>
        </w:rPr>
        <w:instrText xml:space="preserve"> ADDIN EN.CITE.DATA </w:instrText>
      </w:r>
      <w:r w:rsidR="003F5DC5">
        <w:rPr>
          <w:rFonts w:ascii="Arial" w:hAnsi="Arial" w:cs="Arial"/>
        </w:rPr>
      </w:r>
      <w:r w:rsidR="003F5DC5">
        <w:rPr>
          <w:rFonts w:ascii="Arial" w:hAnsi="Arial" w:cs="Arial"/>
        </w:rPr>
        <w:fldChar w:fldCharType="end"/>
      </w:r>
      <w:r>
        <w:rPr>
          <w:rFonts w:ascii="Arial" w:hAnsi="Arial" w:cs="Arial"/>
        </w:rPr>
        <w:fldChar w:fldCharType="separate"/>
      </w:r>
      <w:r w:rsidR="003F5DC5" w:rsidRPr="003F5DC5">
        <w:rPr>
          <w:rFonts w:ascii="Arial" w:hAnsi="Arial" w:cs="Arial"/>
          <w:noProof/>
          <w:vertAlign w:val="superscript"/>
        </w:rPr>
        <w:t>3</w:t>
      </w:r>
      <w:r>
        <w:rPr>
          <w:rFonts w:ascii="Arial" w:hAnsi="Arial" w:cs="Arial"/>
        </w:rPr>
        <w:fldChar w:fldCharType="end"/>
      </w:r>
      <w:r>
        <w:rPr>
          <w:rFonts w:ascii="Arial" w:hAnsi="Arial" w:cs="Arial"/>
        </w:rPr>
        <w:t xml:space="preserve">. Missing values were handled by multiple imputation (≤15 iterations), followed by standardization to eliminate dimensional effects, yielding the final input matrix for machine </w:t>
      </w:r>
      <w:r>
        <w:rPr>
          <w:rFonts w:ascii="Arial" w:hAnsi="Arial" w:cs="Arial"/>
        </w:rPr>
        <w:lastRenderedPageBreak/>
        <w:t>learning. Prior to extraction, voxel intensities were discretized with a fixed 25 HU bin width to ensure texture feature reproducibility.</w:t>
      </w:r>
    </w:p>
    <w:p w14:paraId="4ECE782A" w14:textId="77777777" w:rsidR="00D1738A" w:rsidRDefault="00000000">
      <w:pPr>
        <w:spacing w:after="200" w:line="360" w:lineRule="auto"/>
        <w:rPr>
          <w:rFonts w:ascii="Arial" w:hAnsi="Arial" w:cs="Arial"/>
          <w:b/>
          <w:bCs/>
        </w:rPr>
      </w:pPr>
      <w:r>
        <w:rPr>
          <w:rFonts w:ascii="Arial" w:hAnsi="Arial" w:cs="Arial"/>
          <w:b/>
          <w:bCs/>
        </w:rPr>
        <w:t xml:space="preserve">Model construction and optimization: </w:t>
      </w:r>
    </w:p>
    <w:p w14:paraId="61E4C20A" w14:textId="59E5CC61" w:rsidR="00D1738A" w:rsidRDefault="00000000">
      <w:pPr>
        <w:widowControl/>
        <w:spacing w:before="100" w:beforeAutospacing="1" w:after="100" w:afterAutospacing="1" w:line="360" w:lineRule="auto"/>
        <w:outlineLvl w:val="2"/>
        <w:rPr>
          <w:rFonts w:ascii="Arial" w:eastAsia="宋体" w:hAnsi="Arial" w:cs="Arial"/>
          <w:b/>
          <w:bCs/>
        </w:rPr>
      </w:pPr>
      <w:r>
        <w:rPr>
          <w:rFonts w:ascii="Arial" w:eastAsia="宋体" w:hAnsi="Arial" w:cs="Arial"/>
          <w:b/>
          <w:bCs/>
          <w:i/>
          <w:iCs/>
        </w:rPr>
        <w:t xml:space="preserve">Attn-MIL. </w:t>
      </w:r>
      <w:r>
        <w:rPr>
          <w:rFonts w:ascii="Arial" w:eastAsia="宋体" w:hAnsi="Arial" w:cs="Arial"/>
        </w:rPr>
        <w:t>The Attn-MIL model employs a 3D convolutional neural network (Simple3DEncoder) as its feature encoder, which outputs 256-dimensional instance features through three convolutional layers, batch normalization, ReLU activation, and adaptive average pooling</w:t>
      </w:r>
      <w:r>
        <w:rPr>
          <w:rFonts w:ascii="Arial" w:eastAsia="宋体" w:hAnsi="Arial" w:cs="Arial"/>
        </w:rPr>
        <w:fldChar w:fldCharType="begin"/>
      </w:r>
      <w:r w:rsidR="003F5DC5">
        <w:rPr>
          <w:rFonts w:ascii="Arial" w:eastAsia="宋体" w:hAnsi="Arial" w:cs="Arial"/>
        </w:rPr>
        <w:instrText xml:space="preserve"> ADDIN EN.CITE &lt;EndNote&gt;&lt;Cite&gt;&lt;Author&gt;Ilse&lt;/Author&gt;&lt;Year&gt;2018&lt;/Year&gt;&lt;RecNum&gt;51&lt;/RecNum&gt;&lt;DisplayText&gt;&lt;style face="superscript"&gt;1&lt;/style&gt;&lt;/DisplayText&gt;&lt;record&gt;&lt;rec-number&gt;51&lt;/rec-number&gt;&lt;foreign-keys&gt;&lt;key app="EN" db-id="tx9z5az5k00esre9tw8xe52r29vatv29a55x" timestamp="1770626587"&gt;51&lt;/key&gt;&lt;/foreign-keys&gt;&lt;ref-type name="Conference Proceedings"&gt;10&lt;/ref-type&gt;&lt;contributors&gt;&lt;authors&gt;&lt;author&gt;Ilse, Maximilian&lt;/author&gt;&lt;author&gt;Tomczak, Jakub&lt;/author&gt;&lt;author&gt;Welling, Max&lt;/author&gt;&lt;/authors&gt;&lt;/contributors&gt;&lt;titles&gt;&lt;title&gt;Attention-based deep multiple instance learning&lt;/title&gt;&lt;secondary-title&gt;International conference on machine learning&lt;/secondary-title&gt;&lt;/titles&gt;&lt;pages&gt;2127-2136&lt;/pages&gt;&lt;dates&gt;&lt;year&gt;2018&lt;/year&gt;&lt;/dates&gt;&lt;publisher&gt;PMLR&lt;/publisher&gt;&lt;isbn&gt;2640-3498&lt;/isbn&gt;&lt;urls&gt;&lt;/urls&gt;&lt;/record&gt;&lt;/Cite&gt;&lt;/EndNote&gt;</w:instrText>
      </w:r>
      <w:r>
        <w:rPr>
          <w:rFonts w:ascii="Arial" w:eastAsia="宋体" w:hAnsi="Arial" w:cs="Arial"/>
        </w:rPr>
        <w:fldChar w:fldCharType="separate"/>
      </w:r>
      <w:r w:rsidR="003F5DC5" w:rsidRPr="003F5DC5">
        <w:rPr>
          <w:rFonts w:ascii="Arial" w:eastAsia="宋体" w:hAnsi="Arial" w:cs="Arial"/>
          <w:noProof/>
          <w:vertAlign w:val="superscript"/>
        </w:rPr>
        <w:t>1</w:t>
      </w:r>
      <w:r>
        <w:rPr>
          <w:rFonts w:ascii="Arial" w:eastAsia="宋体" w:hAnsi="Arial" w:cs="Arial"/>
        </w:rPr>
        <w:fldChar w:fldCharType="end"/>
      </w:r>
      <w:r>
        <w:rPr>
          <w:rFonts w:ascii="Arial" w:eastAsia="宋体" w:hAnsi="Arial" w:cs="Arial"/>
        </w:rPr>
        <w:t>. The attention module computes instance weights via bilinear layers (V layer with Tanh activation; U layer with Sigmoid activation) and performs weighted summation to generate 256-dimensional bag-level deep feature vectors (denoted as X</w:t>
      </w:r>
      <w:r>
        <w:rPr>
          <w:rFonts w:ascii="Arial" w:eastAsia="宋体" w:hAnsi="Arial" w:cs="Arial"/>
          <w:vertAlign w:val="subscript"/>
        </w:rPr>
        <w:t>DL</w:t>
      </w:r>
      <w:r>
        <w:rPr>
          <w:rFonts w:ascii="Arial" w:eastAsia="宋体" w:hAnsi="Arial" w:cs="Arial"/>
        </w:rPr>
        <w:t>).</w:t>
      </w:r>
    </w:p>
    <w:p w14:paraId="1FF4F138" w14:textId="77777777" w:rsidR="00D1738A" w:rsidRDefault="00000000">
      <w:pPr>
        <w:widowControl/>
        <w:spacing w:before="100" w:beforeAutospacing="1" w:after="100" w:afterAutospacing="1" w:line="360" w:lineRule="auto"/>
        <w:rPr>
          <w:rFonts w:ascii="Arial" w:eastAsia="宋体" w:hAnsi="Arial" w:cs="Arial"/>
        </w:rPr>
      </w:pPr>
      <w:r>
        <w:rPr>
          <w:rFonts w:ascii="Arial" w:eastAsia="宋体" w:hAnsi="Arial" w:cs="Arial"/>
        </w:rPr>
        <w:t>The model was trained on a distributed cluster equipped with three NVIDIA RTX 4090D GPUs. We used the AdamW optimizer (initial learning rate: 3×10</w:t>
      </w:r>
      <w:r>
        <w:rPr>
          <w:rFonts w:ascii="Arial" w:eastAsia="宋体" w:hAnsi="Arial" w:cs="Arial"/>
          <w:vertAlign w:val="superscript"/>
        </w:rPr>
        <w:t>−4</w:t>
      </w:r>
      <w:r>
        <w:rPr>
          <w:rFonts w:ascii="Arial" w:eastAsia="宋体" w:hAnsi="Arial" w:cs="Arial"/>
        </w:rPr>
        <w:t>, weight decay: 1×10</w:t>
      </w:r>
      <w:r>
        <w:rPr>
          <w:rFonts w:ascii="Arial" w:eastAsia="宋体" w:hAnsi="Arial" w:cs="Arial"/>
          <w:vertAlign w:val="superscript"/>
        </w:rPr>
        <w:t>−4</w:t>
      </w:r>
      <w:r>
        <w:rPr>
          <w:rFonts w:ascii="Arial" w:eastAsia="宋体" w:hAnsi="Arial" w:cs="Arial"/>
        </w:rPr>
        <w:t>) to minimize binary cross-entropy loss. Training was conducted for 50 epochs with a batch size of 6 bags per GPU (global effective batch size: 18). Automatic mixed precision (AMP) was employed to optimize gradient computation. During inference, the model directly outputs prediction probabilities via its built-in classification head, which consists of fully connected layers (256 to 128 to 1) with a dropout rate of 0.2.</w:t>
      </w:r>
    </w:p>
    <w:p w14:paraId="12D6C74A" w14:textId="77777777" w:rsidR="00D1738A" w:rsidRDefault="00000000">
      <w:pPr>
        <w:widowControl/>
        <w:spacing w:before="100" w:beforeAutospacing="1" w:after="100" w:afterAutospacing="1" w:line="360" w:lineRule="auto"/>
        <w:outlineLvl w:val="2"/>
        <w:rPr>
          <w:rFonts w:ascii="Arial" w:eastAsia="宋体" w:hAnsi="Arial" w:cs="Arial"/>
          <w:b/>
          <w:bCs/>
        </w:rPr>
      </w:pPr>
      <w:r>
        <w:rPr>
          <w:rFonts w:ascii="Arial" w:eastAsia="宋体" w:hAnsi="Arial" w:cs="Arial"/>
          <w:b/>
          <w:bCs/>
          <w:i/>
          <w:iCs/>
        </w:rPr>
        <w:t>Radiomics Model.</w:t>
      </w:r>
      <w:r>
        <w:rPr>
          <w:rFonts w:ascii="Arial" w:eastAsia="宋体" w:hAnsi="Arial" w:cs="Arial"/>
          <w:b/>
          <w:bCs/>
        </w:rPr>
        <w:t xml:space="preserve"> </w:t>
      </w:r>
      <w:r>
        <w:rPr>
          <w:rFonts w:ascii="Arial" w:eastAsia="宋体" w:hAnsi="Arial" w:cs="Arial"/>
        </w:rPr>
        <w:t>The 70-dimensional radiomic features (X</w:t>
      </w:r>
      <w:r>
        <w:rPr>
          <w:rFonts w:ascii="Arial" w:eastAsia="宋体" w:hAnsi="Arial" w:cs="Arial"/>
          <w:vertAlign w:val="subscript"/>
        </w:rPr>
        <w:t>Rad</w:t>
      </w:r>
      <w:r>
        <w:rPr>
          <w:rFonts w:ascii="Arial" w:eastAsia="宋体" w:hAnsi="Arial" w:cs="Arial"/>
        </w:rPr>
        <w:t>) extracted from 14 anatomical ROIs were processed using ComBat for batch effect removal, multiple imputation (≤15 iterations), and standardization before being used as input to machine learning models. Feature extraction strictly followed the IBSI guidelines, with voxel intensities discretized using a fixed bin width of 25 HU.</w:t>
      </w:r>
    </w:p>
    <w:p w14:paraId="54A82278" w14:textId="77777777" w:rsidR="00D1738A" w:rsidRDefault="00000000">
      <w:pPr>
        <w:widowControl/>
        <w:spacing w:before="100" w:beforeAutospacing="1" w:after="100" w:afterAutospacing="1" w:line="360" w:lineRule="auto"/>
        <w:rPr>
          <w:rFonts w:ascii="Arial" w:eastAsia="宋体" w:hAnsi="Arial" w:cs="Arial"/>
        </w:rPr>
      </w:pPr>
      <w:r>
        <w:rPr>
          <w:rFonts w:ascii="Arial" w:eastAsia="宋体" w:hAnsi="Arial" w:cs="Arial"/>
        </w:rPr>
        <w:t xml:space="preserve">Radiomic features were ranked using LASSO regression with 10-fold cross-validation (maximum 20,000 iterations). Feature subsets were constructed by selecting the top K=5,8,10,12,18 features. Seven classification algorithms were evaluated: logistic regression (LogReg, max 5,000 iterations), linear regression (LinReg), support vector machine (SVM, probability output), random forest (RF, 400 trees), XGBoost (700 trees, max depth 4), LightGBM (600 trees, 31 leaves), and CatBoost (600 iterations, depth 5). </w:t>
      </w:r>
      <w:r>
        <w:rPr>
          <w:rFonts w:ascii="Arial" w:eastAsia="宋体" w:hAnsi="Arial" w:cs="Arial"/>
        </w:rPr>
        <w:lastRenderedPageBreak/>
        <w:t>All models employed class balancing strategies. For each feature subset, 10-fold stratified cross-validation was performed to assess model performance using AUC as the evaluation metric. The best-performing model was selected and its cross-validation prediction probabilities were recorded.</w:t>
      </w:r>
    </w:p>
    <w:p w14:paraId="513F4576" w14:textId="77777777" w:rsidR="00D1738A" w:rsidRDefault="00000000">
      <w:pPr>
        <w:widowControl/>
        <w:spacing w:before="100" w:beforeAutospacing="1" w:after="100" w:afterAutospacing="1" w:line="360" w:lineRule="auto"/>
        <w:outlineLvl w:val="2"/>
        <w:rPr>
          <w:rFonts w:ascii="Arial" w:eastAsia="宋体" w:hAnsi="Arial" w:cs="Arial"/>
        </w:rPr>
      </w:pPr>
      <w:r>
        <w:rPr>
          <w:rFonts w:ascii="Arial" w:eastAsia="宋体" w:hAnsi="Arial" w:cs="Arial"/>
          <w:b/>
          <w:bCs/>
          <w:i/>
          <w:iCs/>
        </w:rPr>
        <w:t xml:space="preserve">Hybrid Model. </w:t>
      </w:r>
      <w:r>
        <w:rPr>
          <w:rFonts w:ascii="Arial" w:eastAsia="宋体" w:hAnsi="Arial" w:cs="Arial"/>
        </w:rPr>
        <w:t>To integrate radiomic and deep features, the corrected and standardized radiomic features X</w:t>
      </w:r>
      <w:r>
        <w:rPr>
          <w:rFonts w:ascii="Arial" w:eastAsia="宋体" w:hAnsi="Arial" w:cs="Arial"/>
          <w:vertAlign w:val="subscript"/>
        </w:rPr>
        <w:t>Rad</w:t>
      </w:r>
      <w:r>
        <w:rPr>
          <w:rFonts w:ascii="Arial" w:eastAsia="宋体" w:hAnsi="Arial" w:cs="Arial"/>
        </w:rPr>
        <w:t xml:space="preserve"> were horizontally concatenated with the deep features XDL​ generated by Attn-MIL, forming a 326-dimensional hybrid feature space.</w:t>
      </w:r>
    </w:p>
    <w:p w14:paraId="0358A0FA" w14:textId="77777777" w:rsidR="00D1738A" w:rsidRDefault="00000000">
      <w:pPr>
        <w:widowControl/>
        <w:spacing w:before="100" w:beforeAutospacing="1" w:after="100" w:afterAutospacing="1" w:line="360" w:lineRule="auto"/>
        <w:rPr>
          <w:rFonts w:ascii="Arial" w:eastAsia="宋体" w:hAnsi="Arial" w:cs="Arial"/>
        </w:rPr>
      </w:pPr>
      <w:r>
        <w:rPr>
          <w:rFonts w:ascii="Arial" w:eastAsia="宋体" w:hAnsi="Arial" w:cs="Arial"/>
        </w:rPr>
        <w:t>The hybrid model adopted the optimal radiomic feature subset corresponding to ML</w:t>
      </w:r>
      <w:r>
        <w:rPr>
          <w:rFonts w:ascii="Arial" w:eastAsia="宋体" w:hAnsi="Arial" w:cs="Arial"/>
          <w:vertAlign w:val="subscript"/>
        </w:rPr>
        <w:t xml:space="preserve">best </w:t>
      </w:r>
      <w:r>
        <w:rPr>
          <w:rFonts w:ascii="Arial" w:eastAsia="宋体" w:hAnsi="Arial" w:cs="Arial"/>
        </w:rPr>
        <w:t>(i.e., the top K features) and concatenated it with the full 256-dimensional deep features XDL to construct the final input X</w:t>
      </w:r>
      <w:r>
        <w:rPr>
          <w:rFonts w:ascii="Arial" w:eastAsia="宋体" w:hAnsi="Arial" w:cs="Arial"/>
          <w:vertAlign w:val="subscript"/>
        </w:rPr>
        <w:t>Hybrid</w:t>
      </w:r>
      <w:r>
        <w:rPr>
          <w:rFonts w:ascii="Arial" w:eastAsia="宋体" w:hAnsi="Arial" w:cs="Arial"/>
        </w:rPr>
        <w:t>​. The same seven machine learning algorithms were retrained on X</w:t>
      </w:r>
      <w:r>
        <w:rPr>
          <w:rFonts w:ascii="Arial" w:eastAsia="宋体" w:hAnsi="Arial" w:cs="Arial"/>
          <w:vertAlign w:val="subscript"/>
        </w:rPr>
        <w:t>Hybrid</w:t>
      </w:r>
      <w:r>
        <w:rPr>
          <w:rFonts w:ascii="Arial" w:eastAsia="宋体" w:hAnsi="Arial" w:cs="Arial"/>
        </w:rPr>
        <w:t xml:space="preserve"> using 10-fold stratified cross-validation. AUC was again used to select the optimal hybrid model, and its cross-validation prediction probabilities were recorded.</w:t>
      </w:r>
    </w:p>
    <w:p w14:paraId="7A2459E1" w14:textId="0D247736" w:rsidR="00D1738A" w:rsidRDefault="00000000">
      <w:pPr>
        <w:spacing w:after="200" w:line="360" w:lineRule="auto"/>
        <w:rPr>
          <w:rFonts w:ascii="Arial" w:eastAsiaTheme="minorEastAsia" w:hAnsi="Arial" w:cs="Arial"/>
        </w:rPr>
      </w:pPr>
      <w:r>
        <w:rPr>
          <w:rFonts w:ascii="Arial" w:hAnsi="Arial" w:cs="Arial"/>
          <w:b/>
          <w:bCs/>
        </w:rPr>
        <w:t xml:space="preserve">Model evaluation and interpretability analysis: </w:t>
      </w:r>
      <w:r>
        <w:rPr>
          <w:rFonts w:ascii="Arial" w:hAnsi="Arial" w:cs="Arial"/>
        </w:rPr>
        <w:t>Following construction of three model categories, pairwise AUC difference comparisons were executed through DeLong tests, computing statistical significance P values for each comparison group while generating ROC curves, AUC comparison bar charts, and DeLong P-value matrices. For model interpretability analysis, TreeExplainer (primarily for tree-based models) or KernelExplainer (general-purpose) was applied to ML</w:t>
      </w:r>
      <w:r>
        <w:rPr>
          <w:rFonts w:ascii="Arial" w:hAnsi="Arial" w:cs="Arial"/>
          <w:vertAlign w:val="subscript"/>
        </w:rPr>
        <w:t>best</w:t>
      </w:r>
      <w:r>
        <w:rPr>
          <w:rFonts w:ascii="Arial" w:hAnsi="Arial" w:cs="Arial"/>
        </w:rPr>
        <w:t xml:space="preserve"> to generate SHAP summary plots for radiomic features, quantifying each feature’s contribution to model predictions</w:t>
      </w:r>
      <w:r>
        <w:rPr>
          <w:rFonts w:ascii="Arial" w:hAnsi="Arial" w:cs="Arial"/>
        </w:rPr>
        <w:fldChar w:fldCharType="begin"/>
      </w:r>
      <w:r w:rsidR="003F5DC5">
        <w:rPr>
          <w:rFonts w:ascii="Arial" w:hAnsi="Arial" w:cs="Arial"/>
        </w:rPr>
        <w:instrText xml:space="preserve"> ADDIN EN.CITE &lt;EndNote&gt;&lt;Cite&gt;&lt;Author&gt;Lundberg&lt;/Author&gt;&lt;Year&gt;2017&lt;/Year&gt;&lt;RecNum&gt;39&lt;/RecNum&gt;&lt;DisplayText&gt;&lt;style face="superscript"&gt;4&lt;/style&gt;&lt;/DisplayText&gt;&lt;record&gt;&lt;rec-number&gt;39&lt;/rec-number&gt;&lt;foreign-keys&gt;&lt;key app="EN" db-id="tx9z5az5k00esre9tw8xe52r29vatv29a55x" timestamp="1769498965"&gt;39&lt;/key&gt;&lt;/foreign-keys&gt;&lt;ref-type name="Conference Paper"&gt;47&lt;/ref-type&gt;&lt;contributors&gt;&lt;authors&gt;&lt;author&gt;Scott M. Lundberg&lt;/author&gt;&lt;author&gt;Su-In Lee&lt;/author&gt;&lt;/authors&gt;&lt;/contributors&gt;&lt;titles&gt;&lt;title&gt;A unified approach to interpreting model predictions&lt;/title&gt;&lt;secondary-title&gt;Proceedings of the 31st International Conference on Neural Information Processing Systems&lt;/secondary-title&gt;&lt;/titles&gt;&lt;pages&gt;4768–4777&lt;/pages&gt;&lt;dates&gt;&lt;year&gt;2017&lt;/year&gt;&lt;/dates&gt;&lt;pub-location&gt;Long Beach, California, USA&lt;/pub-location&gt;&lt;publisher&gt;Curran Associates Inc.&lt;/publisher&gt;&lt;urls&gt;&lt;/urls&gt;&lt;/record&gt;&lt;/Cite&gt;&lt;/EndNote&gt;</w:instrText>
      </w:r>
      <w:r>
        <w:rPr>
          <w:rFonts w:ascii="Arial" w:hAnsi="Arial" w:cs="Arial"/>
        </w:rPr>
        <w:fldChar w:fldCharType="separate"/>
      </w:r>
      <w:r w:rsidR="003F5DC5" w:rsidRPr="003F5DC5">
        <w:rPr>
          <w:rFonts w:ascii="Arial" w:hAnsi="Arial" w:cs="Arial"/>
          <w:noProof/>
          <w:vertAlign w:val="superscript"/>
        </w:rPr>
        <w:t>4</w:t>
      </w:r>
      <w:r>
        <w:rPr>
          <w:rFonts w:ascii="Arial" w:hAnsi="Arial" w:cs="Arial"/>
        </w:rPr>
        <w:fldChar w:fldCharType="end"/>
      </w:r>
      <w:r>
        <w:rPr>
          <w:rFonts w:ascii="Arial" w:hAnsi="Arial" w:cs="Arial"/>
        </w:rPr>
        <w:t>. GradientExplainer was applied to deep learning models to analyze the importance of deep features X</w:t>
      </w:r>
      <w:r>
        <w:rPr>
          <w:rFonts w:ascii="Arial" w:hAnsi="Arial" w:cs="Arial"/>
          <w:vertAlign w:val="subscript"/>
        </w:rPr>
        <w:t>DL</w:t>
      </w:r>
      <w:r>
        <w:rPr>
          <w:rFonts w:ascii="Arial" w:hAnsi="Arial" w:cs="Arial"/>
        </w:rPr>
        <w:t>, ultimately outputting comprehensive reports encompassing model performance metrics, statistical test results, visualization charts, and interpretability analyses to substantiate model validity and clinical application value.</w:t>
      </w:r>
    </w:p>
    <w:p w14:paraId="5F98FC61" w14:textId="0E52670F" w:rsidR="00D1738A" w:rsidRDefault="00000000">
      <w:pPr>
        <w:spacing w:after="200" w:line="360" w:lineRule="auto"/>
        <w:rPr>
          <w:rFonts w:ascii="Arial" w:hAnsi="Arial" w:cs="Arial"/>
        </w:rPr>
      </w:pPr>
      <w:r>
        <w:rPr>
          <w:rFonts w:ascii="Arial" w:hAnsi="Arial" w:cs="Arial"/>
          <w:b/>
          <w:bCs/>
        </w:rPr>
        <w:t xml:space="preserve">Gradient-weighted Spatial Attention Mapping (Grad-SAM): </w:t>
      </w:r>
      <w:r>
        <w:rPr>
          <w:rFonts w:ascii="Arial" w:hAnsi="Arial" w:cs="Arial"/>
        </w:rPr>
        <w:t>To accurately visualize the spatial decision logic of the Attn-MIL network, we implemented the Grad-SAM technique, adapted from Barkan et al. for multiple instance learning</w:t>
      </w:r>
      <w:r>
        <w:rPr>
          <w:rFonts w:ascii="Arial" w:hAnsi="Arial" w:cs="Arial"/>
        </w:rPr>
        <w:fldChar w:fldCharType="begin"/>
      </w:r>
      <w:r w:rsidR="003F5DC5">
        <w:rPr>
          <w:rFonts w:ascii="Arial" w:hAnsi="Arial" w:cs="Arial"/>
        </w:rPr>
        <w:instrText xml:space="preserve"> ADDIN EN.CITE &lt;EndNote&gt;&lt;Cite&gt;&lt;Author&gt;Barkan&lt;/Author&gt;&lt;Year&gt;2021&lt;/Year&gt;&lt;RecNum&gt;50&lt;/RecNum&gt;&lt;DisplayText&gt;&lt;style face="superscript"&gt;5&lt;/style&gt;&lt;/DisplayText&gt;&lt;record&gt;&lt;rec-number&gt;50&lt;/rec-number&gt;&lt;foreign-keys&gt;&lt;key app="EN" db-id="tx9z5az5k00esre9tw8xe52r29vatv29a55x" timestamp="1770626500"&gt;50&lt;/key&gt;&lt;/foreign-keys&gt;&lt;ref-type name="Conference Proceedings"&gt;10&lt;/ref-type&gt;&lt;contributors&gt;&lt;authors&gt;&lt;author&gt;Barkan, Oren&lt;/author&gt;&lt;author&gt;Hauon, Edan&lt;/author&gt;&lt;author&gt;Caciularu, Avi&lt;/author&gt;&lt;author&gt;Katz, Ori&lt;/author&gt;&lt;author&gt;Malkiel, Itzik&lt;/author&gt;&lt;author&gt;Armstrong, Omri&lt;/author&gt;&lt;author&gt;Koenigstein, Noam&lt;/author&gt;&lt;/authors&gt;&lt;/contributors&gt;&lt;titles&gt;&lt;title&gt;Grad-sam: Explaining transformers via gradient self-attention maps&lt;/title&gt;&lt;secondary-title&gt;Proceedings of the 30th ACM International Conference on Information &amp;amp; Knowledge Management&lt;/secondary-title&gt;&lt;/titles&gt;&lt;pages&gt;2882-2887&lt;/pages&gt;&lt;dates&gt;&lt;year&gt;2021&lt;/year&gt;&lt;/dates&gt;&lt;urls&gt;&lt;/urls&gt;&lt;/record&gt;&lt;/Cite&gt;&lt;/EndNote&gt;</w:instrText>
      </w:r>
      <w:r>
        <w:rPr>
          <w:rFonts w:ascii="Arial" w:hAnsi="Arial" w:cs="Arial"/>
        </w:rPr>
        <w:fldChar w:fldCharType="separate"/>
      </w:r>
      <w:r w:rsidR="003F5DC5" w:rsidRPr="003F5DC5">
        <w:rPr>
          <w:rFonts w:ascii="Arial" w:hAnsi="Arial" w:cs="Arial"/>
          <w:noProof/>
          <w:vertAlign w:val="superscript"/>
        </w:rPr>
        <w:t>5</w:t>
      </w:r>
      <w:r>
        <w:rPr>
          <w:rFonts w:ascii="Arial" w:hAnsi="Arial" w:cs="Arial"/>
        </w:rPr>
        <w:fldChar w:fldCharType="end"/>
      </w:r>
      <w:r>
        <w:rPr>
          <w:rFonts w:ascii="Arial" w:hAnsi="Arial" w:cs="Arial"/>
        </w:rPr>
        <w:t>. Unlike conventional methods that rely solely on raw attention weights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k</m:t>
            </m:r>
          </m:sub>
        </m:sSub>
      </m:oMath>
      <w:r>
        <w:rPr>
          <w:rFonts w:ascii="Arial" w:hAnsi="Arial" w:cs="Arial"/>
        </w:rPr>
        <w:t xml:space="preserve">), Grad-SAM synergizes these weights with the gradient sensitivity of the model's output to filter out non-contributory noise. Specifically, we computed the importance score </w:t>
      </w:r>
      <m:oMath>
        <m:sSub>
          <m:sSubPr>
            <m:ctrlPr>
              <w:rPr>
                <w:rFonts w:ascii="Cambria Math" w:hAnsi="Cambria Math" w:cs="Arial"/>
              </w:rPr>
            </m:ctrlPr>
          </m:sSubPr>
          <m:e>
            <m:r>
              <m:rPr>
                <m:sty m:val="p"/>
              </m:rPr>
              <w:rPr>
                <w:rFonts w:ascii="Cambria Math" w:hAnsi="Cambria Math" w:cs="Arial"/>
              </w:rPr>
              <m:t>S</m:t>
            </m:r>
          </m:e>
          <m:sub>
            <m:r>
              <m:rPr>
                <m:sty m:val="p"/>
              </m:rPr>
              <w:rPr>
                <w:rFonts w:ascii="Cambria Math" w:hAnsi="Cambria Math" w:cs="Arial"/>
              </w:rPr>
              <m:t>k</m:t>
            </m:r>
          </m:sub>
        </m:sSub>
      </m:oMath>
      <w:r>
        <w:rPr>
          <w:rFonts w:ascii="Arial" w:hAnsi="Arial" w:cs="Arial"/>
        </w:rPr>
        <w:t xml:space="preserve"> for each 3D patch instance </w:t>
      </w:r>
      <m:oMath>
        <m:r>
          <m:rPr>
            <m:sty m:val="p"/>
          </m:rPr>
          <w:rPr>
            <w:rFonts w:ascii="Cambria Math" w:hAnsi="Cambria Math" w:cs="Arial"/>
          </w:rPr>
          <m:t>k</m:t>
        </m:r>
      </m:oMath>
      <w:r>
        <w:rPr>
          <w:rFonts w:ascii="Arial" w:hAnsi="Arial" w:cs="Arial"/>
        </w:rPr>
        <w:t xml:space="preserve"> </w:t>
      </w:r>
      <w:r>
        <w:rPr>
          <w:rFonts w:ascii="Arial" w:hAnsi="Arial" w:cs="Arial"/>
        </w:rPr>
        <w:lastRenderedPageBreak/>
        <w:t>using the following formulation:</w:t>
      </w:r>
    </w:p>
    <w:p w14:paraId="0B1707F5" w14:textId="77777777" w:rsidR="00D1738A" w:rsidRDefault="00000000">
      <w:pPr>
        <w:spacing w:after="200" w:line="360" w:lineRule="auto"/>
        <w:rPr>
          <w:rFonts w:ascii="Arial" w:hAnsi="Arial" w:cs="Arial"/>
        </w:rPr>
      </w:pPr>
      <m:oMathPara>
        <m:oMathParaPr>
          <m:jc m:val="center"/>
        </m:oMathParaPr>
        <m:oMath>
          <m:sSub>
            <m:sSubPr>
              <m:ctrlPr>
                <w:rPr>
                  <w:rFonts w:ascii="Cambria Math" w:hAnsi="Cambria Math" w:cs="Arial"/>
                </w:rPr>
              </m:ctrlPr>
            </m:sSubPr>
            <m:e>
              <m:r>
                <m:rPr>
                  <m:sty m:val="p"/>
                </m:rPr>
                <w:rPr>
                  <w:rFonts w:ascii="Cambria Math" w:hAnsi="Cambria Math" w:cs="Arial"/>
                </w:rPr>
                <m:t>S</m:t>
              </m:r>
            </m:e>
            <m:sub>
              <m:r>
                <m:rPr>
                  <m:sty m:val="p"/>
                </m:rP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k</m:t>
              </m:r>
            </m:sub>
          </m:sSub>
          <m:r>
            <m:rPr>
              <m:sty m:val="p"/>
            </m:rPr>
            <w:rPr>
              <w:rFonts w:ascii="Cambria Math" w:hAnsi="Cambria Math" w:cs="Arial"/>
            </w:rPr>
            <m:t>⋅</m:t>
          </m:r>
          <m:r>
            <m:rPr>
              <m:nor/>
            </m:rPr>
            <w:rPr>
              <w:rFonts w:ascii="Arial" w:hAnsi="Arial" w:cs="Arial"/>
            </w:rPr>
            <m:t>ReLU</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∂y</m:t>
                  </m:r>
                </m:num>
                <m:den>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k</m:t>
                      </m:r>
                    </m:sub>
                  </m:sSub>
                </m:den>
              </m:f>
            </m:e>
          </m:d>
        </m:oMath>
      </m:oMathPara>
    </w:p>
    <w:p w14:paraId="0D98F901" w14:textId="77777777" w:rsidR="00D1738A" w:rsidRDefault="00000000">
      <w:pPr>
        <w:spacing w:after="200" w:line="360" w:lineRule="auto"/>
        <w:rPr>
          <w:rFonts w:ascii="Arial" w:hAnsi="Arial" w:cs="Arial"/>
        </w:rPr>
      </w:pPr>
      <w:r>
        <w:rPr>
          <w:rFonts w:ascii="Arial" w:hAnsi="Arial" w:cs="Arial"/>
        </w:rPr>
        <w:t xml:space="preserve">where </w:t>
      </w:r>
      <m:oMath>
        <m:r>
          <m:rPr>
            <m:sty m:val="p"/>
          </m:rPr>
          <w:rPr>
            <w:rFonts w:ascii="Cambria Math" w:hAnsi="Cambria Math" w:cs="Arial"/>
          </w:rPr>
          <m:t>y</m:t>
        </m:r>
      </m:oMath>
      <w:r>
        <w:rPr>
          <w:rFonts w:ascii="Arial" w:hAnsi="Arial" w:cs="Arial"/>
        </w:rPr>
        <w:t xml:space="preserve"> denotes the predicted logit for the target class (e.g., Rotator Cuff Tear), and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k</m:t>
            </m:r>
          </m:sub>
        </m:sSub>
      </m:oMath>
      <w:r>
        <w:rPr>
          <w:rFonts w:ascii="Arial" w:hAnsi="Arial" w:cs="Arial"/>
        </w:rPr>
        <w:t xml:space="preserve"> represents the learned attention weight for the </w:t>
      </w:r>
      <m:oMath>
        <m:r>
          <m:rPr>
            <m:sty m:val="p"/>
          </m:rPr>
          <w:rPr>
            <w:rFonts w:ascii="Cambria Math" w:hAnsi="Cambria Math" w:cs="Arial"/>
          </w:rPr>
          <m:t>k</m:t>
        </m:r>
      </m:oMath>
      <w:r>
        <w:rPr>
          <w:rFonts w:ascii="Arial" w:hAnsi="Arial" w:cs="Arial"/>
        </w:rPr>
        <w:t xml:space="preserve">-th patch. The Rectified Linear Unit (ReLU) activation is critical here; it zeroes out negative gradients, thereby suppressing instances where increased attention would negatively impact the prediction confidence. This ensures that the generated heatmaps exclusively highlight anatomical regions that make a positive contribution to the diagnosis. The resulting patch-level scores </w:t>
      </w:r>
      <m:oMath>
        <m:sSub>
          <m:sSubPr>
            <m:ctrlPr>
              <w:rPr>
                <w:rFonts w:ascii="Cambria Math" w:hAnsi="Cambria Math" w:cs="Arial"/>
              </w:rPr>
            </m:ctrlPr>
          </m:sSubPr>
          <m:e>
            <m:r>
              <m:rPr>
                <m:sty m:val="p"/>
              </m:rPr>
              <w:rPr>
                <w:rFonts w:ascii="Cambria Math" w:hAnsi="Cambria Math" w:cs="Arial"/>
              </w:rPr>
              <m:t>S</m:t>
            </m:r>
          </m:e>
          <m:sub>
            <m:r>
              <m:rPr>
                <m:sty m:val="p"/>
              </m:rPr>
              <w:rPr>
                <w:rFonts w:ascii="Cambria Math" w:hAnsi="Cambria Math" w:cs="Arial"/>
              </w:rPr>
              <m:t>k</m:t>
            </m:r>
          </m:sub>
        </m:sSub>
      </m:oMath>
      <w:r>
        <w:rPr>
          <w:rFonts w:ascii="Arial" w:hAnsi="Arial" w:cs="Arial"/>
        </w:rPr>
        <w:t xml:space="preserve"> were then spatially mapped back to their original coordinates in the 3D CT volume and smoothed via Gaussian interpolation to generate the final clinically interpretable heatmaps.</w:t>
      </w:r>
    </w:p>
    <w:p w14:paraId="40955B47" w14:textId="77777777" w:rsidR="00D1738A" w:rsidRDefault="00D1738A">
      <w:pPr>
        <w:pStyle w:val="a0"/>
        <w:spacing w:after="200" w:line="360" w:lineRule="auto"/>
        <w:rPr>
          <w:rFonts w:ascii="Arial" w:hAnsi="Arial" w:cs="Arial"/>
        </w:rPr>
      </w:pPr>
    </w:p>
    <w:p w14:paraId="3CDB8A4F" w14:textId="77777777" w:rsidR="00D1738A" w:rsidRDefault="00000000">
      <w:pPr>
        <w:spacing w:after="200" w:line="360" w:lineRule="auto"/>
        <w:rPr>
          <w:rFonts w:ascii="Arial" w:hAnsi="Arial" w:cs="Arial"/>
          <w:b/>
          <w:bCs/>
        </w:rPr>
      </w:pPr>
      <w:r>
        <w:rPr>
          <w:rFonts w:ascii="Arial" w:hAnsi="Arial" w:cs="Arial"/>
          <w:b/>
          <w:bCs/>
        </w:rPr>
        <w:br w:type="page"/>
      </w:r>
    </w:p>
    <w:p w14:paraId="4D55D888" w14:textId="77777777" w:rsidR="00D1738A" w:rsidRDefault="00000000">
      <w:pPr>
        <w:pStyle w:val="3"/>
        <w:rPr>
          <w:rFonts w:ascii="Arial" w:hAnsi="Arial" w:cs="Arial"/>
        </w:rPr>
      </w:pPr>
      <w:r>
        <w:rPr>
          <w:rFonts w:ascii="Arial" w:hAnsi="Arial" w:cs="Arial"/>
        </w:rPr>
        <w:lastRenderedPageBreak/>
        <w:t>S</w:t>
      </w:r>
      <w:r>
        <w:rPr>
          <w:rFonts w:ascii="Arial" w:eastAsiaTheme="minorEastAsia" w:hAnsi="Arial" w:cs="Arial" w:hint="eastAsia"/>
        </w:rPr>
        <w:t>4</w:t>
      </w:r>
      <w:r>
        <w:rPr>
          <w:rFonts w:ascii="Arial" w:hAnsi="Arial" w:cs="Arial"/>
        </w:rPr>
        <w:t xml:space="preserve">. </w:t>
      </w:r>
      <w:r>
        <w:rPr>
          <w:rFonts w:ascii="Arial" w:hAnsi="Arial" w:cs="Arial" w:hint="eastAsia"/>
        </w:rPr>
        <w:t>Cohort Study Protocol</w:t>
      </w:r>
    </w:p>
    <w:p w14:paraId="7160BF75" w14:textId="77777777" w:rsidR="00D1738A" w:rsidRDefault="00000000">
      <w:pPr>
        <w:pStyle w:val="a0"/>
        <w:rPr>
          <w:rFonts w:ascii="Arial" w:hAnsi="Arial" w:cs="Arial"/>
          <w:sz w:val="22"/>
          <w:szCs w:val="22"/>
        </w:rPr>
      </w:pPr>
      <w:r>
        <w:rPr>
          <w:rFonts w:ascii="Arial" w:hAnsi="Arial" w:cs="Arial"/>
          <w:b/>
          <w:bCs/>
          <w:sz w:val="22"/>
          <w:szCs w:val="22"/>
        </w:rPr>
        <w:t xml:space="preserve">Study Title: </w:t>
      </w:r>
      <w:r>
        <w:rPr>
          <w:rFonts w:ascii="Arial" w:hAnsi="Arial" w:cs="Arial"/>
          <w:sz w:val="22"/>
          <w:szCs w:val="22"/>
        </w:rPr>
        <w:t>Development and Multi-Center Validation of a Hybrid Deep Learning-Radiomics Model for Opportunistic Screening of Rotator Cuff Tears Using Routine Chest CT</w:t>
      </w:r>
    </w:p>
    <w:p w14:paraId="279DD47B" w14:textId="77777777" w:rsidR="00D1738A" w:rsidRDefault="00000000">
      <w:pPr>
        <w:pStyle w:val="a0"/>
        <w:rPr>
          <w:rFonts w:ascii="Arial" w:hAnsi="Arial" w:cs="Arial"/>
          <w:sz w:val="22"/>
          <w:szCs w:val="22"/>
        </w:rPr>
      </w:pPr>
      <w:r>
        <w:rPr>
          <w:rFonts w:ascii="Arial" w:hAnsi="Arial" w:cs="Arial"/>
          <w:b/>
          <w:bCs/>
          <w:sz w:val="22"/>
          <w:szCs w:val="22"/>
        </w:rPr>
        <w:t>Date:</w:t>
      </w:r>
      <w:r>
        <w:rPr>
          <w:rFonts w:ascii="Arial" w:hAnsi="Arial" w:cs="Arial"/>
          <w:sz w:val="22"/>
          <w:szCs w:val="22"/>
        </w:rPr>
        <w:t> </w:t>
      </w:r>
      <w:r>
        <w:rPr>
          <w:rFonts w:ascii="Arial" w:hAnsi="Arial" w:cs="Arial" w:hint="eastAsia"/>
          <w:sz w:val="22"/>
          <w:szCs w:val="22"/>
        </w:rPr>
        <w:t>May</w:t>
      </w:r>
      <w:r>
        <w:rPr>
          <w:rFonts w:ascii="Arial" w:hAnsi="Arial" w:cs="Arial"/>
          <w:sz w:val="22"/>
          <w:szCs w:val="22"/>
        </w:rPr>
        <w:t xml:space="preserve"> 10, 2025 (Current Consolidated Version 2.0)</w:t>
      </w:r>
    </w:p>
    <w:p w14:paraId="6CED3897" w14:textId="77777777" w:rsidR="00D1738A" w:rsidRDefault="00000000">
      <w:pPr>
        <w:pStyle w:val="a0"/>
        <w:rPr>
          <w:rFonts w:ascii="Arial" w:hAnsi="Arial" w:cs="Arial"/>
          <w:sz w:val="22"/>
          <w:szCs w:val="22"/>
        </w:rPr>
      </w:pPr>
      <w:r>
        <w:rPr>
          <w:rFonts w:ascii="Arial" w:hAnsi="Arial" w:cs="Arial"/>
          <w:b/>
          <w:bCs/>
          <w:sz w:val="22"/>
          <w:szCs w:val="22"/>
        </w:rPr>
        <w:t>Original Protocol Date:</w:t>
      </w:r>
      <w:r>
        <w:rPr>
          <w:rFonts w:ascii="Arial" w:hAnsi="Arial" w:cs="Arial"/>
          <w:sz w:val="22"/>
          <w:szCs w:val="22"/>
        </w:rPr>
        <w:t> June 15, 2019</w:t>
      </w:r>
    </w:p>
    <w:p w14:paraId="63A0E4C0" w14:textId="77777777" w:rsidR="00D1738A" w:rsidRDefault="00000000">
      <w:pPr>
        <w:pStyle w:val="2"/>
        <w:rPr>
          <w:rFonts w:ascii="Arial" w:hAnsi="Arial" w:cs="Arial"/>
          <w:sz w:val="24"/>
          <w:szCs w:val="24"/>
        </w:rPr>
      </w:pPr>
      <w:bookmarkStart w:id="3" w:name="study-administrative-information"/>
      <w:r>
        <w:rPr>
          <w:rFonts w:ascii="Arial" w:hAnsi="Arial" w:cs="Arial"/>
          <w:sz w:val="24"/>
          <w:szCs w:val="24"/>
        </w:rPr>
        <w:t>1. Study Administrative Information</w:t>
      </w:r>
    </w:p>
    <w:p w14:paraId="2E74892B" w14:textId="77777777" w:rsidR="00D1738A" w:rsidRDefault="00000000">
      <w:pPr>
        <w:pStyle w:val="3"/>
        <w:rPr>
          <w:rFonts w:ascii="Arial" w:hAnsi="Arial" w:cs="Arial"/>
        </w:rPr>
      </w:pPr>
      <w:bookmarkStart w:id="4" w:name="study-registration"/>
      <w:r>
        <w:rPr>
          <w:rFonts w:ascii="Arial" w:hAnsi="Arial" w:cs="Arial"/>
        </w:rPr>
        <w:t>1.1 Study Registration</w:t>
      </w:r>
    </w:p>
    <w:p w14:paraId="47BF1448" w14:textId="77777777" w:rsidR="00D1738A" w:rsidRDefault="00000000">
      <w:pPr>
        <w:pStyle w:val="a0"/>
        <w:numPr>
          <w:ilvl w:val="0"/>
          <w:numId w:val="3"/>
        </w:numPr>
        <w:rPr>
          <w:rFonts w:ascii="Arial" w:hAnsi="Arial" w:cs="Arial"/>
          <w:sz w:val="22"/>
          <w:szCs w:val="22"/>
        </w:rPr>
      </w:pPr>
      <w:r>
        <w:rPr>
          <w:rFonts w:ascii="Arial" w:hAnsi="Arial" w:cs="Arial"/>
          <w:b/>
          <w:bCs/>
          <w:sz w:val="22"/>
          <w:szCs w:val="22"/>
        </w:rPr>
        <w:t xml:space="preserve">Study registration: </w:t>
      </w:r>
      <w:r>
        <w:rPr>
          <w:rFonts w:ascii="Arial" w:hAnsi="Arial" w:cs="Arial"/>
          <w:sz w:val="22"/>
          <w:szCs w:val="22"/>
        </w:rPr>
        <w:t>This study was not registered in a public trial registry.</w:t>
      </w:r>
    </w:p>
    <w:p w14:paraId="0879E9F2" w14:textId="77777777" w:rsidR="00D1738A" w:rsidRDefault="00000000">
      <w:pPr>
        <w:pStyle w:val="a0"/>
        <w:numPr>
          <w:ilvl w:val="0"/>
          <w:numId w:val="3"/>
        </w:numPr>
        <w:rPr>
          <w:rFonts w:ascii="Arial" w:hAnsi="Arial" w:cs="Arial"/>
          <w:b/>
          <w:bCs/>
          <w:sz w:val="22"/>
          <w:szCs w:val="22"/>
        </w:rPr>
      </w:pPr>
      <w:r>
        <w:rPr>
          <w:rFonts w:ascii="Arial" w:hAnsi="Arial" w:cs="Arial"/>
          <w:b/>
          <w:bCs/>
          <w:sz w:val="22"/>
          <w:szCs w:val="22"/>
        </w:rPr>
        <w:t xml:space="preserve">Study design: </w:t>
      </w:r>
      <w:r>
        <w:rPr>
          <w:rFonts w:ascii="Arial" w:hAnsi="Arial" w:cs="Arial"/>
          <w:sz w:val="22"/>
          <w:szCs w:val="22"/>
        </w:rPr>
        <w:t>This is a multi-center, hybrid prospective–retrospective diagnostic accuracy study.</w:t>
      </w:r>
    </w:p>
    <w:p w14:paraId="4810AFF2" w14:textId="77777777" w:rsidR="00D1738A" w:rsidRDefault="00000000">
      <w:pPr>
        <w:pStyle w:val="3"/>
        <w:rPr>
          <w:rFonts w:ascii="Arial" w:hAnsi="Arial" w:cs="Arial"/>
        </w:rPr>
      </w:pPr>
      <w:bookmarkStart w:id="5" w:name="protocol-version-history"/>
      <w:bookmarkEnd w:id="4"/>
      <w:r>
        <w:rPr>
          <w:rFonts w:ascii="Arial" w:hAnsi="Arial" w:cs="Arial"/>
        </w:rPr>
        <w:t>1.2 Protocol Version History</w:t>
      </w:r>
    </w:p>
    <w:tbl>
      <w:tblPr>
        <w:tblStyle w:val="Table"/>
        <w:tblW w:w="5000" w:type="pct"/>
        <w:tblInd w:w="0" w:type="dxa"/>
        <w:tblLayout w:type="fixed"/>
        <w:tblLook w:val="04A0" w:firstRow="1" w:lastRow="0" w:firstColumn="1" w:lastColumn="0" w:noHBand="0" w:noVBand="1"/>
      </w:tblPr>
      <w:tblGrid>
        <w:gridCol w:w="3120"/>
        <w:gridCol w:w="3120"/>
        <w:gridCol w:w="3120"/>
      </w:tblGrid>
      <w:tr w:rsidR="00D1738A" w14:paraId="054BCBA6" w14:textId="77777777" w:rsidTr="00D1738A">
        <w:trPr>
          <w:cnfStyle w:val="100000000000" w:firstRow="1" w:lastRow="0" w:firstColumn="0" w:lastColumn="0" w:oddVBand="0" w:evenVBand="0" w:oddHBand="0" w:evenHBand="0" w:firstRowFirstColumn="0" w:firstRowLastColumn="0" w:lastRowFirstColumn="0" w:lastRowLastColumn="0"/>
        </w:trPr>
        <w:tc>
          <w:tcPr>
            <w:tcW w:w="3192" w:type="dxa"/>
          </w:tcPr>
          <w:p w14:paraId="433AB83F" w14:textId="77777777" w:rsidR="00D1738A" w:rsidRDefault="00000000">
            <w:pPr>
              <w:pStyle w:val="FirstParagraph"/>
              <w:rPr>
                <w:rFonts w:ascii="Arial" w:hAnsi="Arial" w:cs="Arial"/>
                <w:sz w:val="22"/>
                <w:szCs w:val="22"/>
              </w:rPr>
            </w:pPr>
            <w:r>
              <w:rPr>
                <w:rFonts w:ascii="Arial" w:hAnsi="Arial" w:cs="Arial"/>
                <w:b/>
                <w:bCs/>
                <w:sz w:val="22"/>
                <w:szCs w:val="22"/>
              </w:rPr>
              <w:t>Version</w:t>
            </w:r>
          </w:p>
        </w:tc>
        <w:tc>
          <w:tcPr>
            <w:tcW w:w="3192" w:type="dxa"/>
          </w:tcPr>
          <w:p w14:paraId="3EBB20DA" w14:textId="77777777" w:rsidR="00D1738A" w:rsidRDefault="00000000">
            <w:pPr>
              <w:pStyle w:val="a0"/>
              <w:rPr>
                <w:rFonts w:ascii="Arial" w:hAnsi="Arial" w:cs="Arial"/>
                <w:sz w:val="22"/>
                <w:szCs w:val="22"/>
              </w:rPr>
            </w:pPr>
            <w:r>
              <w:rPr>
                <w:rFonts w:ascii="Arial" w:hAnsi="Arial" w:cs="Arial"/>
                <w:b/>
                <w:bCs/>
                <w:sz w:val="22"/>
                <w:szCs w:val="22"/>
              </w:rPr>
              <w:t>Date</w:t>
            </w:r>
          </w:p>
        </w:tc>
        <w:tc>
          <w:tcPr>
            <w:tcW w:w="3192" w:type="dxa"/>
          </w:tcPr>
          <w:p w14:paraId="2BE82E7A" w14:textId="77777777" w:rsidR="00D1738A" w:rsidRDefault="00000000">
            <w:pPr>
              <w:pStyle w:val="a0"/>
              <w:rPr>
                <w:rFonts w:ascii="Arial" w:hAnsi="Arial" w:cs="Arial"/>
                <w:sz w:val="22"/>
                <w:szCs w:val="22"/>
              </w:rPr>
            </w:pPr>
            <w:r>
              <w:rPr>
                <w:rFonts w:ascii="Arial" w:hAnsi="Arial" w:cs="Arial"/>
                <w:b/>
                <w:bCs/>
                <w:sz w:val="22"/>
                <w:szCs w:val="22"/>
              </w:rPr>
              <w:t>Description</w:t>
            </w:r>
          </w:p>
        </w:tc>
      </w:tr>
      <w:tr w:rsidR="00D1738A" w14:paraId="15EBC88D" w14:textId="77777777" w:rsidTr="00D1738A">
        <w:tc>
          <w:tcPr>
            <w:tcW w:w="3192" w:type="dxa"/>
          </w:tcPr>
          <w:p w14:paraId="47D0642A" w14:textId="77777777" w:rsidR="00D1738A" w:rsidRDefault="00000000">
            <w:pPr>
              <w:pStyle w:val="a0"/>
              <w:rPr>
                <w:rFonts w:ascii="Arial" w:hAnsi="Arial" w:cs="Arial"/>
                <w:sz w:val="22"/>
                <w:szCs w:val="22"/>
              </w:rPr>
            </w:pPr>
            <w:r>
              <w:rPr>
                <w:rFonts w:ascii="Arial" w:hAnsi="Arial" w:cs="Arial"/>
                <w:b/>
                <w:bCs/>
                <w:sz w:val="22"/>
                <w:szCs w:val="22"/>
              </w:rPr>
              <w:t>1.0</w:t>
            </w:r>
          </w:p>
        </w:tc>
        <w:tc>
          <w:tcPr>
            <w:tcW w:w="3192" w:type="dxa"/>
          </w:tcPr>
          <w:p w14:paraId="209F7654" w14:textId="77777777" w:rsidR="00D1738A" w:rsidRDefault="00000000">
            <w:pPr>
              <w:pStyle w:val="a0"/>
              <w:rPr>
                <w:rFonts w:ascii="Arial" w:hAnsi="Arial" w:cs="Arial"/>
                <w:sz w:val="22"/>
                <w:szCs w:val="22"/>
              </w:rPr>
            </w:pPr>
            <w:r>
              <w:rPr>
                <w:rFonts w:ascii="Arial" w:hAnsi="Arial" w:cs="Arial"/>
                <w:b/>
                <w:bCs/>
                <w:sz w:val="22"/>
                <w:szCs w:val="22"/>
              </w:rPr>
              <w:t>Jun 15, 2019</w:t>
            </w:r>
          </w:p>
        </w:tc>
        <w:tc>
          <w:tcPr>
            <w:tcW w:w="3192" w:type="dxa"/>
          </w:tcPr>
          <w:p w14:paraId="208B2A8B" w14:textId="77777777" w:rsidR="00D1738A" w:rsidRDefault="00000000">
            <w:pPr>
              <w:pStyle w:val="a0"/>
              <w:rPr>
                <w:rFonts w:ascii="Arial" w:hAnsi="Arial" w:cs="Arial"/>
                <w:sz w:val="22"/>
                <w:szCs w:val="22"/>
              </w:rPr>
            </w:pPr>
            <w:r>
              <w:rPr>
                <w:rFonts w:ascii="Arial" w:hAnsi="Arial" w:cs="Arial"/>
                <w:b/>
                <w:bCs/>
                <w:sz w:val="22"/>
                <w:szCs w:val="22"/>
              </w:rPr>
              <w:t xml:space="preserve">Original Protocol: </w:t>
            </w:r>
            <w:r>
              <w:rPr>
                <w:rFonts w:ascii="Arial" w:hAnsi="Arial" w:cs="Arial"/>
                <w:sz w:val="22"/>
                <w:szCs w:val="22"/>
              </w:rPr>
              <w:t>Initiated as a single-center prospective study. Defined inclusion and exclusion criteria and established a prospective consecutive enrollment workflow designed to ensure an adequate number of outcome events relative to model complexity, consistent with contemporary recommendations for prediction model development.</w:t>
            </w:r>
          </w:p>
        </w:tc>
      </w:tr>
      <w:tr w:rsidR="00D1738A" w14:paraId="0A0D3886" w14:textId="77777777" w:rsidTr="00D1738A">
        <w:tc>
          <w:tcPr>
            <w:tcW w:w="3192" w:type="dxa"/>
          </w:tcPr>
          <w:p w14:paraId="11798997" w14:textId="77777777" w:rsidR="00D1738A" w:rsidRDefault="00000000">
            <w:pPr>
              <w:pStyle w:val="a0"/>
              <w:rPr>
                <w:rFonts w:ascii="Arial" w:hAnsi="Arial" w:cs="Arial"/>
                <w:sz w:val="22"/>
                <w:szCs w:val="22"/>
              </w:rPr>
            </w:pPr>
            <w:r>
              <w:rPr>
                <w:rFonts w:ascii="Arial" w:hAnsi="Arial" w:cs="Arial"/>
                <w:b/>
                <w:bCs/>
                <w:sz w:val="22"/>
                <w:szCs w:val="22"/>
              </w:rPr>
              <w:t>2.0</w:t>
            </w:r>
          </w:p>
        </w:tc>
        <w:tc>
          <w:tcPr>
            <w:tcW w:w="3192" w:type="dxa"/>
          </w:tcPr>
          <w:p w14:paraId="7EA01A74" w14:textId="77777777" w:rsidR="00D1738A" w:rsidRDefault="00000000">
            <w:pPr>
              <w:pStyle w:val="a0"/>
              <w:rPr>
                <w:rFonts w:ascii="Arial" w:hAnsi="Arial" w:cs="Arial"/>
                <w:sz w:val="22"/>
                <w:szCs w:val="22"/>
              </w:rPr>
            </w:pPr>
            <w:r>
              <w:rPr>
                <w:rFonts w:ascii="Arial" w:hAnsi="Arial" w:cs="Arial" w:hint="eastAsia"/>
                <w:b/>
                <w:bCs/>
                <w:sz w:val="22"/>
                <w:szCs w:val="22"/>
              </w:rPr>
              <w:t>May</w:t>
            </w:r>
            <w:r>
              <w:rPr>
                <w:rFonts w:ascii="Arial" w:hAnsi="Arial" w:cs="Arial"/>
                <w:b/>
                <w:bCs/>
                <w:sz w:val="22"/>
                <w:szCs w:val="22"/>
              </w:rPr>
              <w:t xml:space="preserve"> 10, 2025</w:t>
            </w:r>
          </w:p>
        </w:tc>
        <w:tc>
          <w:tcPr>
            <w:tcW w:w="3192" w:type="dxa"/>
          </w:tcPr>
          <w:p w14:paraId="5F23C19C" w14:textId="77777777" w:rsidR="00D1738A" w:rsidRDefault="00000000">
            <w:pPr>
              <w:pStyle w:val="a0"/>
              <w:rPr>
                <w:rFonts w:ascii="Arial" w:hAnsi="Arial" w:cs="Arial"/>
                <w:sz w:val="22"/>
                <w:szCs w:val="22"/>
              </w:rPr>
            </w:pPr>
            <w:r>
              <w:rPr>
                <w:rFonts w:ascii="Arial" w:hAnsi="Arial" w:cs="Arial"/>
                <w:b/>
                <w:bCs/>
                <w:sz w:val="22"/>
                <w:szCs w:val="22"/>
              </w:rPr>
              <w:t>Major Amendment (Validation Phase):</w:t>
            </w:r>
          </w:p>
          <w:p w14:paraId="79C7660B" w14:textId="77777777" w:rsidR="00D1738A" w:rsidRDefault="00000000">
            <w:pPr>
              <w:pStyle w:val="a0"/>
              <w:rPr>
                <w:rFonts w:ascii="Arial" w:hAnsi="Arial" w:cs="Arial"/>
                <w:sz w:val="22"/>
                <w:szCs w:val="22"/>
              </w:rPr>
            </w:pPr>
            <w:r>
              <w:rPr>
                <w:rFonts w:ascii="Arial" w:hAnsi="Arial" w:cs="Arial"/>
                <w:sz w:val="22"/>
                <w:szCs w:val="22"/>
              </w:rPr>
              <w:t xml:space="preserve">1. </w:t>
            </w:r>
            <w:r>
              <w:rPr>
                <w:rFonts w:ascii="Arial" w:hAnsi="Arial" w:cs="Arial"/>
                <w:b/>
                <w:bCs/>
                <w:sz w:val="22"/>
                <w:szCs w:val="22"/>
              </w:rPr>
              <w:t>External Validation:</w:t>
            </w:r>
            <w:r>
              <w:rPr>
                <w:rFonts w:ascii="Arial" w:hAnsi="Arial" w:cs="Arial"/>
                <w:sz w:val="22"/>
                <w:szCs w:val="22"/>
              </w:rPr>
              <w:t> Protocol amended to include two independent retrospective cohorts to rigorously test model generalizability.</w:t>
            </w:r>
          </w:p>
          <w:p w14:paraId="71A2B52B" w14:textId="77777777" w:rsidR="00D1738A" w:rsidRDefault="00000000">
            <w:pPr>
              <w:pStyle w:val="a0"/>
              <w:rPr>
                <w:rFonts w:ascii="Arial" w:hAnsi="Arial" w:cs="Arial"/>
                <w:sz w:val="22"/>
                <w:szCs w:val="22"/>
              </w:rPr>
            </w:pPr>
            <w:r>
              <w:rPr>
                <w:rFonts w:ascii="Arial" w:hAnsi="Arial" w:cs="Arial"/>
                <w:sz w:val="22"/>
                <w:szCs w:val="22"/>
              </w:rPr>
              <w:t xml:space="preserve">2. </w:t>
            </w:r>
            <w:r>
              <w:rPr>
                <w:rFonts w:ascii="Arial" w:hAnsi="Arial" w:cs="Arial"/>
                <w:b/>
                <w:bCs/>
                <w:sz w:val="22"/>
                <w:szCs w:val="22"/>
              </w:rPr>
              <w:t>Statistical Analysis Plan Finalization:</w:t>
            </w:r>
            <w:r>
              <w:rPr>
                <w:rFonts w:ascii="Arial" w:hAnsi="Arial" w:cs="Arial"/>
                <w:sz w:val="22"/>
                <w:szCs w:val="22"/>
              </w:rPr>
              <w:t xml:space="preserve"> The Statistical Analysis Plan and model hyperparameters were frozen </w:t>
            </w:r>
            <w:r>
              <w:rPr>
                <w:rFonts w:ascii="Arial" w:hAnsi="Arial" w:cs="Arial"/>
                <w:sz w:val="22"/>
                <w:szCs w:val="22"/>
              </w:rPr>
              <w:lastRenderedPageBreak/>
              <w:t>prior to inference on the external datasets.</w:t>
            </w:r>
          </w:p>
        </w:tc>
      </w:tr>
    </w:tbl>
    <w:p w14:paraId="383E1092" w14:textId="77777777" w:rsidR="00D1738A" w:rsidRDefault="00000000">
      <w:pPr>
        <w:pStyle w:val="2"/>
        <w:rPr>
          <w:rFonts w:ascii="Arial" w:hAnsi="Arial" w:cs="Arial"/>
          <w:sz w:val="24"/>
          <w:szCs w:val="24"/>
        </w:rPr>
      </w:pPr>
      <w:bookmarkStart w:id="6" w:name="introduction-and-rationale"/>
      <w:bookmarkEnd w:id="3"/>
      <w:bookmarkEnd w:id="5"/>
      <w:r>
        <w:rPr>
          <w:rFonts w:ascii="Arial" w:hAnsi="Arial" w:cs="Arial"/>
          <w:sz w:val="24"/>
          <w:szCs w:val="24"/>
        </w:rPr>
        <w:t>2. Introduction and Rationale</w:t>
      </w:r>
    </w:p>
    <w:p w14:paraId="400E8B1A" w14:textId="77777777" w:rsidR="00D1738A" w:rsidRDefault="00000000">
      <w:pPr>
        <w:pStyle w:val="3"/>
        <w:rPr>
          <w:rFonts w:ascii="Arial" w:hAnsi="Arial" w:cs="Arial"/>
        </w:rPr>
      </w:pPr>
      <w:bookmarkStart w:id="7" w:name="background"/>
      <w:r>
        <w:rPr>
          <w:rFonts w:ascii="Arial" w:hAnsi="Arial" w:cs="Arial"/>
        </w:rPr>
        <w:t>2.1 Background</w:t>
      </w:r>
    </w:p>
    <w:p w14:paraId="08FB4B07" w14:textId="77777777" w:rsidR="00D1738A" w:rsidRDefault="00000000">
      <w:pPr>
        <w:pStyle w:val="a0"/>
        <w:rPr>
          <w:rFonts w:ascii="Arial" w:hAnsi="Arial" w:cs="Arial"/>
          <w:sz w:val="22"/>
          <w:szCs w:val="22"/>
        </w:rPr>
      </w:pPr>
      <w:r>
        <w:rPr>
          <w:rFonts w:ascii="Arial" w:hAnsi="Arial" w:cs="Arial"/>
          <w:sz w:val="22"/>
          <w:szCs w:val="22"/>
        </w:rPr>
        <w:t>Rotator cuff tears (RCT) are prevalent but often undiagnosed. Routine chest CT provides an opportunity for screening, but lacks direct soft tissue visualization. We hypothesize that AI can detect systemic compensatory signatures (muscle atrophy, bone density changes) on CT that serve as reliable surrogates for RCT.</w:t>
      </w:r>
    </w:p>
    <w:p w14:paraId="2B79F235" w14:textId="77777777" w:rsidR="00D1738A" w:rsidRDefault="00000000">
      <w:pPr>
        <w:pStyle w:val="3"/>
        <w:rPr>
          <w:rFonts w:ascii="Arial" w:hAnsi="Arial" w:cs="Arial"/>
        </w:rPr>
      </w:pPr>
      <w:bookmarkStart w:id="8" w:name="objectives"/>
      <w:bookmarkEnd w:id="7"/>
      <w:r>
        <w:rPr>
          <w:rFonts w:ascii="Arial" w:hAnsi="Arial" w:cs="Arial"/>
        </w:rPr>
        <w:t>2.2 Objectives</w:t>
      </w:r>
    </w:p>
    <w:p w14:paraId="004DAA9B"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Primary Objective:</w:t>
      </w:r>
      <w:r>
        <w:rPr>
          <w:rFonts w:ascii="Arial" w:hAnsi="Arial" w:cs="Arial"/>
          <w:sz w:val="22"/>
          <w:szCs w:val="22"/>
        </w:rPr>
        <w:t> Develop and validate a Hybrid AI model using prospectively collected data.</w:t>
      </w:r>
    </w:p>
    <w:p w14:paraId="3E96BD7F"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Secondary Objective:</w:t>
      </w:r>
      <w:r>
        <w:rPr>
          <w:rFonts w:ascii="Arial" w:hAnsi="Arial" w:cs="Arial"/>
          <w:sz w:val="22"/>
          <w:szCs w:val="22"/>
        </w:rPr>
        <w:t> Evaluate generalizability across different healthcare tiers using retrospective external data.</w:t>
      </w:r>
    </w:p>
    <w:p w14:paraId="37F08C07" w14:textId="77777777" w:rsidR="00D1738A" w:rsidRDefault="00000000">
      <w:pPr>
        <w:pStyle w:val="2"/>
        <w:rPr>
          <w:rFonts w:ascii="Arial" w:hAnsi="Arial" w:cs="Arial"/>
          <w:sz w:val="28"/>
          <w:szCs w:val="28"/>
        </w:rPr>
      </w:pPr>
      <w:bookmarkStart w:id="9" w:name="study-design"/>
      <w:bookmarkEnd w:id="6"/>
      <w:bookmarkEnd w:id="8"/>
      <w:r>
        <w:rPr>
          <w:rFonts w:ascii="Arial" w:hAnsi="Arial" w:cs="Arial"/>
          <w:sz w:val="28"/>
          <w:szCs w:val="28"/>
        </w:rPr>
        <w:t>3. Study Design</w:t>
      </w:r>
    </w:p>
    <w:p w14:paraId="2238B712" w14:textId="77777777" w:rsidR="00D1738A" w:rsidRDefault="00000000">
      <w:pPr>
        <w:pStyle w:val="3"/>
        <w:rPr>
          <w:rFonts w:ascii="Arial" w:hAnsi="Arial" w:cs="Arial"/>
        </w:rPr>
      </w:pPr>
      <w:bookmarkStart w:id="10" w:name="overall-design"/>
      <w:r>
        <w:rPr>
          <w:rFonts w:ascii="Arial" w:hAnsi="Arial" w:cs="Arial"/>
        </w:rPr>
        <w:t>3.1 Overall Design</w:t>
      </w:r>
    </w:p>
    <w:p w14:paraId="74D3EECC"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Phase 1 (Derivation):</w:t>
      </w:r>
      <w:r>
        <w:rPr>
          <w:rFonts w:ascii="Arial" w:hAnsi="Arial" w:cs="Arial"/>
          <w:sz w:val="22"/>
          <w:szCs w:val="22"/>
        </w:rPr>
        <w:t> Prospective, consecutive enrollment at the Primary Center (Shanghai Sixth People's Hospital).</w:t>
      </w:r>
    </w:p>
    <w:p w14:paraId="017D1055"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Phase 2 (Validation):</w:t>
      </w:r>
      <w:r>
        <w:rPr>
          <w:rFonts w:ascii="Arial" w:hAnsi="Arial" w:cs="Arial"/>
          <w:sz w:val="22"/>
          <w:szCs w:val="22"/>
        </w:rPr>
        <w:t> Retrospective data collection from two independent centers (Dongying &amp; Pingyu) to serve as a geographically diverse test set.</w:t>
      </w:r>
    </w:p>
    <w:p w14:paraId="35E8490C" w14:textId="77777777" w:rsidR="00D1738A" w:rsidRDefault="00000000">
      <w:pPr>
        <w:pStyle w:val="3"/>
        <w:rPr>
          <w:rFonts w:ascii="Arial" w:hAnsi="Arial" w:cs="Arial"/>
        </w:rPr>
      </w:pPr>
      <w:bookmarkStart w:id="11" w:name="study-sites"/>
      <w:bookmarkEnd w:id="10"/>
      <w:r>
        <w:rPr>
          <w:rFonts w:ascii="Arial" w:hAnsi="Arial" w:cs="Arial"/>
        </w:rPr>
        <w:t>3.2 Study Sites</w:t>
      </w:r>
    </w:p>
    <w:p w14:paraId="2B4725BB"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Site 1:</w:t>
      </w:r>
      <w:r>
        <w:rPr>
          <w:rFonts w:ascii="Arial" w:hAnsi="Arial" w:cs="Arial"/>
          <w:sz w:val="22"/>
          <w:szCs w:val="22"/>
        </w:rPr>
        <w:t xml:space="preserve"> Shanghai Sixth People's Hospital (National-level) </w:t>
      </w:r>
    </w:p>
    <w:p w14:paraId="637F4A1A"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Site 2:</w:t>
      </w:r>
      <w:r>
        <w:rPr>
          <w:rFonts w:ascii="Arial" w:hAnsi="Arial" w:cs="Arial"/>
          <w:sz w:val="22"/>
          <w:szCs w:val="22"/>
        </w:rPr>
        <w:t> Shengli Oilfield Central Hospital (Municipal-level)</w:t>
      </w:r>
    </w:p>
    <w:p w14:paraId="254AB91D"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Site 3:</w:t>
      </w:r>
      <w:r>
        <w:rPr>
          <w:rFonts w:ascii="Arial" w:hAnsi="Arial" w:cs="Arial"/>
          <w:sz w:val="22"/>
          <w:szCs w:val="22"/>
        </w:rPr>
        <w:t> People's Hospital of Pingyu County (County-level)</w:t>
      </w:r>
    </w:p>
    <w:p w14:paraId="3EAC5611" w14:textId="77777777" w:rsidR="00D1738A" w:rsidRDefault="00000000">
      <w:pPr>
        <w:pStyle w:val="2"/>
        <w:rPr>
          <w:rFonts w:ascii="Arial" w:hAnsi="Arial" w:cs="Arial"/>
          <w:sz w:val="28"/>
          <w:szCs w:val="28"/>
        </w:rPr>
      </w:pPr>
      <w:bookmarkStart w:id="12" w:name="eligibility-criteria"/>
      <w:bookmarkEnd w:id="9"/>
      <w:bookmarkEnd w:id="11"/>
      <w:r>
        <w:rPr>
          <w:rFonts w:ascii="Arial" w:hAnsi="Arial" w:cs="Arial"/>
          <w:sz w:val="28"/>
          <w:szCs w:val="28"/>
        </w:rPr>
        <w:t>4. Eligibility Criteria</w:t>
      </w:r>
    </w:p>
    <w:p w14:paraId="746E9D6B" w14:textId="77777777" w:rsidR="00D1738A" w:rsidRDefault="00000000">
      <w:pPr>
        <w:pStyle w:val="3"/>
        <w:rPr>
          <w:rFonts w:ascii="Arial" w:hAnsi="Arial" w:cs="Arial"/>
        </w:rPr>
      </w:pPr>
      <w:bookmarkStart w:id="13" w:name="inclusion-criteria"/>
      <w:r>
        <w:rPr>
          <w:rFonts w:ascii="Arial" w:hAnsi="Arial" w:cs="Arial"/>
        </w:rPr>
        <w:t>4.1 Inclusion Criteria</w:t>
      </w:r>
    </w:p>
    <w:p w14:paraId="529A0A81" w14:textId="77777777" w:rsidR="00D1738A" w:rsidRDefault="00000000">
      <w:pPr>
        <w:pStyle w:val="a0"/>
        <w:numPr>
          <w:ilvl w:val="0"/>
          <w:numId w:val="4"/>
        </w:numPr>
        <w:rPr>
          <w:rFonts w:ascii="Arial" w:hAnsi="Arial" w:cs="Arial"/>
          <w:sz w:val="22"/>
          <w:szCs w:val="22"/>
        </w:rPr>
      </w:pPr>
      <w:r>
        <w:rPr>
          <w:rFonts w:ascii="Arial" w:hAnsi="Arial" w:cs="Arial"/>
          <w:sz w:val="22"/>
          <w:szCs w:val="22"/>
        </w:rPr>
        <w:t>age between 50 and 85 years;</w:t>
      </w:r>
    </w:p>
    <w:p w14:paraId="7A91E1C8" w14:textId="77777777" w:rsidR="00D1738A" w:rsidRDefault="00000000">
      <w:pPr>
        <w:pStyle w:val="a0"/>
        <w:numPr>
          <w:ilvl w:val="0"/>
          <w:numId w:val="4"/>
        </w:numPr>
        <w:rPr>
          <w:rFonts w:ascii="Arial" w:hAnsi="Arial" w:cs="Arial"/>
          <w:sz w:val="22"/>
          <w:szCs w:val="22"/>
        </w:rPr>
      </w:pPr>
      <w:r>
        <w:rPr>
          <w:rFonts w:ascii="Arial" w:hAnsi="Arial" w:cs="Arial"/>
          <w:sz w:val="22"/>
          <w:szCs w:val="22"/>
        </w:rPr>
        <w:t>underwent routine chest CT examinations for non-rotator cuff indications (e.g., lung screening);</w:t>
      </w:r>
    </w:p>
    <w:p w14:paraId="498FBD93" w14:textId="77777777" w:rsidR="00D1738A" w:rsidRDefault="00000000">
      <w:pPr>
        <w:pStyle w:val="a0"/>
        <w:numPr>
          <w:ilvl w:val="0"/>
          <w:numId w:val="4"/>
        </w:numPr>
        <w:rPr>
          <w:rFonts w:ascii="Arial" w:hAnsi="Arial" w:cs="Arial"/>
          <w:sz w:val="22"/>
          <w:szCs w:val="22"/>
        </w:rPr>
      </w:pPr>
      <w:r>
        <w:rPr>
          <w:rFonts w:ascii="Arial" w:hAnsi="Arial" w:cs="Arial"/>
          <w:sz w:val="22"/>
          <w:szCs w:val="22"/>
        </w:rPr>
        <w:t xml:space="preserve">CT scan range fully encompassed the anatomy from the thoracic inlet to the superior border of the first lumbar vertebra (L1), ensuring complete visualization of the pectoralis major and upper body musculature for reliable segmentation; </w:t>
      </w:r>
    </w:p>
    <w:p w14:paraId="2A689D6D" w14:textId="77777777" w:rsidR="00D1738A" w:rsidRDefault="00000000">
      <w:pPr>
        <w:pStyle w:val="a0"/>
        <w:numPr>
          <w:ilvl w:val="0"/>
          <w:numId w:val="4"/>
        </w:numPr>
        <w:rPr>
          <w:rFonts w:ascii="Arial" w:hAnsi="Arial" w:cs="Arial"/>
          <w:sz w:val="22"/>
          <w:szCs w:val="22"/>
        </w:rPr>
      </w:pPr>
      <w:r>
        <w:rPr>
          <w:rFonts w:ascii="Arial" w:hAnsi="Arial" w:cs="Arial"/>
          <w:sz w:val="22"/>
          <w:szCs w:val="22"/>
        </w:rPr>
        <w:lastRenderedPageBreak/>
        <w:t>underwent shoulder MRI or arthroscopic exploration within 7 days of the CT acquisition to ensure temporal synchronization.</w:t>
      </w:r>
    </w:p>
    <w:p w14:paraId="0A6C1D17" w14:textId="77777777" w:rsidR="00D1738A" w:rsidRDefault="00000000">
      <w:pPr>
        <w:pStyle w:val="3"/>
        <w:rPr>
          <w:rFonts w:ascii="Arial" w:hAnsi="Arial" w:cs="Arial"/>
        </w:rPr>
      </w:pPr>
      <w:bookmarkStart w:id="14" w:name="exclusion-criteria"/>
      <w:bookmarkEnd w:id="13"/>
      <w:r>
        <w:rPr>
          <w:rFonts w:ascii="Arial" w:hAnsi="Arial" w:cs="Arial"/>
        </w:rPr>
        <w:t>4.2 Exclusion Criteria</w:t>
      </w:r>
    </w:p>
    <w:p w14:paraId="70A4C190" w14:textId="77777777" w:rsidR="00D1738A" w:rsidRDefault="00000000">
      <w:pPr>
        <w:pStyle w:val="2"/>
        <w:numPr>
          <w:ilvl w:val="0"/>
          <w:numId w:val="5"/>
        </w:numPr>
        <w:rPr>
          <w:rFonts w:ascii="Arial" w:hAnsi="Arial" w:cs="Arial"/>
          <w:b w:val="0"/>
          <w:bCs w:val="0"/>
          <w:sz w:val="22"/>
          <w:szCs w:val="22"/>
        </w:rPr>
      </w:pPr>
      <w:bookmarkStart w:id="15" w:name="sample-size-planning"/>
      <w:bookmarkEnd w:id="12"/>
      <w:bookmarkEnd w:id="14"/>
      <w:r>
        <w:rPr>
          <w:rFonts w:ascii="Arial" w:hAnsi="Arial" w:cs="Arial"/>
          <w:b w:val="0"/>
          <w:bCs w:val="0"/>
          <w:sz w:val="22"/>
          <w:szCs w:val="22"/>
        </w:rPr>
        <w:t>Confounding Shoulder Pathologies: History of significant trauma, prior surgery, fractures, malignancy, infectious lesions, or severe osteoarthritis on the ipsilateral shoulder</w:t>
      </w:r>
      <w:r>
        <w:rPr>
          <w:rFonts w:ascii="Arial" w:hAnsi="Arial" w:cs="Arial" w:hint="eastAsia"/>
          <w:b w:val="0"/>
          <w:bCs w:val="0"/>
          <w:sz w:val="22"/>
          <w:szCs w:val="22"/>
        </w:rPr>
        <w:t>；</w:t>
      </w:r>
    </w:p>
    <w:p w14:paraId="7BA292B7" w14:textId="77777777" w:rsidR="00D1738A" w:rsidRDefault="00000000">
      <w:pPr>
        <w:pStyle w:val="2"/>
        <w:numPr>
          <w:ilvl w:val="0"/>
          <w:numId w:val="5"/>
        </w:numPr>
        <w:rPr>
          <w:rFonts w:ascii="Arial" w:hAnsi="Arial" w:cs="Arial"/>
          <w:b w:val="0"/>
          <w:bCs w:val="0"/>
          <w:sz w:val="22"/>
          <w:szCs w:val="22"/>
        </w:rPr>
      </w:pPr>
      <w:r>
        <w:rPr>
          <w:rFonts w:ascii="Arial" w:hAnsi="Arial" w:cs="Arial"/>
          <w:b w:val="0"/>
          <w:bCs w:val="0"/>
          <w:sz w:val="22"/>
          <w:szCs w:val="22"/>
        </w:rPr>
        <w:t>Image Quality Limitations: Suboptimal chest CT or shoulder MRI quality due to severe motion artifacts, metallic implants, or other noise that precluded accurate muscle segmentation or tendon integrity assessment</w:t>
      </w:r>
      <w:r>
        <w:rPr>
          <w:rFonts w:ascii="Arial" w:hAnsi="Arial" w:cs="Arial" w:hint="eastAsia"/>
          <w:b w:val="0"/>
          <w:bCs w:val="0"/>
          <w:sz w:val="22"/>
          <w:szCs w:val="22"/>
        </w:rPr>
        <w:t>；</w:t>
      </w:r>
    </w:p>
    <w:p w14:paraId="26E37BC8" w14:textId="77777777" w:rsidR="00D1738A" w:rsidRDefault="00000000">
      <w:pPr>
        <w:pStyle w:val="2"/>
        <w:numPr>
          <w:ilvl w:val="0"/>
          <w:numId w:val="5"/>
        </w:numPr>
        <w:rPr>
          <w:rFonts w:ascii="Arial" w:hAnsi="Arial" w:cs="Arial"/>
          <w:b w:val="0"/>
          <w:bCs w:val="0"/>
          <w:sz w:val="22"/>
          <w:szCs w:val="22"/>
        </w:rPr>
      </w:pPr>
      <w:r>
        <w:rPr>
          <w:rFonts w:ascii="Arial" w:hAnsi="Arial" w:cs="Arial"/>
          <w:b w:val="0"/>
          <w:bCs w:val="0"/>
          <w:sz w:val="22"/>
          <w:szCs w:val="22"/>
        </w:rPr>
        <w:t>Neuromuscular Comorbidities: Diagnosed history of neuromuscular diseases capable of systemically affecting muscle quality (e.g., amyotrophic lateral sclerosis, myasthenia gravis)</w:t>
      </w:r>
      <w:r>
        <w:rPr>
          <w:rFonts w:ascii="Arial" w:hAnsi="Arial" w:cs="Arial" w:hint="eastAsia"/>
          <w:b w:val="0"/>
          <w:bCs w:val="0"/>
          <w:sz w:val="22"/>
          <w:szCs w:val="22"/>
        </w:rPr>
        <w:t>；</w:t>
      </w:r>
    </w:p>
    <w:p w14:paraId="00106088" w14:textId="77777777" w:rsidR="00D1738A" w:rsidRDefault="00000000">
      <w:pPr>
        <w:pStyle w:val="2"/>
        <w:numPr>
          <w:ilvl w:val="0"/>
          <w:numId w:val="5"/>
        </w:numPr>
        <w:rPr>
          <w:rFonts w:ascii="Arial" w:hAnsi="Arial" w:cs="Arial"/>
          <w:b w:val="0"/>
          <w:bCs w:val="0"/>
          <w:sz w:val="22"/>
          <w:szCs w:val="22"/>
        </w:rPr>
      </w:pPr>
      <w:r>
        <w:rPr>
          <w:rFonts w:ascii="Arial" w:hAnsi="Arial" w:cs="Arial"/>
          <w:b w:val="0"/>
          <w:bCs w:val="0"/>
          <w:sz w:val="22"/>
          <w:szCs w:val="22"/>
        </w:rPr>
        <w:t>Systemic Wasting Conditions: Presence of active malignancy or cachexia.</w:t>
      </w:r>
    </w:p>
    <w:p w14:paraId="0F53EFB7" w14:textId="77777777" w:rsidR="00D1738A" w:rsidRDefault="00000000">
      <w:pPr>
        <w:pStyle w:val="2"/>
        <w:rPr>
          <w:rFonts w:ascii="Arial" w:hAnsi="Arial" w:cs="Arial"/>
          <w:sz w:val="28"/>
          <w:szCs w:val="28"/>
        </w:rPr>
      </w:pPr>
      <w:r>
        <w:rPr>
          <w:rFonts w:ascii="Arial" w:hAnsi="Arial" w:cs="Arial"/>
          <w:sz w:val="28"/>
          <w:szCs w:val="28"/>
        </w:rPr>
        <w:t>5. Sample Size</w:t>
      </w:r>
    </w:p>
    <w:p w14:paraId="221FFCB3" w14:textId="77777777" w:rsidR="00D1738A" w:rsidRDefault="00000000">
      <w:pPr>
        <w:pStyle w:val="3"/>
        <w:rPr>
          <w:rFonts w:ascii="Arial" w:eastAsiaTheme="majorEastAsia" w:hAnsi="Arial" w:cs="Arial"/>
        </w:rPr>
      </w:pPr>
      <w:bookmarkStart w:id="16" w:name="strategy-time-based-enrollment"/>
      <w:r>
        <w:rPr>
          <w:rFonts w:ascii="Arial" w:hAnsi="Arial" w:cs="Arial"/>
        </w:rPr>
        <w:t>5.1 Time-Based Enrollment</w:t>
      </w:r>
      <w:r>
        <w:rPr>
          <w:rFonts w:ascii="Arial" w:hAnsi="Arial" w:cs="Arial" w:hint="eastAsia"/>
        </w:rPr>
        <w:t xml:space="preserve"> </w:t>
      </w:r>
      <w:r>
        <w:rPr>
          <w:rFonts w:ascii="Arial" w:hAnsi="Arial" w:cs="Arial"/>
        </w:rPr>
        <w:t>Strategy</w:t>
      </w:r>
    </w:p>
    <w:p w14:paraId="402E2F85" w14:textId="77777777" w:rsidR="00D1738A" w:rsidRDefault="00000000">
      <w:pPr>
        <w:pStyle w:val="a0"/>
        <w:rPr>
          <w:rFonts w:ascii="Arial" w:hAnsi="Arial" w:cs="Arial"/>
          <w:sz w:val="22"/>
          <w:szCs w:val="22"/>
        </w:rPr>
      </w:pPr>
      <w:r>
        <w:rPr>
          <w:rFonts w:ascii="Arial" w:hAnsi="Arial" w:cs="Arial"/>
          <w:sz w:val="22"/>
          <w:szCs w:val="22"/>
        </w:rPr>
        <w:t>The study employed a prospective, active recruitment strategy targeting the opportunistic screening population.Research coordinators were stationed in the Radiology Department waiting area.</w:t>
      </w:r>
      <w:r>
        <w:rPr>
          <w:rFonts w:ascii="Arial" w:hAnsi="Arial" w:cs="Arial" w:hint="eastAsia"/>
          <w:sz w:val="22"/>
          <w:szCs w:val="22"/>
        </w:rPr>
        <w:t xml:space="preserve"> </w:t>
      </w:r>
      <w:r>
        <w:rPr>
          <w:rFonts w:ascii="Arial" w:hAnsi="Arial" w:cs="Arial"/>
          <w:sz w:val="22"/>
          <w:szCs w:val="22"/>
        </w:rPr>
        <w:t>Adult patients scheduled for routine non-contrast chest CT were approached prior to their scan.</w:t>
      </w:r>
      <w:r>
        <w:rPr>
          <w:rFonts w:ascii="Arial" w:hAnsi="Arial" w:cs="Arial" w:hint="eastAsia"/>
          <w:sz w:val="22"/>
          <w:szCs w:val="22"/>
        </w:rPr>
        <w:t xml:space="preserve"> </w:t>
      </w:r>
      <w:r>
        <w:rPr>
          <w:rFonts w:ascii="Arial" w:hAnsi="Arial" w:cs="Arial"/>
          <w:sz w:val="22"/>
          <w:szCs w:val="22"/>
        </w:rPr>
        <w:t>This setting ensures the enrollment of a general population representative of routine clinical practice, minimizing the referral bias typically seen in orthopedic outpatient clinics.</w:t>
      </w:r>
    </w:p>
    <w:p w14:paraId="46E1D66F" w14:textId="77777777" w:rsidR="00D1738A" w:rsidRDefault="00000000">
      <w:pPr>
        <w:pStyle w:val="3"/>
        <w:rPr>
          <w:rFonts w:ascii="Arial" w:hAnsi="Arial" w:cs="Arial"/>
        </w:rPr>
      </w:pPr>
      <w:bookmarkStart w:id="17" w:name="X9bd337de599701d0d218ee5abc10ed4536491d6"/>
      <w:bookmarkEnd w:id="16"/>
      <w:r>
        <w:rPr>
          <w:rFonts w:ascii="Arial" w:hAnsi="Arial" w:cs="Arial"/>
        </w:rPr>
        <w:t>5.2 Sample Size Justification</w:t>
      </w:r>
    </w:p>
    <w:p w14:paraId="60EC4759" w14:textId="77777777" w:rsidR="00D1738A" w:rsidRDefault="00000000">
      <w:pPr>
        <w:pStyle w:val="a0"/>
        <w:rPr>
          <w:rFonts w:ascii="Arial" w:hAnsi="Arial" w:cs="Arial"/>
          <w:sz w:val="22"/>
          <w:szCs w:val="22"/>
        </w:rPr>
      </w:pPr>
      <w:r>
        <w:rPr>
          <w:rFonts w:ascii="Arial" w:hAnsi="Arial" w:cs="Arial"/>
          <w:sz w:val="22"/>
          <w:szCs w:val="22"/>
        </w:rPr>
        <w:t>No formal sample size calculation was performed. Given the high-dimensional nature of radiomics and deep learning features, sample size planning emphasized enrolling a sufficiently large number of outcome events relative to overall model complexity rather than targeting a fixed effect size or performance metric.</w:t>
      </w:r>
    </w:p>
    <w:p w14:paraId="637A182B" w14:textId="77777777" w:rsidR="00D1738A" w:rsidRDefault="00000000">
      <w:pPr>
        <w:pStyle w:val="a0"/>
        <w:rPr>
          <w:rFonts w:ascii="Arial" w:hAnsi="Arial" w:cs="Arial"/>
          <w:i/>
          <w:iCs/>
          <w:sz w:val="22"/>
          <w:szCs w:val="22"/>
        </w:rPr>
      </w:pPr>
      <w:r>
        <w:rPr>
          <w:rFonts w:ascii="Arial" w:hAnsi="Arial" w:cs="Arial"/>
          <w:sz w:val="22"/>
          <w:szCs w:val="22"/>
        </w:rPr>
        <w:t>The final prospective enrollment provided a large number of outcome events, supporting robust model development, internal validation, and prespecified subgroup analyses while minimizing the risk of overfitting.</w:t>
      </w:r>
    </w:p>
    <w:p w14:paraId="5DFE069B" w14:textId="77777777" w:rsidR="00D1738A" w:rsidRDefault="00000000">
      <w:pPr>
        <w:pStyle w:val="2"/>
        <w:rPr>
          <w:rFonts w:ascii="Arial" w:hAnsi="Arial" w:cs="Arial"/>
          <w:sz w:val="28"/>
          <w:szCs w:val="28"/>
        </w:rPr>
      </w:pPr>
      <w:bookmarkStart w:id="18" w:name="methodology-and-ai-framework"/>
      <w:bookmarkEnd w:id="15"/>
      <w:bookmarkEnd w:id="17"/>
      <w:r>
        <w:rPr>
          <w:rFonts w:ascii="Arial" w:hAnsi="Arial" w:cs="Arial"/>
          <w:sz w:val="28"/>
          <w:szCs w:val="28"/>
        </w:rPr>
        <w:t>6. Methodology and AI Framework</w:t>
      </w:r>
    </w:p>
    <w:p w14:paraId="7550521B" w14:textId="77777777" w:rsidR="00D1738A" w:rsidRDefault="00000000">
      <w:pPr>
        <w:pStyle w:val="3"/>
        <w:rPr>
          <w:rFonts w:ascii="Arial" w:hAnsi="Arial" w:cs="Arial"/>
        </w:rPr>
      </w:pPr>
      <w:bookmarkStart w:id="19" w:name="reference-standard"/>
      <w:r>
        <w:rPr>
          <w:rFonts w:ascii="Arial" w:hAnsi="Arial" w:cs="Arial"/>
        </w:rPr>
        <w:t>6.1 Reference Standard</w:t>
      </w:r>
    </w:p>
    <w:p w14:paraId="256AC1EF" w14:textId="77777777" w:rsidR="00D1738A" w:rsidRDefault="00000000">
      <w:pPr>
        <w:pStyle w:val="a0"/>
        <w:rPr>
          <w:rFonts w:ascii="Arial" w:hAnsi="Arial" w:cs="Arial"/>
          <w:sz w:val="22"/>
          <w:szCs w:val="22"/>
        </w:rPr>
      </w:pPr>
      <w:r>
        <w:rPr>
          <w:rFonts w:ascii="Arial" w:hAnsi="Arial" w:cs="Arial"/>
          <w:sz w:val="22"/>
          <w:szCs w:val="22"/>
        </w:rPr>
        <w:t>Ground truth established by MRI or Arthroscopy. Radiologists establishing the ground truth are blinded to AI predictions.</w:t>
      </w:r>
    </w:p>
    <w:p w14:paraId="0B9EA580" w14:textId="77777777" w:rsidR="00D1738A" w:rsidRDefault="00000000">
      <w:pPr>
        <w:pStyle w:val="3"/>
        <w:rPr>
          <w:rFonts w:ascii="Arial" w:hAnsi="Arial" w:cs="Arial"/>
        </w:rPr>
      </w:pPr>
      <w:bookmarkStart w:id="20" w:name="image-analysis-pipeline"/>
      <w:bookmarkEnd w:id="19"/>
      <w:r>
        <w:rPr>
          <w:rFonts w:ascii="Arial" w:hAnsi="Arial" w:cs="Arial"/>
        </w:rPr>
        <w:t>6.2 Image Analysis Pipeline</w:t>
      </w:r>
    </w:p>
    <w:p w14:paraId="603FD167" w14:textId="77777777" w:rsidR="00D1738A" w:rsidRDefault="00000000">
      <w:pPr>
        <w:pStyle w:val="a0"/>
        <w:numPr>
          <w:ilvl w:val="0"/>
          <w:numId w:val="6"/>
        </w:numPr>
        <w:rPr>
          <w:rFonts w:ascii="Arial" w:hAnsi="Arial" w:cs="Arial"/>
          <w:sz w:val="22"/>
          <w:szCs w:val="22"/>
        </w:rPr>
      </w:pPr>
      <w:r>
        <w:rPr>
          <w:rFonts w:ascii="Arial" w:hAnsi="Arial" w:cs="Arial"/>
          <w:b/>
          <w:bCs/>
          <w:sz w:val="22"/>
          <w:szCs w:val="22"/>
        </w:rPr>
        <w:t>Preprocessing:</w:t>
      </w:r>
      <w:r>
        <w:rPr>
          <w:rFonts w:ascii="Arial" w:hAnsi="Arial" w:cs="Arial"/>
          <w:sz w:val="22"/>
          <w:szCs w:val="22"/>
        </w:rPr>
        <w:t> Isotropic resampling (1.0mm) and intensity normalization.</w:t>
      </w:r>
    </w:p>
    <w:p w14:paraId="0B513536" w14:textId="77777777" w:rsidR="00D1738A" w:rsidRDefault="00000000">
      <w:pPr>
        <w:pStyle w:val="a0"/>
        <w:numPr>
          <w:ilvl w:val="0"/>
          <w:numId w:val="6"/>
        </w:numPr>
        <w:rPr>
          <w:rFonts w:ascii="Arial" w:hAnsi="Arial" w:cs="Arial"/>
          <w:sz w:val="22"/>
          <w:szCs w:val="22"/>
        </w:rPr>
      </w:pPr>
      <w:r>
        <w:rPr>
          <w:rFonts w:ascii="Arial" w:hAnsi="Arial" w:cs="Arial"/>
          <w:b/>
          <w:bCs/>
          <w:sz w:val="22"/>
          <w:szCs w:val="22"/>
        </w:rPr>
        <w:lastRenderedPageBreak/>
        <w:t>Segmentation:</w:t>
      </w:r>
      <w:r>
        <w:rPr>
          <w:rFonts w:ascii="Arial" w:hAnsi="Arial" w:cs="Arial"/>
          <w:sz w:val="22"/>
          <w:szCs w:val="22"/>
        </w:rPr>
        <w:t xml:space="preserve"> Automated segmentation of 14 ROIs (muscles &amp; bones) using </w:t>
      </w:r>
      <w:r>
        <w:rPr>
          <w:rFonts w:ascii="Arial" w:hAnsi="Arial" w:cs="Arial"/>
          <w:b/>
          <w:bCs/>
          <w:sz w:val="22"/>
          <w:szCs w:val="22"/>
        </w:rPr>
        <w:t>TotalSegmentator V2</w:t>
      </w:r>
      <w:r>
        <w:rPr>
          <w:rFonts w:ascii="Arial" w:hAnsi="Arial" w:cs="Arial"/>
          <w:sz w:val="22"/>
          <w:szCs w:val="22"/>
        </w:rPr>
        <w:t>.</w:t>
      </w:r>
    </w:p>
    <w:p w14:paraId="45731575" w14:textId="77777777" w:rsidR="00D1738A" w:rsidRDefault="00000000">
      <w:pPr>
        <w:pStyle w:val="a0"/>
        <w:numPr>
          <w:ilvl w:val="0"/>
          <w:numId w:val="6"/>
        </w:numPr>
        <w:rPr>
          <w:rFonts w:ascii="Arial" w:hAnsi="Arial" w:cs="Arial"/>
          <w:sz w:val="22"/>
          <w:szCs w:val="22"/>
        </w:rPr>
      </w:pPr>
      <w:r>
        <w:rPr>
          <w:rFonts w:ascii="Arial" w:hAnsi="Arial" w:cs="Arial"/>
          <w:b/>
          <w:bCs/>
          <w:sz w:val="22"/>
          <w:szCs w:val="22"/>
        </w:rPr>
        <w:t>Feature Extraction:</w:t>
      </w:r>
    </w:p>
    <w:p w14:paraId="6B0B1639" w14:textId="77777777" w:rsidR="00D1738A" w:rsidRDefault="00000000">
      <w:pPr>
        <w:pStyle w:val="a0"/>
        <w:numPr>
          <w:ilvl w:val="1"/>
          <w:numId w:val="6"/>
        </w:numPr>
        <w:rPr>
          <w:rFonts w:ascii="Arial" w:hAnsi="Arial" w:cs="Arial"/>
          <w:sz w:val="22"/>
          <w:szCs w:val="22"/>
        </w:rPr>
      </w:pPr>
      <w:r>
        <w:rPr>
          <w:rFonts w:ascii="Arial" w:hAnsi="Arial" w:cs="Arial"/>
          <w:sz w:val="22"/>
          <w:szCs w:val="22"/>
        </w:rPr>
        <w:t xml:space="preserve">Radiomics: Quantitative features per ROI, harmonized via </w:t>
      </w:r>
      <w:r>
        <w:rPr>
          <w:rFonts w:ascii="Arial" w:hAnsi="Arial" w:cs="Arial"/>
          <w:b/>
          <w:bCs/>
          <w:sz w:val="22"/>
          <w:szCs w:val="22"/>
        </w:rPr>
        <w:t>ComBat</w:t>
      </w:r>
      <w:r>
        <w:rPr>
          <w:rFonts w:ascii="Arial" w:hAnsi="Arial" w:cs="Arial"/>
          <w:sz w:val="22"/>
          <w:szCs w:val="22"/>
        </w:rPr>
        <w:t> (Reference batch: Primary Center).</w:t>
      </w:r>
    </w:p>
    <w:p w14:paraId="2360780D" w14:textId="77777777" w:rsidR="00D1738A" w:rsidRDefault="00000000">
      <w:pPr>
        <w:pStyle w:val="a0"/>
        <w:numPr>
          <w:ilvl w:val="1"/>
          <w:numId w:val="6"/>
        </w:numPr>
        <w:rPr>
          <w:rFonts w:ascii="Arial" w:hAnsi="Arial" w:cs="Arial"/>
          <w:sz w:val="22"/>
          <w:szCs w:val="22"/>
        </w:rPr>
      </w:pPr>
      <w:r>
        <w:rPr>
          <w:rFonts w:ascii="Arial" w:hAnsi="Arial" w:cs="Arial"/>
          <w:sz w:val="22"/>
          <w:szCs w:val="22"/>
        </w:rPr>
        <w:t>Deep Learning: </w:t>
      </w:r>
      <w:r>
        <w:rPr>
          <w:rFonts w:ascii="Arial" w:hAnsi="Arial" w:cs="Arial"/>
          <w:b/>
          <w:bCs/>
          <w:sz w:val="22"/>
          <w:szCs w:val="22"/>
        </w:rPr>
        <w:t>Attn-MIL</w:t>
      </w:r>
      <w:r>
        <w:rPr>
          <w:rFonts w:ascii="Arial" w:hAnsi="Arial" w:cs="Arial"/>
          <w:sz w:val="22"/>
          <w:szCs w:val="22"/>
        </w:rPr>
        <w:t> framework for latent feature extraction.</w:t>
      </w:r>
    </w:p>
    <w:p w14:paraId="46EA6190" w14:textId="77777777" w:rsidR="00D1738A" w:rsidRDefault="00000000">
      <w:pPr>
        <w:pStyle w:val="2"/>
        <w:rPr>
          <w:rFonts w:ascii="Arial" w:hAnsi="Arial" w:cs="Arial"/>
          <w:sz w:val="28"/>
          <w:szCs w:val="28"/>
        </w:rPr>
      </w:pPr>
      <w:bookmarkStart w:id="21" w:name="statistical-analysis-plan-sap"/>
      <w:bookmarkEnd w:id="18"/>
      <w:bookmarkEnd w:id="20"/>
      <w:r>
        <w:rPr>
          <w:rFonts w:ascii="Arial" w:hAnsi="Arial" w:cs="Arial"/>
          <w:sz w:val="28"/>
          <w:szCs w:val="28"/>
        </w:rPr>
        <w:t>7. Statistical Analysis Plan (SAP)</w:t>
      </w:r>
    </w:p>
    <w:p w14:paraId="28ADBF29" w14:textId="77777777" w:rsidR="00D1738A" w:rsidRDefault="00000000">
      <w:pPr>
        <w:pStyle w:val="3"/>
        <w:rPr>
          <w:rFonts w:ascii="Arial" w:hAnsi="Arial" w:cs="Arial"/>
        </w:rPr>
      </w:pPr>
      <w:bookmarkStart w:id="22" w:name="analysis-populations"/>
      <w:r>
        <w:rPr>
          <w:rFonts w:ascii="Arial" w:hAnsi="Arial" w:cs="Arial"/>
        </w:rPr>
        <w:t>7.1 Analysis Populations</w:t>
      </w:r>
    </w:p>
    <w:p w14:paraId="2C8B4650"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Training/Internal Validation Set:</w:t>
      </w:r>
      <w:r>
        <w:rPr>
          <w:rFonts w:ascii="Arial" w:hAnsi="Arial" w:cs="Arial"/>
          <w:sz w:val="22"/>
          <w:szCs w:val="22"/>
        </w:rPr>
        <w:t> Primary center data (propensity score matched 1:1).</w:t>
      </w:r>
    </w:p>
    <w:p w14:paraId="76152A4D"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Independent Test Set:</w:t>
      </w:r>
      <w:r>
        <w:rPr>
          <w:rFonts w:ascii="Arial" w:hAnsi="Arial" w:cs="Arial"/>
          <w:sz w:val="22"/>
          <w:szCs w:val="22"/>
        </w:rPr>
        <w:t> Complete external cohorts.</w:t>
      </w:r>
    </w:p>
    <w:p w14:paraId="2504B181"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Separation Protocol:</w:t>
      </w:r>
      <w:r>
        <w:rPr>
          <w:rFonts w:ascii="Arial" w:hAnsi="Arial" w:cs="Arial"/>
          <w:sz w:val="22"/>
          <w:szCs w:val="22"/>
        </w:rPr>
        <w:t xml:space="preserve"> External datasets were treated as a </w:t>
      </w:r>
      <w:r>
        <w:rPr>
          <w:rFonts w:ascii="Arial" w:hAnsi="Arial" w:cs="Arial"/>
          <w:b/>
          <w:bCs/>
          <w:sz w:val="22"/>
          <w:szCs w:val="22"/>
        </w:rPr>
        <w:t>hold-out test set</w:t>
      </w:r>
      <w:r>
        <w:rPr>
          <w:rFonts w:ascii="Arial" w:hAnsi="Arial" w:cs="Arial"/>
          <w:sz w:val="22"/>
          <w:szCs w:val="22"/>
        </w:rPr>
        <w:t>. The AI model parameters were finalized prior to external validation, and model</w:t>
      </w:r>
      <w:r>
        <w:rPr>
          <w:rFonts w:ascii="Arial" w:hAnsi="Arial" w:cs="Arial" w:hint="eastAsia"/>
          <w:sz w:val="22"/>
          <w:szCs w:val="22"/>
        </w:rPr>
        <w:t xml:space="preserve"> </w:t>
      </w:r>
      <w:r>
        <w:rPr>
          <w:rFonts w:ascii="Arial" w:hAnsi="Arial" w:cs="Arial"/>
          <w:sz w:val="22"/>
          <w:szCs w:val="22"/>
        </w:rPr>
        <w:t>performance was evaluated on the external cohorts without any retraining, fine-tuning, or model updating.</w:t>
      </w:r>
    </w:p>
    <w:p w14:paraId="401A5A22" w14:textId="77777777" w:rsidR="00D1738A" w:rsidRDefault="00000000">
      <w:pPr>
        <w:pStyle w:val="3"/>
        <w:rPr>
          <w:rFonts w:ascii="Arial" w:hAnsi="Arial" w:cs="Arial"/>
        </w:rPr>
      </w:pPr>
      <w:bookmarkStart w:id="23" w:name="primary-endpoint"/>
      <w:bookmarkEnd w:id="22"/>
      <w:r>
        <w:rPr>
          <w:rFonts w:ascii="Arial" w:hAnsi="Arial" w:cs="Arial"/>
        </w:rPr>
        <w:t>7.2 Primary Endpoint</w:t>
      </w:r>
    </w:p>
    <w:p w14:paraId="4E00B400"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Metric:</w:t>
      </w:r>
      <w:r>
        <w:rPr>
          <w:rFonts w:ascii="Arial" w:hAnsi="Arial" w:cs="Arial"/>
          <w:sz w:val="22"/>
          <w:szCs w:val="22"/>
        </w:rPr>
        <w:t> Area Under the ROC Curve (AUC).</w:t>
      </w:r>
    </w:p>
    <w:p w14:paraId="0C064230" w14:textId="77777777" w:rsidR="00D1738A" w:rsidRDefault="00000000">
      <w:pPr>
        <w:pStyle w:val="a0"/>
        <w:rPr>
          <w:rFonts w:ascii="Arial" w:hAnsi="Arial" w:cs="Arial"/>
          <w:sz w:val="22"/>
          <w:szCs w:val="22"/>
        </w:rPr>
      </w:pPr>
      <w:r>
        <w:rPr>
          <w:rFonts w:ascii="Arial" w:hAnsi="Arial" w:cs="Arial"/>
          <w:sz w:val="22"/>
          <w:szCs w:val="22"/>
        </w:rPr>
        <w:t>● </w:t>
      </w:r>
      <w:r>
        <w:rPr>
          <w:rFonts w:ascii="Arial" w:hAnsi="Arial" w:cs="Arial"/>
          <w:b/>
          <w:bCs/>
          <w:sz w:val="22"/>
          <w:szCs w:val="22"/>
        </w:rPr>
        <w:t>Comparison:</w:t>
      </w:r>
      <w:r>
        <w:rPr>
          <w:rFonts w:ascii="Arial" w:hAnsi="Arial" w:cs="Arial"/>
          <w:sz w:val="22"/>
          <w:szCs w:val="22"/>
        </w:rPr>
        <w:t> DeLong test to compare Hybrid Model vs. Single-modality baselines.</w:t>
      </w:r>
    </w:p>
    <w:p w14:paraId="6725EB46" w14:textId="77777777" w:rsidR="00D1738A" w:rsidRDefault="00000000">
      <w:pPr>
        <w:pStyle w:val="3"/>
        <w:rPr>
          <w:rFonts w:ascii="Arial" w:hAnsi="Arial" w:cs="Arial"/>
        </w:rPr>
      </w:pPr>
      <w:bookmarkStart w:id="24" w:name="stratified-performance-analysis"/>
      <w:bookmarkEnd w:id="23"/>
      <w:r>
        <w:rPr>
          <w:rFonts w:ascii="Arial" w:hAnsi="Arial" w:cs="Arial"/>
        </w:rPr>
        <w:t>7.3 Stratified Performance Analysis</w:t>
      </w:r>
    </w:p>
    <w:p w14:paraId="34BFD358" w14:textId="77777777" w:rsidR="00D1738A" w:rsidRDefault="00000000">
      <w:pPr>
        <w:pStyle w:val="a0"/>
        <w:rPr>
          <w:rFonts w:ascii="Arial" w:hAnsi="Arial" w:cs="Arial"/>
          <w:sz w:val="22"/>
          <w:szCs w:val="22"/>
        </w:rPr>
      </w:pPr>
      <w:r>
        <w:rPr>
          <w:rFonts w:ascii="Arial" w:hAnsi="Arial" w:cs="Arial"/>
          <w:sz w:val="22"/>
          <w:szCs w:val="22"/>
        </w:rPr>
        <w:t>To assess clinical robustness, model performance will be stratified by key clinical and technical variables. These stratifications were pre-planned to evaluate the model's sensitivity across the disease spectrum and imaging conditions:</w:t>
      </w:r>
    </w:p>
    <w:p w14:paraId="3E1B948F" w14:textId="77777777" w:rsidR="00D1738A" w:rsidRDefault="00000000">
      <w:pPr>
        <w:pStyle w:val="a0"/>
        <w:numPr>
          <w:ilvl w:val="0"/>
          <w:numId w:val="7"/>
        </w:numPr>
        <w:rPr>
          <w:rFonts w:ascii="Arial" w:hAnsi="Arial" w:cs="Arial"/>
          <w:sz w:val="22"/>
          <w:szCs w:val="22"/>
        </w:rPr>
      </w:pPr>
      <w:r>
        <w:rPr>
          <w:rFonts w:ascii="Arial" w:hAnsi="Arial" w:cs="Arial"/>
          <w:b/>
          <w:bCs/>
          <w:sz w:val="22"/>
          <w:szCs w:val="22"/>
        </w:rPr>
        <w:t>Demographics:</w:t>
      </w:r>
      <w:r>
        <w:rPr>
          <w:rFonts w:ascii="Arial" w:hAnsi="Arial" w:cs="Arial"/>
          <w:sz w:val="22"/>
          <w:szCs w:val="22"/>
        </w:rPr>
        <w:t> Age groups and BMI categories.</w:t>
      </w:r>
    </w:p>
    <w:p w14:paraId="431F17A1" w14:textId="77777777" w:rsidR="00D1738A" w:rsidRDefault="00000000">
      <w:pPr>
        <w:pStyle w:val="a0"/>
        <w:numPr>
          <w:ilvl w:val="0"/>
          <w:numId w:val="7"/>
        </w:numPr>
        <w:rPr>
          <w:rFonts w:ascii="Arial" w:hAnsi="Arial" w:cs="Arial"/>
          <w:sz w:val="22"/>
          <w:szCs w:val="22"/>
        </w:rPr>
      </w:pPr>
      <w:r>
        <w:rPr>
          <w:rFonts w:ascii="Arial" w:hAnsi="Arial" w:cs="Arial"/>
          <w:b/>
          <w:bCs/>
          <w:sz w:val="22"/>
          <w:szCs w:val="22"/>
        </w:rPr>
        <w:t xml:space="preserve">Disease severity: </w:t>
      </w:r>
      <w:r>
        <w:rPr>
          <w:rFonts w:ascii="Arial" w:hAnsi="Arial" w:cs="Arial"/>
          <w:sz w:val="22"/>
          <w:szCs w:val="22"/>
        </w:rPr>
        <w:t>stratification based on MRI-derived fatty infiltration grades (e.g., Goutallier classification) was prespecified to evaluate model performance across early and advanced disease stages.</w:t>
      </w:r>
    </w:p>
    <w:p w14:paraId="1ADA41A0" w14:textId="77777777" w:rsidR="00D1738A" w:rsidRDefault="00000000">
      <w:pPr>
        <w:pStyle w:val="a0"/>
        <w:numPr>
          <w:ilvl w:val="0"/>
          <w:numId w:val="7"/>
        </w:numPr>
        <w:rPr>
          <w:rFonts w:ascii="Arial" w:hAnsi="Arial" w:cs="Arial"/>
          <w:sz w:val="22"/>
          <w:szCs w:val="22"/>
        </w:rPr>
      </w:pPr>
      <w:r>
        <w:rPr>
          <w:rFonts w:ascii="Arial" w:hAnsi="Arial" w:cs="Arial"/>
          <w:b/>
          <w:bCs/>
          <w:sz w:val="22"/>
          <w:szCs w:val="22"/>
        </w:rPr>
        <w:t>Technical Factors:</w:t>
      </w:r>
      <w:r>
        <w:rPr>
          <w:rFonts w:ascii="Arial" w:hAnsi="Arial" w:cs="Arial"/>
          <w:sz w:val="22"/>
          <w:szCs w:val="22"/>
        </w:rPr>
        <w:t> Slice thickness and CT Manufacturer.</w:t>
      </w:r>
    </w:p>
    <w:p w14:paraId="42144B33" w14:textId="77777777" w:rsidR="00D1738A" w:rsidRDefault="00000000">
      <w:pPr>
        <w:pStyle w:val="3"/>
        <w:rPr>
          <w:rFonts w:ascii="Arial" w:hAnsi="Arial" w:cs="Arial"/>
        </w:rPr>
      </w:pPr>
      <w:bookmarkStart w:id="25" w:name="interpretability-fairness"/>
      <w:bookmarkEnd w:id="24"/>
      <w:r>
        <w:rPr>
          <w:rFonts w:ascii="Arial" w:hAnsi="Arial" w:cs="Arial"/>
        </w:rPr>
        <w:t>7.4 Interpretability &amp; Fairness</w:t>
      </w:r>
    </w:p>
    <w:p w14:paraId="1F95C696" w14:textId="77777777" w:rsidR="00D1738A" w:rsidRDefault="00000000">
      <w:pPr>
        <w:pStyle w:val="a0"/>
        <w:numPr>
          <w:ilvl w:val="0"/>
          <w:numId w:val="8"/>
        </w:numPr>
        <w:rPr>
          <w:rFonts w:ascii="Arial" w:hAnsi="Arial" w:cs="Arial"/>
          <w:sz w:val="22"/>
          <w:szCs w:val="22"/>
        </w:rPr>
      </w:pPr>
      <w:r>
        <w:rPr>
          <w:rFonts w:ascii="Arial" w:hAnsi="Arial" w:cs="Arial"/>
          <w:b/>
          <w:bCs/>
          <w:sz w:val="22"/>
          <w:szCs w:val="22"/>
        </w:rPr>
        <w:t>SHAP Analysis:</w:t>
      </w:r>
      <w:r>
        <w:rPr>
          <w:rFonts w:ascii="Arial" w:hAnsi="Arial" w:cs="Arial"/>
          <w:sz w:val="22"/>
          <w:szCs w:val="22"/>
        </w:rPr>
        <w:t> To identify top predictive features.</w:t>
      </w:r>
    </w:p>
    <w:p w14:paraId="4FF020EA" w14:textId="77777777" w:rsidR="00D1738A" w:rsidRDefault="00000000">
      <w:pPr>
        <w:pStyle w:val="a0"/>
        <w:numPr>
          <w:ilvl w:val="0"/>
          <w:numId w:val="8"/>
        </w:numPr>
        <w:rPr>
          <w:rFonts w:ascii="Arial" w:hAnsi="Arial" w:cs="Arial"/>
          <w:sz w:val="22"/>
          <w:szCs w:val="22"/>
        </w:rPr>
      </w:pPr>
      <w:r>
        <w:rPr>
          <w:rFonts w:ascii="Arial" w:hAnsi="Arial" w:cs="Arial"/>
          <w:b/>
          <w:bCs/>
          <w:sz w:val="22"/>
          <w:szCs w:val="22"/>
        </w:rPr>
        <w:t>Grad-SAM:</w:t>
      </w:r>
      <w:r>
        <w:rPr>
          <w:rFonts w:ascii="Arial" w:hAnsi="Arial" w:cs="Arial"/>
          <w:sz w:val="22"/>
          <w:szCs w:val="22"/>
        </w:rPr>
        <w:t> To visualize anatomical attention focus.</w:t>
      </w:r>
    </w:p>
    <w:p w14:paraId="4A2B823B" w14:textId="77777777" w:rsidR="00D1738A" w:rsidRDefault="00000000">
      <w:pPr>
        <w:pStyle w:val="a0"/>
        <w:numPr>
          <w:ilvl w:val="0"/>
          <w:numId w:val="8"/>
        </w:numPr>
        <w:rPr>
          <w:rFonts w:ascii="Arial" w:hAnsi="Arial" w:cs="Arial"/>
          <w:sz w:val="22"/>
          <w:szCs w:val="22"/>
        </w:rPr>
      </w:pPr>
      <w:r>
        <w:rPr>
          <w:rFonts w:ascii="Arial" w:hAnsi="Arial" w:cs="Arial"/>
          <w:b/>
          <w:bCs/>
          <w:sz w:val="22"/>
          <w:szCs w:val="22"/>
        </w:rPr>
        <w:t>Fairness:</w:t>
      </w:r>
      <w:r>
        <w:rPr>
          <w:rFonts w:ascii="Arial" w:hAnsi="Arial" w:cs="Arial"/>
          <w:sz w:val="22"/>
          <w:szCs w:val="22"/>
        </w:rPr>
        <w:t> Evaluation of performance consistency across Sex and Age groups.</w:t>
      </w:r>
    </w:p>
    <w:p w14:paraId="022FE761" w14:textId="77777777" w:rsidR="00D1738A" w:rsidRDefault="00000000">
      <w:pPr>
        <w:pStyle w:val="2"/>
        <w:rPr>
          <w:rFonts w:ascii="Arial" w:hAnsi="Arial" w:cs="Arial"/>
          <w:sz w:val="28"/>
          <w:szCs w:val="28"/>
        </w:rPr>
      </w:pPr>
      <w:bookmarkStart w:id="26" w:name="data-management-and-ethics"/>
      <w:bookmarkEnd w:id="21"/>
      <w:bookmarkEnd w:id="25"/>
      <w:r>
        <w:rPr>
          <w:rFonts w:ascii="Arial" w:hAnsi="Arial" w:cs="Arial"/>
          <w:sz w:val="28"/>
          <w:szCs w:val="28"/>
        </w:rPr>
        <w:t>8. Data Management and Ethics</w:t>
      </w:r>
    </w:p>
    <w:p w14:paraId="02CC34D5" w14:textId="77777777" w:rsidR="00D1738A" w:rsidRDefault="00000000">
      <w:pPr>
        <w:pStyle w:val="3"/>
        <w:rPr>
          <w:rFonts w:ascii="Arial" w:eastAsia="宋体" w:hAnsi="Arial" w:cs="Arial"/>
        </w:rPr>
      </w:pPr>
      <w:bookmarkStart w:id="27" w:name="data-handling"/>
      <w:r>
        <w:rPr>
          <w:rFonts w:ascii="Arial" w:hAnsi="Arial" w:cs="Arial"/>
        </w:rPr>
        <w:t xml:space="preserve">8.1 Data </w:t>
      </w:r>
      <w:r>
        <w:rPr>
          <w:rFonts w:ascii="Arial" w:eastAsia="宋体" w:hAnsi="Arial" w:cs="Arial" w:hint="eastAsia"/>
        </w:rPr>
        <w:t>Preparing</w:t>
      </w:r>
    </w:p>
    <w:p w14:paraId="6F137285" w14:textId="77777777" w:rsidR="00D1738A" w:rsidRDefault="00000000">
      <w:pPr>
        <w:pStyle w:val="a0"/>
        <w:rPr>
          <w:rFonts w:ascii="Arial" w:hAnsi="Arial" w:cs="Arial"/>
          <w:sz w:val="22"/>
          <w:szCs w:val="22"/>
        </w:rPr>
      </w:pPr>
      <w:r>
        <w:rPr>
          <w:rFonts w:ascii="Arial" w:hAnsi="Arial" w:cs="Arial"/>
          <w:sz w:val="22"/>
          <w:szCs w:val="22"/>
        </w:rPr>
        <w:lastRenderedPageBreak/>
        <w:t>Data are managed using a secure Electronic Data Capture (EDC) system and Institutional PACS.</w:t>
      </w:r>
      <w:r>
        <w:rPr>
          <w:rFonts w:ascii="Arial" w:hAnsi="Arial" w:cs="Arial" w:hint="eastAsia"/>
          <w:sz w:val="22"/>
          <w:szCs w:val="22"/>
        </w:rPr>
        <w:t xml:space="preserve"> </w:t>
      </w:r>
      <w:r>
        <w:rPr>
          <w:rFonts w:ascii="Arial" w:hAnsi="Arial" w:cs="Arial"/>
          <w:sz w:val="22"/>
          <w:szCs w:val="22"/>
        </w:rPr>
        <w:t>All data are de-identified and assigned unique study IDs prior to processing.</w:t>
      </w:r>
    </w:p>
    <w:p w14:paraId="581D506C" w14:textId="77777777" w:rsidR="00D1738A" w:rsidRDefault="00000000">
      <w:pPr>
        <w:pStyle w:val="3"/>
        <w:rPr>
          <w:rFonts w:ascii="Arial" w:hAnsi="Arial" w:cs="Arial"/>
        </w:rPr>
      </w:pPr>
      <w:bookmarkStart w:id="28" w:name="ethical-approvals"/>
      <w:bookmarkEnd w:id="27"/>
      <w:r>
        <w:rPr>
          <w:rFonts w:ascii="Arial" w:hAnsi="Arial" w:cs="Arial"/>
        </w:rPr>
        <w:t>8.2 Ethical Approvals</w:t>
      </w:r>
    </w:p>
    <w:p w14:paraId="77A31805" w14:textId="77777777" w:rsidR="00D1738A" w:rsidRDefault="00000000">
      <w:pPr>
        <w:pStyle w:val="a0"/>
        <w:numPr>
          <w:ilvl w:val="0"/>
          <w:numId w:val="9"/>
        </w:numPr>
        <w:rPr>
          <w:rFonts w:ascii="Arial" w:hAnsi="Arial" w:cs="Arial"/>
          <w:sz w:val="22"/>
          <w:szCs w:val="22"/>
        </w:rPr>
      </w:pPr>
      <w:r>
        <w:rPr>
          <w:rFonts w:ascii="Arial" w:hAnsi="Arial" w:cs="Arial"/>
          <w:b/>
          <w:bCs/>
          <w:sz w:val="22"/>
          <w:szCs w:val="22"/>
        </w:rPr>
        <w:t>Primary Center:</w:t>
      </w:r>
      <w:r>
        <w:rPr>
          <w:rFonts w:ascii="Arial" w:hAnsi="Arial" w:cs="Arial"/>
          <w:sz w:val="22"/>
          <w:szCs w:val="22"/>
        </w:rPr>
        <w:t> Approved in 2019 (Prospective, Informed Consent obtained</w:t>
      </w:r>
      <w:r>
        <w:rPr>
          <w:rFonts w:ascii="Arial" w:hAnsi="Arial" w:cs="Arial" w:hint="eastAsia"/>
          <w:sz w:val="22"/>
          <w:szCs w:val="22"/>
        </w:rPr>
        <w:t xml:space="preserve"> from all participants, IRB No. </w:t>
      </w:r>
      <w:r>
        <w:rPr>
          <w:rFonts w:ascii="Arial" w:hAnsi="Arial" w:cs="Arial"/>
        </w:rPr>
        <w:t>2019-KY-033(K)</w:t>
      </w:r>
      <w:r>
        <w:rPr>
          <w:rFonts w:ascii="Arial" w:hAnsi="Arial" w:cs="Arial"/>
          <w:sz w:val="22"/>
          <w:szCs w:val="22"/>
        </w:rPr>
        <w:t>).</w:t>
      </w:r>
    </w:p>
    <w:p w14:paraId="46DD8162" w14:textId="77777777" w:rsidR="00D1738A" w:rsidRDefault="00000000">
      <w:pPr>
        <w:pStyle w:val="a0"/>
        <w:numPr>
          <w:ilvl w:val="0"/>
          <w:numId w:val="9"/>
        </w:numPr>
        <w:rPr>
          <w:rFonts w:ascii="Arial" w:hAnsi="Arial" w:cs="Arial"/>
          <w:sz w:val="22"/>
          <w:szCs w:val="22"/>
        </w:rPr>
      </w:pPr>
      <w:r>
        <w:rPr>
          <w:rFonts w:ascii="Arial" w:hAnsi="Arial" w:cs="Arial"/>
          <w:b/>
          <w:bCs/>
          <w:sz w:val="22"/>
          <w:szCs w:val="22"/>
        </w:rPr>
        <w:t>External Centers:</w:t>
      </w:r>
      <w:r>
        <w:rPr>
          <w:rFonts w:ascii="Arial" w:hAnsi="Arial" w:cs="Arial"/>
          <w:sz w:val="22"/>
          <w:szCs w:val="22"/>
        </w:rPr>
        <w:t> Approved in 2025 (Retrospective, Waiver of Informed Consent granted due to observational design</w:t>
      </w:r>
      <w:r>
        <w:rPr>
          <w:rFonts w:ascii="Arial" w:hAnsi="Arial" w:cs="Arial" w:hint="eastAsia"/>
          <w:sz w:val="22"/>
          <w:szCs w:val="22"/>
        </w:rPr>
        <w:t>, IRB No. YXLL202517201,IRB No. PYCPH-2025-003</w:t>
      </w:r>
      <w:r>
        <w:rPr>
          <w:rFonts w:ascii="Arial" w:hAnsi="Arial" w:cs="Arial"/>
          <w:sz w:val="22"/>
          <w:szCs w:val="22"/>
        </w:rPr>
        <w:t>).</w:t>
      </w:r>
    </w:p>
    <w:p w14:paraId="3AB97953" w14:textId="77777777" w:rsidR="00D1738A" w:rsidRDefault="00000000">
      <w:pPr>
        <w:rPr>
          <w:rFonts w:ascii="Arial" w:hAnsi="Arial" w:cs="Arial"/>
          <w:sz w:val="22"/>
          <w:szCs w:val="22"/>
        </w:rPr>
      </w:pPr>
      <w:r>
        <w:rPr>
          <w:rFonts w:ascii="Arial" w:hAnsi="Arial" w:cs="Arial"/>
          <w:sz w:val="22"/>
          <w:szCs w:val="22"/>
        </w:rPr>
        <w:br w:type="page"/>
      </w:r>
    </w:p>
    <w:tbl>
      <w:tblPr>
        <w:tblStyle w:val="af5"/>
        <w:tblW w:w="5000" w:type="pct"/>
        <w:tblLook w:val="04A0" w:firstRow="1" w:lastRow="0" w:firstColumn="1" w:lastColumn="0" w:noHBand="0" w:noVBand="1"/>
      </w:tblPr>
      <w:tblGrid>
        <w:gridCol w:w="9360"/>
      </w:tblGrid>
      <w:tr w:rsidR="00D1738A" w14:paraId="4E1676FB" w14:textId="77777777">
        <w:trPr>
          <w:trHeight w:val="1591"/>
        </w:trPr>
        <w:tc>
          <w:tcPr>
            <w:tcW w:w="5000" w:type="pct"/>
            <w:tcBorders>
              <w:top w:val="nil"/>
              <w:left w:val="nil"/>
              <w:bottom w:val="nil"/>
              <w:right w:val="nil"/>
            </w:tcBorders>
          </w:tcPr>
          <w:bookmarkEnd w:id="26"/>
          <w:bookmarkEnd w:id="28"/>
          <w:p w14:paraId="78702E21" w14:textId="77777777" w:rsidR="00D1738A" w:rsidRDefault="00000000">
            <w:pPr>
              <w:pStyle w:val="2"/>
              <w:numPr>
                <w:ilvl w:val="0"/>
                <w:numId w:val="1"/>
              </w:numPr>
              <w:rPr>
                <w:rFonts w:ascii="Arial" w:hAnsi="Arial" w:cs="Arial"/>
              </w:rPr>
            </w:pPr>
            <w:r>
              <w:rPr>
                <w:rFonts w:ascii="Arial" w:hAnsi="Arial" w:cs="Arial"/>
              </w:rPr>
              <w:lastRenderedPageBreak/>
              <w:t xml:space="preserve">Supplementary </w:t>
            </w:r>
            <w:r>
              <w:rPr>
                <w:rFonts w:ascii="Arial" w:eastAsia="宋体" w:hAnsi="Arial" w:cs="Arial" w:hint="eastAsia"/>
              </w:rPr>
              <w:t>Figure</w:t>
            </w:r>
            <w:r>
              <w:rPr>
                <w:rFonts w:ascii="Arial" w:hAnsi="Arial" w:cs="Arial"/>
              </w:rPr>
              <w:t>s</w:t>
            </w:r>
          </w:p>
          <w:p w14:paraId="02A6A50C" w14:textId="77777777" w:rsidR="00D1738A" w:rsidRDefault="00000000">
            <w:pPr>
              <w:spacing w:line="360" w:lineRule="auto"/>
              <w:jc w:val="center"/>
              <w:rPr>
                <w:rFonts w:ascii="Arial" w:eastAsiaTheme="minorEastAsia" w:hAnsi="Arial" w:cs="Arial"/>
                <w:b/>
                <w:bCs/>
              </w:rPr>
            </w:pPr>
            <w:r>
              <w:rPr>
                <w:rFonts w:ascii="Arial" w:eastAsiaTheme="minorEastAsia" w:hAnsi="Arial" w:cs="Arial" w:hint="eastAsia"/>
                <w:b/>
                <w:bCs/>
                <w:noProof/>
              </w:rPr>
              <w:drawing>
                <wp:inline distT="0" distB="0" distL="114300" distR="114300" wp14:anchorId="779B1494" wp14:editId="137158B8">
                  <wp:extent cx="3295650" cy="5399405"/>
                  <wp:effectExtent l="0" t="0" r="0" b="1270"/>
                  <wp:docPr id="4" name="图片 4" descr="seg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eg_example"/>
                          <pic:cNvPicPr>
                            <a:picLocks noChangeAspect="1"/>
                          </pic:cNvPicPr>
                        </pic:nvPicPr>
                        <pic:blipFill>
                          <a:blip r:embed="rId8"/>
                          <a:stretch>
                            <a:fillRect/>
                          </a:stretch>
                        </pic:blipFill>
                        <pic:spPr>
                          <a:xfrm>
                            <a:off x="0" y="0"/>
                            <a:ext cx="3295650" cy="5399405"/>
                          </a:xfrm>
                          <a:prstGeom prst="rect">
                            <a:avLst/>
                          </a:prstGeom>
                        </pic:spPr>
                      </pic:pic>
                    </a:graphicData>
                  </a:graphic>
                </wp:inline>
              </w:drawing>
            </w:r>
          </w:p>
        </w:tc>
      </w:tr>
      <w:tr w:rsidR="00D1738A" w14:paraId="66F924EF" w14:textId="77777777">
        <w:trPr>
          <w:trHeight w:val="1254"/>
        </w:trPr>
        <w:tc>
          <w:tcPr>
            <w:tcW w:w="5000" w:type="pct"/>
            <w:tcBorders>
              <w:top w:val="nil"/>
              <w:left w:val="nil"/>
              <w:bottom w:val="nil"/>
              <w:right w:val="nil"/>
            </w:tcBorders>
          </w:tcPr>
          <w:p w14:paraId="4EDF48D0" w14:textId="77777777" w:rsidR="00D1738A" w:rsidRDefault="00000000">
            <w:pPr>
              <w:spacing w:line="360" w:lineRule="auto"/>
              <w:rPr>
                <w:rFonts w:ascii="Arial" w:eastAsiaTheme="minorEastAsia" w:hAnsi="Arial" w:cs="Arial"/>
                <w:b/>
                <w:bCs/>
              </w:rPr>
            </w:pPr>
            <w:r>
              <w:rPr>
                <w:rFonts w:ascii="Arial" w:eastAsiaTheme="minorEastAsia" w:hAnsi="Arial" w:cs="Arial" w:hint="eastAsia"/>
                <w:b/>
                <w:bCs/>
                <w:sz w:val="18"/>
                <w:szCs w:val="18"/>
              </w:rPr>
              <w:t>Supplementary Figure S1</w:t>
            </w:r>
            <w:r>
              <w:rPr>
                <w:rFonts w:ascii="Arial" w:eastAsiaTheme="minorEastAsia" w:hAnsi="Arial" w:cs="Arial" w:hint="eastAsia"/>
                <w:sz w:val="18"/>
                <w:szCs w:val="18"/>
              </w:rPr>
              <w:t xml:space="preserve"> | </w:t>
            </w:r>
            <w:r>
              <w:rPr>
                <w:rFonts w:ascii="Arial" w:eastAsiaTheme="minorEastAsia" w:hAnsi="Arial" w:cs="Arial" w:hint="eastAsia"/>
                <w:b/>
                <w:bCs/>
                <w:sz w:val="18"/>
                <w:szCs w:val="18"/>
              </w:rPr>
              <w:t>Automated segmentation of 14 predefined anatomical regions of interest (ROIs) using the TotalSegmentator-based pipeline.</w:t>
            </w:r>
            <w:r>
              <w:rPr>
                <w:rFonts w:ascii="Arial" w:eastAsiaTheme="minorEastAsia" w:hAnsi="Arial" w:cs="Arial" w:hint="eastAsia"/>
                <w:sz w:val="18"/>
                <w:szCs w:val="18"/>
              </w:rPr>
              <w:t xml:space="preserve"> Representative axial chest CT images demonstrate the precise localization and automated segmentation of 14 core anatomical structures across various levels. Red-shaded areas represent the generated segmentation masks. The ROIs include the latissimus dorsi, humerus, triceps brachii, C7 vertebra, infraspinatus, T1 vertebra, trapezius, teres major, scapula, subscapularis, supraspinatus, deltoid, pectoralis major, and pectoralis minor. These examples, ranging from the cervicothoracic junction to the lower thorax, illustrate the pipeline's high segmentation consistency and robustness in handling heterogeneous routine clinical CT data with varying fields of view and anatomical variations. </w:t>
            </w:r>
          </w:p>
        </w:tc>
      </w:tr>
    </w:tbl>
    <w:p w14:paraId="7F0AC8B3" w14:textId="77777777" w:rsidR="00D1738A" w:rsidRDefault="00D1738A">
      <w:pPr>
        <w:spacing w:after="400" w:line="360" w:lineRule="auto"/>
        <w:rPr>
          <w:rFonts w:ascii="Arial" w:eastAsiaTheme="minorEastAsia" w:hAnsi="Arial" w:cs="Arial"/>
        </w:rPr>
        <w:sectPr w:rsidR="00D1738A">
          <w:pgSz w:w="12240" w:h="15840"/>
          <w:pgMar w:top="1440" w:right="1440" w:bottom="1440" w:left="1440" w:header="708" w:footer="708" w:gutter="0"/>
          <w:cols w:space="720"/>
          <w:docGrid w:linePitch="360"/>
        </w:sectPr>
      </w:pPr>
    </w:p>
    <w:tbl>
      <w:tblPr>
        <w:tblStyle w:val="af5"/>
        <w:tblW w:w="0" w:type="auto"/>
        <w:tblLook w:val="04A0" w:firstRow="1" w:lastRow="0" w:firstColumn="1" w:lastColumn="0" w:noHBand="0" w:noVBand="1"/>
      </w:tblPr>
      <w:tblGrid>
        <w:gridCol w:w="12960"/>
      </w:tblGrid>
      <w:tr w:rsidR="00D1738A" w14:paraId="4FB92FB3" w14:textId="77777777">
        <w:tc>
          <w:tcPr>
            <w:tcW w:w="13176" w:type="dxa"/>
            <w:tcBorders>
              <w:top w:val="nil"/>
              <w:left w:val="nil"/>
              <w:bottom w:val="nil"/>
              <w:right w:val="nil"/>
            </w:tcBorders>
          </w:tcPr>
          <w:p w14:paraId="5BC28019" w14:textId="77777777" w:rsidR="00D1738A" w:rsidRDefault="00000000">
            <w:pPr>
              <w:spacing w:line="360" w:lineRule="auto"/>
              <w:jc w:val="center"/>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7E65547F" wp14:editId="10677B2F">
                  <wp:extent cx="7222490" cy="5230495"/>
                  <wp:effectExtent l="0" t="0" r="6985" b="8255"/>
                  <wp:docPr id="3" name="图片 3" descr="Supplementary Figure S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S2_01"/>
                          <pic:cNvPicPr>
                            <a:picLocks noChangeAspect="1"/>
                          </pic:cNvPicPr>
                        </pic:nvPicPr>
                        <pic:blipFill>
                          <a:blip r:embed="rId9"/>
                          <a:srcRect r="14261" b="12201"/>
                          <a:stretch>
                            <a:fillRect/>
                          </a:stretch>
                        </pic:blipFill>
                        <pic:spPr>
                          <a:xfrm>
                            <a:off x="0" y="0"/>
                            <a:ext cx="7222490" cy="5230495"/>
                          </a:xfrm>
                          <a:prstGeom prst="rect">
                            <a:avLst/>
                          </a:prstGeom>
                        </pic:spPr>
                      </pic:pic>
                    </a:graphicData>
                  </a:graphic>
                </wp:inline>
              </w:drawing>
            </w:r>
          </w:p>
        </w:tc>
      </w:tr>
      <w:tr w:rsidR="00D1738A" w14:paraId="056655DB" w14:textId="77777777">
        <w:tc>
          <w:tcPr>
            <w:tcW w:w="13176" w:type="dxa"/>
            <w:tcBorders>
              <w:top w:val="nil"/>
              <w:left w:val="nil"/>
              <w:bottom w:val="nil"/>
              <w:right w:val="nil"/>
            </w:tcBorders>
          </w:tcPr>
          <w:p w14:paraId="0E67C018" w14:textId="77777777" w:rsidR="00D1738A" w:rsidRDefault="00000000">
            <w:pPr>
              <w:spacing w:line="360" w:lineRule="auto"/>
              <w:rPr>
                <w:rFonts w:ascii="Arial" w:eastAsiaTheme="minorEastAsia" w:hAnsi="Arial" w:cs="Arial"/>
                <w:sz w:val="18"/>
                <w:szCs w:val="18"/>
              </w:rPr>
            </w:pPr>
            <w:r>
              <w:rPr>
                <w:rFonts w:ascii="Arial" w:eastAsiaTheme="minorEastAsia" w:hAnsi="Arial" w:cs="Arial" w:hint="eastAsia"/>
                <w:b/>
                <w:bCs/>
                <w:sz w:val="18"/>
                <w:szCs w:val="18"/>
              </w:rPr>
              <w:t>Supplementary Figure S2</w:t>
            </w:r>
            <w:r>
              <w:rPr>
                <w:rFonts w:ascii="Arial" w:eastAsiaTheme="minorEastAsia" w:hAnsi="Arial" w:cs="Arial" w:hint="eastAsia"/>
                <w:sz w:val="18"/>
                <w:szCs w:val="18"/>
              </w:rPr>
              <w:t xml:space="preserve"> | </w:t>
            </w:r>
            <w:r>
              <w:rPr>
                <w:rFonts w:ascii="Arial" w:eastAsiaTheme="minorEastAsia" w:hAnsi="Arial" w:cs="Arial" w:hint="eastAsia"/>
                <w:b/>
                <w:bCs/>
                <w:sz w:val="18"/>
                <w:szCs w:val="18"/>
              </w:rPr>
              <w:t>Assessment of covariate balance via Propensity Score Matching (PSM).</w:t>
            </w:r>
            <w:r>
              <w:rPr>
                <w:rFonts w:ascii="Arial" w:eastAsiaTheme="minorEastAsia" w:hAnsi="Arial" w:cs="Arial" w:hint="eastAsia"/>
                <w:sz w:val="18"/>
                <w:szCs w:val="18"/>
              </w:rPr>
              <w:t xml:space="preserve"> a-eMirror histograms displaying the distribution of propensity scores and covariates before and after matching. Love plot illustrating the absolute Standardized Mean Differences (SMD) for all baseline covariates. </w:t>
            </w:r>
          </w:p>
          <w:p w14:paraId="3D4118EF" w14:textId="77777777" w:rsidR="00D1738A" w:rsidRDefault="00000000">
            <w:pPr>
              <w:spacing w:line="360" w:lineRule="auto"/>
              <w:rPr>
                <w:rFonts w:ascii="Arial" w:eastAsiaTheme="minorEastAsia" w:hAnsi="Arial" w:cs="Arial"/>
              </w:rPr>
            </w:pPr>
            <w:r>
              <w:rPr>
                <w:rFonts w:ascii="Arial" w:eastAsiaTheme="minorEastAsia" w:hAnsi="Arial" w:cs="Arial" w:hint="eastAsia"/>
                <w:sz w:val="18"/>
                <w:szCs w:val="18"/>
              </w:rPr>
              <w:t>After matching, all SMDs were reduced to &lt;0.10, indicating well-balanced cohorts. PSM propensity score matching, SMD standardized mean difference.</w:t>
            </w:r>
          </w:p>
        </w:tc>
      </w:tr>
      <w:tr w:rsidR="00D1738A" w14:paraId="6FDCCB0B" w14:textId="77777777">
        <w:tc>
          <w:tcPr>
            <w:tcW w:w="13176" w:type="dxa"/>
            <w:tcBorders>
              <w:top w:val="nil"/>
              <w:left w:val="nil"/>
              <w:bottom w:val="nil"/>
              <w:right w:val="nil"/>
            </w:tcBorders>
          </w:tcPr>
          <w:p w14:paraId="41F85B8B" w14:textId="77777777" w:rsidR="00D1738A" w:rsidRDefault="00000000">
            <w:pPr>
              <w:spacing w:after="400" w:line="360" w:lineRule="auto"/>
              <w:jc w:val="center"/>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6CED750A" wp14:editId="6CAFFEF6">
                  <wp:extent cx="7277735" cy="4366895"/>
                  <wp:effectExtent l="0" t="0" r="8890" b="5080"/>
                  <wp:docPr id="6" name="图片 6" descr="Supplementary 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upplementary Figure S3"/>
                          <pic:cNvPicPr>
                            <a:picLocks noChangeAspect="1"/>
                          </pic:cNvPicPr>
                        </pic:nvPicPr>
                        <pic:blipFill>
                          <a:blip r:embed="rId10"/>
                          <a:stretch>
                            <a:fillRect/>
                          </a:stretch>
                        </pic:blipFill>
                        <pic:spPr>
                          <a:xfrm>
                            <a:off x="0" y="0"/>
                            <a:ext cx="7277735" cy="4366895"/>
                          </a:xfrm>
                          <a:prstGeom prst="rect">
                            <a:avLst/>
                          </a:prstGeom>
                        </pic:spPr>
                      </pic:pic>
                    </a:graphicData>
                  </a:graphic>
                </wp:inline>
              </w:drawing>
            </w:r>
          </w:p>
        </w:tc>
      </w:tr>
      <w:tr w:rsidR="00D1738A" w14:paraId="676D6576" w14:textId="77777777">
        <w:tc>
          <w:tcPr>
            <w:tcW w:w="13176" w:type="dxa"/>
            <w:tcBorders>
              <w:top w:val="nil"/>
              <w:left w:val="nil"/>
              <w:bottom w:val="nil"/>
              <w:right w:val="nil"/>
            </w:tcBorders>
          </w:tcPr>
          <w:p w14:paraId="04666640" w14:textId="77777777" w:rsidR="00D1738A" w:rsidRDefault="00000000">
            <w:pPr>
              <w:pStyle w:val="a0"/>
              <w:rPr>
                <w:rFonts w:ascii="Arial" w:hAnsi="Arial" w:cs="Arial"/>
              </w:rPr>
            </w:pPr>
            <w:r>
              <w:rPr>
                <w:rFonts w:ascii="Arial" w:hAnsi="Arial" w:cs="Arial" w:hint="eastAsia"/>
                <w:b/>
                <w:bCs/>
                <w:sz w:val="18"/>
                <w:szCs w:val="18"/>
              </w:rPr>
              <w:t>Supplementary Figure S3 | Convergence of feature coefficients via LASSO regression.</w:t>
            </w:r>
            <w:r>
              <w:rPr>
                <w:rFonts w:ascii="Arial" w:hAnsi="Arial" w:cs="Arial" w:hint="eastAsia"/>
                <w:sz w:val="18"/>
                <w:szCs w:val="18"/>
              </w:rPr>
              <w:t xml:space="preserve"> To identify the most robust predictors for rotator cuff tear screening, LASSO regression was employed to reduce dimensionality. The diagram displays the solution path of the coefficients: as the penalty parameter </w:t>
            </w:r>
            <m:oMath>
              <m:r>
                <m:rPr>
                  <m:sty m:val="p"/>
                </m:rPr>
                <w:rPr>
                  <w:rFonts w:ascii="Cambria Math" w:hAnsi="Cambria Math" w:cs="Arial"/>
                  <w:sz w:val="18"/>
                  <w:szCs w:val="18"/>
                </w:rPr>
                <m:t>α</m:t>
              </m:r>
            </m:oMath>
            <w:r>
              <w:rPr>
                <w:rFonts w:ascii="Arial" w:hAnsi="Arial" w:cs="Arial" w:hint="eastAsia"/>
                <w:sz w:val="18"/>
                <w:szCs w:val="18"/>
              </w:rPr>
              <w:t xml:space="preserve"> (plotted as </w:t>
            </w:r>
            <m:oMath>
              <m:sSub>
                <m:sSubPr>
                  <m:ctrlPr>
                    <w:rPr>
                      <w:rFonts w:ascii="Cambria Math" w:hAnsi="Cambria Math" w:cs="Arial" w:hint="eastAsia"/>
                      <w:sz w:val="18"/>
                      <w:szCs w:val="18"/>
                    </w:rPr>
                  </m:ctrlPr>
                </m:sSubPr>
                <m:e>
                  <m:r>
                    <m:rPr>
                      <m:sty m:val="p"/>
                    </m:rPr>
                    <w:rPr>
                      <w:rFonts w:ascii="Cambria Math" w:hAnsi="Cambria Math" w:cs="Arial" w:hint="eastAsia"/>
                      <w:sz w:val="18"/>
                      <w:szCs w:val="18"/>
                    </w:rPr>
                    <m:t>log</m:t>
                  </m:r>
                </m:e>
                <m:sub>
                  <m:r>
                    <m:rPr>
                      <m:sty m:val="p"/>
                    </m:rPr>
                    <w:rPr>
                      <w:rFonts w:ascii="Cambria Math" w:hAnsi="Cambria Math" w:cs="Arial" w:hint="eastAsia"/>
                      <w:sz w:val="18"/>
                      <w:szCs w:val="18"/>
                    </w:rPr>
                    <m:t>10</m:t>
                  </m:r>
                </m:sub>
              </m:sSub>
              <m:r>
                <m:rPr>
                  <m:sty m:val="p"/>
                </m:rPr>
                <w:rPr>
                  <w:rFonts w:ascii="Cambria Math" w:hAnsi="Cambria Math" w:cs="Arial"/>
                  <w:sz w:val="18"/>
                  <w:szCs w:val="18"/>
                </w:rPr>
                <m:t>(α)</m:t>
              </m:r>
            </m:oMath>
            <w:r>
              <w:rPr>
                <w:rFonts w:ascii="Arial" w:hAnsi="Arial" w:cs="Arial" w:hint="eastAsia"/>
                <w:sz w:val="18"/>
                <w:szCs w:val="18"/>
              </w:rPr>
              <w:t>) increases, the coefficients of less informative features shrink to zero. This shrinkage process allows for the identification of a sparse model representation. A final optimal subset of 18 key features (comprising morphological, textural, and density metrics) was selected from this path, balancing model parsimony with diagnostic accuracy.</w:t>
            </w:r>
          </w:p>
        </w:tc>
      </w:tr>
    </w:tbl>
    <w:p w14:paraId="6ADA5341" w14:textId="77777777" w:rsidR="00D1738A" w:rsidRDefault="00D1738A">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p>
    <w:tbl>
      <w:tblPr>
        <w:tblStyle w:val="af5"/>
        <w:tblW w:w="0" w:type="auto"/>
        <w:tblLook w:val="04A0" w:firstRow="1" w:lastRow="0" w:firstColumn="1" w:lastColumn="0" w:noHBand="0" w:noVBand="1"/>
      </w:tblPr>
      <w:tblGrid>
        <w:gridCol w:w="9360"/>
      </w:tblGrid>
      <w:tr w:rsidR="00D1738A" w14:paraId="529C89C7" w14:textId="77777777">
        <w:tc>
          <w:tcPr>
            <w:tcW w:w="9576" w:type="dxa"/>
            <w:tcBorders>
              <w:top w:val="nil"/>
              <w:left w:val="nil"/>
              <w:bottom w:val="nil"/>
              <w:right w:val="nil"/>
            </w:tcBorders>
          </w:tcPr>
          <w:p w14:paraId="54B8DA53" w14:textId="77777777" w:rsidR="00D1738A" w:rsidRDefault="00000000">
            <w:pPr>
              <w:pStyle w:val="a0"/>
              <w:rPr>
                <w:rFonts w:ascii="Arial" w:hAnsi="Arial" w:cs="Arial"/>
                <w:b/>
                <w:bCs/>
                <w:sz w:val="18"/>
                <w:szCs w:val="18"/>
              </w:rPr>
            </w:pPr>
            <w:r>
              <w:rPr>
                <w:rFonts w:ascii="Arial" w:hAnsi="Arial" w:cs="Arial" w:hint="eastAsia"/>
                <w:b/>
                <w:bCs/>
                <w:noProof/>
                <w:sz w:val="18"/>
                <w:szCs w:val="18"/>
              </w:rPr>
              <w:lastRenderedPageBreak/>
              <w:drawing>
                <wp:inline distT="0" distB="0" distL="114300" distR="114300" wp14:anchorId="36D506CC" wp14:editId="25729B73">
                  <wp:extent cx="6120765" cy="5323205"/>
                  <wp:effectExtent l="0" t="0" r="3810" b="1270"/>
                  <wp:docPr id="8" name="图片 8" descr="Supplementary Figure S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pplementary Figure S4_01"/>
                          <pic:cNvPicPr>
                            <a:picLocks noChangeAspect="1"/>
                          </pic:cNvPicPr>
                        </pic:nvPicPr>
                        <pic:blipFill>
                          <a:blip r:embed="rId11"/>
                          <a:srcRect t="2574" b="37201"/>
                          <a:stretch>
                            <a:fillRect/>
                          </a:stretch>
                        </pic:blipFill>
                        <pic:spPr>
                          <a:xfrm>
                            <a:off x="0" y="0"/>
                            <a:ext cx="6120765" cy="5323205"/>
                          </a:xfrm>
                          <a:prstGeom prst="rect">
                            <a:avLst/>
                          </a:prstGeom>
                        </pic:spPr>
                      </pic:pic>
                    </a:graphicData>
                  </a:graphic>
                </wp:inline>
              </w:drawing>
            </w:r>
          </w:p>
        </w:tc>
      </w:tr>
      <w:tr w:rsidR="00D1738A" w14:paraId="755A892F" w14:textId="77777777">
        <w:tc>
          <w:tcPr>
            <w:tcW w:w="9576" w:type="dxa"/>
            <w:tcBorders>
              <w:top w:val="nil"/>
              <w:left w:val="nil"/>
              <w:bottom w:val="nil"/>
              <w:right w:val="nil"/>
            </w:tcBorders>
          </w:tcPr>
          <w:p w14:paraId="5A5E7926" w14:textId="77777777" w:rsidR="00D1738A" w:rsidRDefault="00000000">
            <w:pPr>
              <w:pStyle w:val="a0"/>
              <w:rPr>
                <w:rFonts w:ascii="Arial" w:hAnsi="Arial" w:cs="Arial"/>
                <w:b/>
                <w:bCs/>
                <w:sz w:val="18"/>
                <w:szCs w:val="18"/>
              </w:rPr>
            </w:pPr>
            <w:r>
              <w:rPr>
                <w:rFonts w:ascii="Arial" w:hAnsi="Arial" w:cs="Arial" w:hint="eastAsia"/>
                <w:b/>
                <w:bCs/>
                <w:sz w:val="18"/>
                <w:szCs w:val="18"/>
              </w:rPr>
              <w:t>Supplementary Figure S4 | Comprehensive subgroup analysis of the Hybrid Model</w:t>
            </w:r>
            <w:r>
              <w:rPr>
                <w:rFonts w:ascii="Arial" w:hAnsi="Arial" w:cs="Arial"/>
                <w:b/>
                <w:bCs/>
                <w:sz w:val="18"/>
                <w:szCs w:val="18"/>
              </w:rPr>
              <w:t>’</w:t>
            </w:r>
            <w:r>
              <w:rPr>
                <w:rFonts w:ascii="Arial" w:hAnsi="Arial" w:cs="Arial" w:hint="eastAsia"/>
                <w:b/>
                <w:bCs/>
                <w:sz w:val="18"/>
                <w:szCs w:val="18"/>
              </w:rPr>
              <w:t xml:space="preserve">s </w:t>
            </w:r>
            <w:r>
              <w:rPr>
                <w:rFonts w:ascii="Arial" w:hAnsi="Arial" w:cs="Arial"/>
                <w:b/>
                <w:bCs/>
                <w:sz w:val="18"/>
                <w:szCs w:val="18"/>
              </w:rPr>
              <w:t xml:space="preserve">diagnostic performance. </w:t>
            </w:r>
            <w:r>
              <w:rPr>
                <w:rFonts w:ascii="Arial" w:hAnsi="Arial" w:cs="Arial"/>
                <w:sz w:val="18"/>
                <w:szCs w:val="18"/>
              </w:rPr>
              <w:t>The ROC and PRC curves illustrate the model’s stability and generalizability across eight clinical and technical dimensions: (a) BMI, (b) Weight, (c) Tube voltage (kVp), (d) CT manufacturer, (e) Goutallier grade, (f) Height , (g) Sex, and (h) Age. The Hybrid Model maintains consistent diagnostic accuracy</w:t>
            </w:r>
            <w:r>
              <w:rPr>
                <w:rFonts w:ascii="Arial" w:hAnsi="Arial" w:cs="Arial" w:hint="eastAsia"/>
                <w:sz w:val="18"/>
                <w:szCs w:val="18"/>
              </w:rPr>
              <w:t xml:space="preserve"> </w:t>
            </w:r>
            <w:r>
              <w:rPr>
                <w:rFonts w:ascii="Arial" w:hAnsi="Arial" w:cs="Arial"/>
                <w:sz w:val="18"/>
                <w:szCs w:val="18"/>
              </w:rPr>
              <w:t>across different demographic profiles and hardware platforms, including major manufacturers (GE, Siemens, Philips, and UIH). While minor performance fluctuations</w:t>
            </w:r>
            <w:r>
              <w:rPr>
                <w:rFonts w:ascii="Arial" w:hAnsi="Arial" w:cs="Arial" w:hint="eastAsia"/>
                <w:sz w:val="18"/>
                <w:szCs w:val="18"/>
              </w:rPr>
              <w:t xml:space="preserve"> </w:t>
            </w:r>
            <w:r>
              <w:rPr>
                <w:rFonts w:ascii="Arial" w:hAnsi="Arial" w:cs="Arial"/>
                <w:sz w:val="18"/>
                <w:szCs w:val="18"/>
              </w:rPr>
              <w:t>exist across subgroups due to variations in sample prevalence and scanner-specific protocols, the high overall AUC and AUPRC values demonstrate the robustness of the automated screening tool for real-world clinical applications.</w:t>
            </w:r>
          </w:p>
        </w:tc>
      </w:tr>
    </w:tbl>
    <w:p w14:paraId="2D4DBCDF" w14:textId="77777777" w:rsidR="00D1738A" w:rsidRDefault="00D1738A">
      <w:pPr>
        <w:spacing w:after="400" w:line="360" w:lineRule="auto"/>
        <w:rPr>
          <w:rFonts w:ascii="Arial" w:eastAsiaTheme="minorEastAsia" w:hAnsi="Arial" w:cs="Arial"/>
        </w:rPr>
      </w:pPr>
    </w:p>
    <w:p w14:paraId="1A5386F6" w14:textId="77777777" w:rsidR="00D1738A" w:rsidRDefault="00D1738A">
      <w:pPr>
        <w:spacing w:after="400" w:line="360" w:lineRule="auto"/>
        <w:rPr>
          <w:rFonts w:ascii="Arial" w:eastAsiaTheme="minorEastAsia" w:hAnsi="Arial" w:cs="Arial"/>
        </w:rPr>
      </w:pPr>
    </w:p>
    <w:tbl>
      <w:tblPr>
        <w:tblStyle w:val="af5"/>
        <w:tblW w:w="0" w:type="auto"/>
        <w:tblLook w:val="04A0" w:firstRow="1" w:lastRow="0" w:firstColumn="1" w:lastColumn="0" w:noHBand="0" w:noVBand="1"/>
      </w:tblPr>
      <w:tblGrid>
        <w:gridCol w:w="9360"/>
      </w:tblGrid>
      <w:tr w:rsidR="00D1738A" w14:paraId="2BB9A079" w14:textId="77777777">
        <w:tc>
          <w:tcPr>
            <w:tcW w:w="9576" w:type="dxa"/>
            <w:tcBorders>
              <w:top w:val="nil"/>
              <w:left w:val="nil"/>
              <w:bottom w:val="nil"/>
              <w:right w:val="nil"/>
            </w:tcBorders>
          </w:tcPr>
          <w:p w14:paraId="116D5DF1" w14:textId="77777777" w:rsidR="00D1738A" w:rsidRDefault="00000000">
            <w:pPr>
              <w:tabs>
                <w:tab w:val="right" w:pos="9360"/>
              </w:tabs>
              <w:spacing w:after="400"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38C24E5D" wp14:editId="1145197C">
                  <wp:extent cx="5688330" cy="8213725"/>
                  <wp:effectExtent l="0" t="0" r="7620" b="6350"/>
                  <wp:docPr id="9" name="图片 9" descr="Supplementary Figure S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pplementary Figure S5_01"/>
                          <pic:cNvPicPr>
                            <a:picLocks noChangeAspect="1"/>
                          </pic:cNvPicPr>
                        </pic:nvPicPr>
                        <pic:blipFill>
                          <a:blip r:embed="rId12"/>
                          <a:stretch>
                            <a:fillRect/>
                          </a:stretch>
                        </pic:blipFill>
                        <pic:spPr>
                          <a:xfrm>
                            <a:off x="0" y="0"/>
                            <a:ext cx="5688330" cy="8213725"/>
                          </a:xfrm>
                          <a:prstGeom prst="rect">
                            <a:avLst/>
                          </a:prstGeom>
                        </pic:spPr>
                      </pic:pic>
                    </a:graphicData>
                  </a:graphic>
                </wp:inline>
              </w:drawing>
            </w:r>
            <w:r>
              <w:rPr>
                <w:rFonts w:ascii="Arial" w:eastAsiaTheme="minorEastAsia" w:hAnsi="Arial" w:cs="Arial" w:hint="eastAsia"/>
              </w:rPr>
              <w:tab/>
            </w:r>
          </w:p>
        </w:tc>
      </w:tr>
      <w:tr w:rsidR="00D1738A" w14:paraId="4B2639F7" w14:textId="77777777">
        <w:tc>
          <w:tcPr>
            <w:tcW w:w="9576" w:type="dxa"/>
            <w:tcBorders>
              <w:top w:val="nil"/>
              <w:left w:val="nil"/>
              <w:bottom w:val="nil"/>
              <w:right w:val="nil"/>
            </w:tcBorders>
          </w:tcPr>
          <w:p w14:paraId="0B4E0519" w14:textId="77777777" w:rsidR="00D1738A" w:rsidRDefault="00000000">
            <w:pPr>
              <w:spacing w:after="400"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22EF5967" wp14:editId="53459677">
                  <wp:extent cx="5688330" cy="8213725"/>
                  <wp:effectExtent l="0" t="0" r="7620" b="6350"/>
                  <wp:docPr id="10" name="图片 10" descr="Supplementary Figure S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upplementary Figure S5_02"/>
                          <pic:cNvPicPr>
                            <a:picLocks noChangeAspect="1"/>
                          </pic:cNvPicPr>
                        </pic:nvPicPr>
                        <pic:blipFill>
                          <a:blip r:embed="rId13"/>
                          <a:stretch>
                            <a:fillRect/>
                          </a:stretch>
                        </pic:blipFill>
                        <pic:spPr>
                          <a:xfrm>
                            <a:off x="0" y="0"/>
                            <a:ext cx="5688330" cy="8213725"/>
                          </a:xfrm>
                          <a:prstGeom prst="rect">
                            <a:avLst/>
                          </a:prstGeom>
                        </pic:spPr>
                      </pic:pic>
                    </a:graphicData>
                  </a:graphic>
                </wp:inline>
              </w:drawing>
            </w:r>
          </w:p>
        </w:tc>
      </w:tr>
      <w:tr w:rsidR="00D1738A" w14:paraId="263C3926" w14:textId="77777777">
        <w:tc>
          <w:tcPr>
            <w:tcW w:w="9576" w:type="dxa"/>
            <w:tcBorders>
              <w:top w:val="nil"/>
              <w:left w:val="nil"/>
              <w:bottom w:val="nil"/>
              <w:right w:val="nil"/>
            </w:tcBorders>
          </w:tcPr>
          <w:p w14:paraId="148AA72E" w14:textId="77777777" w:rsidR="00D1738A" w:rsidRDefault="00000000">
            <w:pPr>
              <w:spacing w:after="400"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2FAA291A" wp14:editId="2DF78411">
                  <wp:extent cx="5688330" cy="8213725"/>
                  <wp:effectExtent l="0" t="0" r="7620" b="6350"/>
                  <wp:docPr id="11" name="图片 11" descr="Supplementary Figure S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upplementary Figure S5_03"/>
                          <pic:cNvPicPr>
                            <a:picLocks noChangeAspect="1"/>
                          </pic:cNvPicPr>
                        </pic:nvPicPr>
                        <pic:blipFill>
                          <a:blip r:embed="rId14"/>
                          <a:stretch>
                            <a:fillRect/>
                          </a:stretch>
                        </pic:blipFill>
                        <pic:spPr>
                          <a:xfrm>
                            <a:off x="0" y="0"/>
                            <a:ext cx="5688330" cy="8213725"/>
                          </a:xfrm>
                          <a:prstGeom prst="rect">
                            <a:avLst/>
                          </a:prstGeom>
                        </pic:spPr>
                      </pic:pic>
                    </a:graphicData>
                  </a:graphic>
                </wp:inline>
              </w:drawing>
            </w:r>
          </w:p>
        </w:tc>
      </w:tr>
      <w:tr w:rsidR="00D1738A" w14:paraId="10761072" w14:textId="77777777">
        <w:tc>
          <w:tcPr>
            <w:tcW w:w="9576" w:type="dxa"/>
            <w:tcBorders>
              <w:top w:val="nil"/>
              <w:left w:val="nil"/>
              <w:bottom w:val="nil"/>
              <w:right w:val="nil"/>
            </w:tcBorders>
          </w:tcPr>
          <w:p w14:paraId="6F692B70" w14:textId="77777777" w:rsidR="00D1738A" w:rsidRDefault="00D1738A">
            <w:pPr>
              <w:spacing w:after="400" w:line="360" w:lineRule="auto"/>
              <w:rPr>
                <w:rFonts w:ascii="Arial" w:eastAsiaTheme="minorEastAsia" w:hAnsi="Arial" w:cs="Arial"/>
              </w:rPr>
            </w:pPr>
          </w:p>
          <w:p w14:paraId="30B45037" w14:textId="77777777" w:rsidR="00D1738A" w:rsidRDefault="00000000">
            <w:pPr>
              <w:spacing w:after="400" w:line="360" w:lineRule="auto"/>
              <w:rPr>
                <w:rFonts w:ascii="Arial" w:eastAsiaTheme="minorEastAsia" w:hAnsi="Arial" w:cs="Arial"/>
              </w:rPr>
            </w:pPr>
            <w:r>
              <w:rPr>
                <w:rFonts w:ascii="Arial" w:eastAsiaTheme="minorEastAsia" w:hAnsi="Arial" w:cs="Arial" w:hint="eastAsia"/>
                <w:noProof/>
              </w:rPr>
              <w:drawing>
                <wp:inline distT="0" distB="0" distL="114300" distR="114300" wp14:anchorId="0B924DCE" wp14:editId="06BF9235">
                  <wp:extent cx="5688330" cy="4034790"/>
                  <wp:effectExtent l="0" t="0" r="0" b="0"/>
                  <wp:docPr id="12" name="图片 12" descr="Supplementary Figure S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upplementary Figure S5_04"/>
                          <pic:cNvPicPr>
                            <a:picLocks noChangeAspect="1"/>
                          </pic:cNvPicPr>
                        </pic:nvPicPr>
                        <pic:blipFill>
                          <a:blip r:embed="rId15"/>
                          <a:srcRect b="50877"/>
                          <a:stretch>
                            <a:fillRect/>
                          </a:stretch>
                        </pic:blipFill>
                        <pic:spPr>
                          <a:xfrm>
                            <a:off x="0" y="0"/>
                            <a:ext cx="5688330" cy="4034790"/>
                          </a:xfrm>
                          <a:prstGeom prst="rect">
                            <a:avLst/>
                          </a:prstGeom>
                        </pic:spPr>
                      </pic:pic>
                    </a:graphicData>
                  </a:graphic>
                </wp:inline>
              </w:drawing>
            </w:r>
          </w:p>
        </w:tc>
      </w:tr>
      <w:tr w:rsidR="00D1738A" w14:paraId="1CAC5371" w14:textId="77777777">
        <w:tc>
          <w:tcPr>
            <w:tcW w:w="9576" w:type="dxa"/>
            <w:tcBorders>
              <w:top w:val="nil"/>
              <w:left w:val="nil"/>
              <w:bottom w:val="nil"/>
              <w:right w:val="nil"/>
            </w:tcBorders>
          </w:tcPr>
          <w:p w14:paraId="1C619D50" w14:textId="77777777" w:rsidR="00D1738A" w:rsidRDefault="00000000">
            <w:pPr>
              <w:pStyle w:val="a0"/>
              <w:spacing w:before="0" w:after="0"/>
              <w:rPr>
                <w:rFonts w:ascii="Arial" w:hAnsi="Arial" w:cs="Arial"/>
                <w:b/>
                <w:bCs/>
                <w:sz w:val="18"/>
                <w:szCs w:val="18"/>
              </w:rPr>
            </w:pPr>
            <w:r>
              <w:rPr>
                <w:rFonts w:ascii="Arial" w:hAnsi="Arial" w:cs="Arial" w:hint="eastAsia"/>
                <w:b/>
                <w:bCs/>
                <w:sz w:val="18"/>
                <w:szCs w:val="18"/>
              </w:rPr>
              <w:t xml:space="preserve">Supplementary Figure S5 | Statistical validation of discriminatory features via univariate analysis. </w:t>
            </w:r>
          </w:p>
          <w:p w14:paraId="67DCCCDE" w14:textId="77777777" w:rsidR="00D1738A" w:rsidRDefault="00000000">
            <w:pPr>
              <w:pStyle w:val="a0"/>
              <w:spacing w:before="0" w:after="0"/>
              <w:rPr>
                <w:rFonts w:ascii="Arial" w:hAnsi="Arial" w:cs="Arial"/>
              </w:rPr>
            </w:pPr>
            <w:r>
              <w:rPr>
                <w:rFonts w:ascii="Arial" w:hAnsi="Arial" w:cs="Arial" w:hint="eastAsia"/>
                <w:sz w:val="18"/>
                <w:szCs w:val="18"/>
              </w:rPr>
              <w:t>Box plots illustrate the distribution of 55 statistically significant features across the RCT (Tear) and control groups.Features are presented as Z-score normalized values to amplify intergroup differences and ensure comparability across metrics.The center line represents the median,while the box bounds indicate the interquartile range (IQR).  Statistical significance was determined via independent-samples t-tests or Mann-Whitney U tests,as appropriate: *P&lt;0.05; **P&lt;0.01; ***P&lt;0.001.This granular validation confirms that the high-weight features identified by the SHAP framework (Figure4) possess robust and consistent biological differences between cohorts.</w:t>
            </w:r>
          </w:p>
        </w:tc>
      </w:tr>
    </w:tbl>
    <w:p w14:paraId="1A09D405" w14:textId="77777777" w:rsidR="00D1738A" w:rsidRDefault="00D1738A">
      <w:pPr>
        <w:spacing w:after="400" w:line="360" w:lineRule="auto"/>
        <w:rPr>
          <w:rFonts w:ascii="Arial" w:eastAsiaTheme="minorEastAsia" w:hAnsi="Arial" w:cs="Arial"/>
        </w:rPr>
        <w:sectPr w:rsidR="00D1738A">
          <w:pgSz w:w="12240" w:h="15840"/>
          <w:pgMar w:top="1440" w:right="1440" w:bottom="1440" w:left="1440" w:header="708" w:footer="708" w:gutter="0"/>
          <w:cols w:space="720"/>
          <w:docGrid w:linePitch="360"/>
        </w:sectPr>
      </w:pPr>
    </w:p>
    <w:tbl>
      <w:tblPr>
        <w:tblStyle w:val="af5"/>
        <w:tblW w:w="0" w:type="auto"/>
        <w:tblLook w:val="04A0" w:firstRow="1" w:lastRow="0" w:firstColumn="1" w:lastColumn="0" w:noHBand="0" w:noVBand="1"/>
      </w:tblPr>
      <w:tblGrid>
        <w:gridCol w:w="12960"/>
      </w:tblGrid>
      <w:tr w:rsidR="00D1738A" w14:paraId="4E875B90" w14:textId="77777777">
        <w:tc>
          <w:tcPr>
            <w:tcW w:w="13176" w:type="dxa"/>
            <w:tcBorders>
              <w:top w:val="nil"/>
              <w:left w:val="nil"/>
              <w:bottom w:val="nil"/>
              <w:right w:val="nil"/>
            </w:tcBorders>
          </w:tcPr>
          <w:p w14:paraId="06177F9D" w14:textId="77777777" w:rsidR="00D1738A" w:rsidRDefault="00000000">
            <w:pPr>
              <w:spacing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7E58C1D5" wp14:editId="2E110CA1">
                  <wp:extent cx="8229600" cy="4572000"/>
                  <wp:effectExtent l="0" t="0" r="0" b="0"/>
                  <wp:docPr id="13" name="图片 13" descr="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rends"/>
                          <pic:cNvPicPr>
                            <a:picLocks noChangeAspect="1"/>
                          </pic:cNvPicPr>
                        </pic:nvPicPr>
                        <pic:blipFill>
                          <a:blip r:embed="rId16"/>
                          <a:stretch>
                            <a:fillRect/>
                          </a:stretch>
                        </pic:blipFill>
                        <pic:spPr>
                          <a:xfrm>
                            <a:off x="0" y="0"/>
                            <a:ext cx="8229600" cy="4572000"/>
                          </a:xfrm>
                          <a:prstGeom prst="rect">
                            <a:avLst/>
                          </a:prstGeom>
                        </pic:spPr>
                      </pic:pic>
                    </a:graphicData>
                  </a:graphic>
                </wp:inline>
              </w:drawing>
            </w:r>
          </w:p>
        </w:tc>
      </w:tr>
      <w:tr w:rsidR="00D1738A" w14:paraId="011941E4" w14:textId="77777777">
        <w:tc>
          <w:tcPr>
            <w:tcW w:w="13176" w:type="dxa"/>
            <w:tcBorders>
              <w:top w:val="nil"/>
              <w:left w:val="nil"/>
              <w:bottom w:val="nil"/>
              <w:right w:val="nil"/>
            </w:tcBorders>
          </w:tcPr>
          <w:p w14:paraId="39D07FA0" w14:textId="77777777" w:rsidR="00D1738A" w:rsidRDefault="00000000">
            <w:pPr>
              <w:pStyle w:val="a0"/>
              <w:snapToGrid w:val="0"/>
              <w:spacing w:before="0" w:after="0"/>
              <w:rPr>
                <w:rFonts w:ascii="Arial" w:hAnsi="Arial" w:cs="Arial"/>
                <w:b/>
                <w:bCs/>
                <w:sz w:val="18"/>
                <w:szCs w:val="18"/>
              </w:rPr>
            </w:pPr>
            <w:r>
              <w:rPr>
                <w:rFonts w:ascii="Arial" w:hAnsi="Arial" w:cs="Arial" w:hint="eastAsia"/>
                <w:b/>
                <w:bCs/>
                <w:sz w:val="18"/>
                <w:szCs w:val="18"/>
              </w:rPr>
              <w:t xml:space="preserve">Supplementary Figure S6 | Regression plots illustrating associations between representative radiomic features and predicted probabilities. </w:t>
            </w:r>
          </w:p>
          <w:p w14:paraId="0EBCEE93" w14:textId="77777777" w:rsidR="00D1738A" w:rsidRDefault="00000000">
            <w:pPr>
              <w:pStyle w:val="a0"/>
              <w:snapToGrid w:val="0"/>
              <w:spacing w:before="0" w:after="0"/>
              <w:rPr>
                <w:rFonts w:ascii="Arial" w:hAnsi="Arial" w:cs="Arial"/>
              </w:rPr>
            </w:pPr>
            <w:r>
              <w:rPr>
                <w:rFonts w:ascii="Arial" w:hAnsi="Arial" w:cs="Arial" w:hint="eastAsia"/>
                <w:sz w:val="18"/>
                <w:szCs w:val="18"/>
              </w:rPr>
              <w:t>The curves depict the relationship between the values of selected radiomic features (x-axis) and the model-predicted probability of rotator cuff tear (y-axis). The solid red lines represent the fitted regression trends, while the translucent red shaded regions indicate the 95% confidence intervals. Vertical rug marks along the x-axis visualize the distribution of individual data points. The strength of each association is quantified using Spearman</w:t>
            </w:r>
            <w:r>
              <w:rPr>
                <w:rFonts w:ascii="Arial" w:hAnsi="Arial" w:cs="Arial"/>
                <w:sz w:val="18"/>
                <w:szCs w:val="18"/>
              </w:rPr>
              <w:t>’</w:t>
            </w:r>
            <w:r>
              <w:rPr>
                <w:rFonts w:ascii="Arial" w:hAnsi="Arial" w:cs="Arial" w:hint="eastAsia"/>
                <w:sz w:val="18"/>
                <w:szCs w:val="18"/>
              </w:rPr>
              <w:t>s rank correlation coefficient (</w:t>
            </w:r>
            <m:oMath>
              <m:r>
                <m:rPr>
                  <m:sty m:val="p"/>
                </m:rPr>
                <w:rPr>
                  <w:rFonts w:ascii="Cambria Math" w:hAnsi="Cambria Math" w:cs="Arial"/>
                  <w:sz w:val="18"/>
                  <w:szCs w:val="18"/>
                </w:rPr>
                <m:t>ρ</m:t>
              </m:r>
            </m:oMath>
            <w:r>
              <w:rPr>
                <w:rFonts w:ascii="Arial" w:hAnsi="Arial" w:cs="Arial" w:hint="eastAsia"/>
                <w:sz w:val="18"/>
                <w:szCs w:val="18"/>
              </w:rPr>
              <w:t>) and the corresponding P value.</w:t>
            </w:r>
          </w:p>
        </w:tc>
      </w:tr>
    </w:tbl>
    <w:p w14:paraId="41017C0E" w14:textId="77777777" w:rsidR="00D1738A" w:rsidRDefault="00D1738A">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p>
    <w:tbl>
      <w:tblPr>
        <w:tblStyle w:val="af5"/>
        <w:tblW w:w="0" w:type="auto"/>
        <w:jc w:val="center"/>
        <w:tblLook w:val="04A0" w:firstRow="1" w:lastRow="0" w:firstColumn="1" w:lastColumn="0" w:noHBand="0" w:noVBand="1"/>
      </w:tblPr>
      <w:tblGrid>
        <w:gridCol w:w="11031"/>
      </w:tblGrid>
      <w:tr w:rsidR="00D1738A" w14:paraId="4BF9217C" w14:textId="77777777">
        <w:trPr>
          <w:jc w:val="center"/>
        </w:trPr>
        <w:tc>
          <w:tcPr>
            <w:tcW w:w="9576" w:type="dxa"/>
            <w:tcBorders>
              <w:top w:val="nil"/>
              <w:left w:val="nil"/>
              <w:bottom w:val="nil"/>
              <w:right w:val="nil"/>
            </w:tcBorders>
          </w:tcPr>
          <w:p w14:paraId="7100EFB7" w14:textId="77777777" w:rsidR="00D1738A" w:rsidRDefault="00000000">
            <w:pPr>
              <w:jc w:val="center"/>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5F1E46E4" wp14:editId="279280D5">
                  <wp:extent cx="6866890" cy="4808855"/>
                  <wp:effectExtent l="0" t="0" r="635" b="1270"/>
                  <wp:docPr id="18" name="图片 18" descr="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ear"/>
                          <pic:cNvPicPr>
                            <a:picLocks noChangeAspect="1"/>
                          </pic:cNvPicPr>
                        </pic:nvPicPr>
                        <pic:blipFill>
                          <a:blip r:embed="rId17"/>
                          <a:stretch>
                            <a:fillRect/>
                          </a:stretch>
                        </pic:blipFill>
                        <pic:spPr>
                          <a:xfrm>
                            <a:off x="0" y="0"/>
                            <a:ext cx="6866890" cy="4808855"/>
                          </a:xfrm>
                          <a:prstGeom prst="rect">
                            <a:avLst/>
                          </a:prstGeom>
                        </pic:spPr>
                      </pic:pic>
                    </a:graphicData>
                  </a:graphic>
                </wp:inline>
              </w:drawing>
            </w:r>
          </w:p>
        </w:tc>
      </w:tr>
      <w:tr w:rsidR="00D1738A" w14:paraId="56440E56" w14:textId="77777777">
        <w:trPr>
          <w:trHeight w:val="461"/>
          <w:jc w:val="center"/>
        </w:trPr>
        <w:tc>
          <w:tcPr>
            <w:tcW w:w="9576" w:type="dxa"/>
            <w:tcBorders>
              <w:top w:val="nil"/>
              <w:left w:val="nil"/>
              <w:bottom w:val="nil"/>
              <w:right w:val="nil"/>
            </w:tcBorders>
          </w:tcPr>
          <w:p w14:paraId="2F86825E" w14:textId="77777777" w:rsidR="00D1738A" w:rsidRDefault="00000000">
            <w:pPr>
              <w:pStyle w:val="3"/>
              <w:rPr>
                <w:rFonts w:ascii="Arial" w:eastAsiaTheme="minorEastAsia" w:hAnsi="Arial" w:cs="Arial"/>
              </w:rPr>
            </w:pPr>
            <w:bookmarkStart w:id="29" w:name="Xad893266563d04e3b688c73f6fe2faf7dbc3a14"/>
            <w:r>
              <w:rPr>
                <w:rFonts w:ascii="Arial" w:eastAsiaTheme="minorEastAsia" w:hAnsi="Arial" w:cs="Arial" w:hint="eastAsia"/>
                <w:sz w:val="18"/>
                <w:szCs w:val="18"/>
              </w:rPr>
              <w:t xml:space="preserve">Supplementary Figure S7 | Tear identification: inter-reader agreement and benchmarking against the composite reference standard. </w:t>
            </w:r>
            <w:r>
              <w:rPr>
                <w:rFonts w:ascii="Arial" w:eastAsiaTheme="minorEastAsia" w:hAnsi="Arial" w:cs="Arial" w:hint="eastAsia"/>
                <w:b w:val="0"/>
                <w:bCs w:val="0"/>
                <w:sz w:val="18"/>
                <w:szCs w:val="18"/>
              </w:rPr>
              <w:t>Distribution plots illustrate consistent tear prevalence across Expert 1, Expert 2, and the composite reference standard. Performance metrics (accuracy, Cohen</w:t>
            </w:r>
            <w:r>
              <w:rPr>
                <w:rFonts w:ascii="Arial" w:eastAsiaTheme="minorEastAsia" w:hAnsi="Arial" w:cs="Arial" w:hint="eastAsia"/>
                <w:b w:val="0"/>
                <w:bCs w:val="0"/>
                <w:sz w:val="18"/>
                <w:szCs w:val="18"/>
              </w:rPr>
              <w:t>’</w:t>
            </w:r>
            <w:r>
              <w:rPr>
                <w:rFonts w:ascii="Arial" w:eastAsiaTheme="minorEastAsia" w:hAnsi="Arial" w:cs="Arial" w:hint="eastAsia"/>
                <w:b w:val="0"/>
                <w:bCs w:val="0"/>
                <w:sz w:val="18"/>
                <w:szCs w:val="18"/>
              </w:rPr>
              <w:t>s kappa, sensitivity, and specificity) quantify agreement between each expert and the reference standard. Bland-Altman analysis demonstrates minimal systematic bias between readers, with differences symmetrically distributed around zero. The confusion matrix highlights strong concordance, with misclassifications limited to a small number of binary disagreements.</w:t>
            </w:r>
            <w:bookmarkEnd w:id="29"/>
          </w:p>
        </w:tc>
      </w:tr>
    </w:tbl>
    <w:p w14:paraId="0BE6F04F" w14:textId="77777777" w:rsidR="00D1738A" w:rsidRDefault="00D1738A">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p>
    <w:tbl>
      <w:tblPr>
        <w:tblStyle w:val="af5"/>
        <w:tblW w:w="0" w:type="auto"/>
        <w:tblLook w:val="04A0" w:firstRow="1" w:lastRow="0" w:firstColumn="1" w:lastColumn="0" w:noHBand="0" w:noVBand="1"/>
      </w:tblPr>
      <w:tblGrid>
        <w:gridCol w:w="12960"/>
      </w:tblGrid>
      <w:tr w:rsidR="00D1738A" w14:paraId="7CD71AB8" w14:textId="77777777">
        <w:tc>
          <w:tcPr>
            <w:tcW w:w="13176" w:type="dxa"/>
            <w:tcBorders>
              <w:top w:val="nil"/>
              <w:left w:val="nil"/>
              <w:bottom w:val="nil"/>
              <w:right w:val="nil"/>
            </w:tcBorders>
          </w:tcPr>
          <w:p w14:paraId="359DABDD" w14:textId="77777777" w:rsidR="00D1738A" w:rsidRDefault="00000000">
            <w:pPr>
              <w:jc w:val="center"/>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3A65235A" wp14:editId="550A0178">
                  <wp:extent cx="6864985" cy="4883150"/>
                  <wp:effectExtent l="0" t="0" r="2540" b="3175"/>
                  <wp:docPr id="19" name="图片 19" descr="gouta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outallier"/>
                          <pic:cNvPicPr>
                            <a:picLocks noChangeAspect="1"/>
                          </pic:cNvPicPr>
                        </pic:nvPicPr>
                        <pic:blipFill>
                          <a:blip r:embed="rId18"/>
                          <a:stretch>
                            <a:fillRect/>
                          </a:stretch>
                        </pic:blipFill>
                        <pic:spPr>
                          <a:xfrm>
                            <a:off x="0" y="0"/>
                            <a:ext cx="6864985" cy="4883150"/>
                          </a:xfrm>
                          <a:prstGeom prst="rect">
                            <a:avLst/>
                          </a:prstGeom>
                        </pic:spPr>
                      </pic:pic>
                    </a:graphicData>
                  </a:graphic>
                </wp:inline>
              </w:drawing>
            </w:r>
          </w:p>
        </w:tc>
      </w:tr>
      <w:tr w:rsidR="00D1738A" w14:paraId="34DC2FE7" w14:textId="77777777">
        <w:tc>
          <w:tcPr>
            <w:tcW w:w="13176" w:type="dxa"/>
            <w:tcBorders>
              <w:top w:val="nil"/>
              <w:left w:val="nil"/>
              <w:bottom w:val="nil"/>
              <w:right w:val="nil"/>
            </w:tcBorders>
          </w:tcPr>
          <w:p w14:paraId="6328F216" w14:textId="77777777" w:rsidR="00D1738A" w:rsidRDefault="00000000">
            <w:pPr>
              <w:pStyle w:val="3"/>
              <w:spacing w:before="0" w:after="0"/>
              <w:rPr>
                <w:rFonts w:ascii="Arial" w:eastAsiaTheme="minorEastAsia" w:hAnsi="Arial" w:cs="Arial"/>
              </w:rPr>
            </w:pPr>
            <w:bookmarkStart w:id="30" w:name="X7e31019395f88ebbf591a9574633f1021a5370f"/>
            <w:r>
              <w:rPr>
                <w:rFonts w:ascii="Arial" w:eastAsiaTheme="minorEastAsia" w:hAnsi="Arial" w:cs="Arial" w:hint="eastAsia"/>
                <w:sz w:val="18"/>
                <w:szCs w:val="18"/>
              </w:rPr>
              <w:t xml:space="preserve">Supplementary Figure S8 | Goutallier grading: inter-reader agreement and grade-wise consistency analysis. </w:t>
            </w:r>
            <w:r>
              <w:rPr>
                <w:rFonts w:ascii="Arial" w:eastAsiaTheme="minorEastAsia" w:hAnsi="Arial" w:cs="Arial" w:hint="eastAsia"/>
                <w:b w:val="0"/>
                <w:bCs w:val="0"/>
                <w:sz w:val="18"/>
                <w:szCs w:val="18"/>
              </w:rPr>
              <w:t>Distribution comparisons show similar grading tendencies between Expert 1, Expert 2, and the composite reference standard. Performance metrics summarize agreement with the reference standard across accuracy, kappa, sensitivity, and specificity. Bland-Altman plots reveal a near-zero mean difference and narrow limits of agreement, indicating the absence of systematic bias. Confusion-matrix analysis demonstrates that most discrepancies occur between adjacent Goutallier grades, reflecting clinically plausible variation rather than severe misclassification.</w:t>
            </w:r>
            <w:bookmarkEnd w:id="30"/>
          </w:p>
        </w:tc>
      </w:tr>
    </w:tbl>
    <w:p w14:paraId="7E2678B2" w14:textId="77777777" w:rsidR="00D1738A" w:rsidRDefault="00D1738A">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p>
    <w:tbl>
      <w:tblPr>
        <w:tblStyle w:val="af5"/>
        <w:tblW w:w="0" w:type="auto"/>
        <w:tblLook w:val="04A0" w:firstRow="1" w:lastRow="0" w:firstColumn="1" w:lastColumn="0" w:noHBand="0" w:noVBand="1"/>
      </w:tblPr>
      <w:tblGrid>
        <w:gridCol w:w="6480"/>
        <w:gridCol w:w="6480"/>
      </w:tblGrid>
      <w:tr w:rsidR="00D1738A" w14:paraId="4466E065" w14:textId="77777777">
        <w:tc>
          <w:tcPr>
            <w:tcW w:w="6588" w:type="dxa"/>
            <w:tcBorders>
              <w:top w:val="nil"/>
              <w:left w:val="nil"/>
              <w:bottom w:val="nil"/>
              <w:right w:val="nil"/>
            </w:tcBorders>
          </w:tcPr>
          <w:p w14:paraId="24F14551" w14:textId="77777777" w:rsidR="00D1738A" w:rsidRDefault="00000000">
            <w:pPr>
              <w:spacing w:after="400" w:line="360" w:lineRule="auto"/>
              <w:rPr>
                <w:rFonts w:ascii="Arial" w:eastAsiaTheme="minorEastAsia" w:hAnsi="Arial" w:cs="Arial"/>
              </w:rPr>
            </w:pPr>
            <w:r>
              <w:rPr>
                <w:noProof/>
              </w:rPr>
              <w:lastRenderedPageBreak/>
              <mc:AlternateContent>
                <mc:Choice Requires="wps">
                  <w:drawing>
                    <wp:anchor distT="0" distB="0" distL="114300" distR="114300" simplePos="0" relativeHeight="251663360" behindDoc="0" locked="0" layoutInCell="1" allowOverlap="1" wp14:anchorId="7BE74742" wp14:editId="72A5BA0A">
                      <wp:simplePos x="0" y="0"/>
                      <wp:positionH relativeFrom="column">
                        <wp:posOffset>-53975</wp:posOffset>
                      </wp:positionH>
                      <wp:positionV relativeFrom="paragraph">
                        <wp:posOffset>6985</wp:posOffset>
                      </wp:positionV>
                      <wp:extent cx="367030" cy="314960"/>
                      <wp:effectExtent l="0" t="0" r="0" b="0"/>
                      <wp:wrapNone/>
                      <wp:docPr id="22" name="文本框 22"/>
                      <wp:cNvGraphicFramePr/>
                      <a:graphic xmlns:a="http://schemas.openxmlformats.org/drawingml/2006/main">
                        <a:graphicData uri="http://schemas.microsoft.com/office/word/2010/wordprocessingShape">
                          <wps:wsp>
                            <wps:cNvSpPr txBox="1"/>
                            <wps:spPr>
                              <a:xfrm>
                                <a:off x="3455670" y="464185"/>
                                <a:ext cx="367030"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8434A" w14:textId="77777777" w:rsidR="00D1738A" w:rsidRDefault="00000000">
                                  <w:pPr>
                                    <w:rPr>
                                      <w:rFonts w:eastAsia="宋体"/>
                                      <w:sz w:val="28"/>
                                      <w:szCs w:val="28"/>
                                      <w14:textOutline w14:w="9525" w14:cap="flat" w14:cmpd="sng" w14:algn="ctr">
                                        <w14:solidFill>
                                          <w14:srgbClr w14:val="000000"/>
                                        </w14:solidFill>
                                        <w14:prstDash w14:val="solid"/>
                                        <w14:round/>
                                      </w14:textOutline>
                                    </w:rPr>
                                  </w:pPr>
                                  <w:r>
                                    <w:rPr>
                                      <w:rFonts w:eastAsia="宋体" w:hint="eastAsia"/>
                                      <w:sz w:val="28"/>
                                      <w:szCs w:val="28"/>
                                      <w14:textOutline w14:w="9525" w14:cap="flat" w14:cmpd="sng" w14:algn="ctr">
                                        <w14:solidFill>
                                          <w14:srgbClr w14:val="000000"/>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BE74742" id="_x0000_t202" coordsize="21600,21600" o:spt="202" path="m,l,21600r21600,l21600,xe">
                      <v:stroke joinstyle="miter"/>
                      <v:path gradientshapeok="t" o:connecttype="rect"/>
                    </v:shapetype>
                    <v:shape id="文本框 22" o:spid="_x0000_s1026" type="#_x0000_t202" style="position:absolute;left:0;text-align:left;margin-left:-4.25pt;margin-top:.55pt;width:28.9pt;height:2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" filled="f" stroked="f" strokeweight=".5pt">
                      <v:textbox>
                        <w:txbxContent>
                          <w:p w14:paraId="1B58434A" w14:textId="77777777" w:rsidR="00D1738A" w:rsidRDefault="00000000">
                            <w:pPr>
                              <w:rPr>
                                <w:rFonts w:eastAsia="宋体"/>
                                <w:sz w:val="28"/>
                                <w:szCs w:val="28"/>
                                <w14:textOutline w14:w="9525" w14:cap="flat" w14:cmpd="sng" w14:algn="ctr">
                                  <w14:solidFill>
                                    <w14:srgbClr w14:val="000000"/>
                                  </w14:solidFill>
                                  <w14:prstDash w14:val="solid"/>
                                  <w14:round/>
                                </w14:textOutline>
                              </w:rPr>
                            </w:pPr>
                            <w:r>
                              <w:rPr>
                                <w:rFonts w:eastAsia="宋体" w:hint="eastAsia"/>
                                <w:sz w:val="28"/>
                                <w:szCs w:val="28"/>
                                <w14:textOutline w14:w="9525" w14:cap="flat" w14:cmpd="sng" w14:algn="ctr">
                                  <w14:solidFill>
                                    <w14:srgbClr w14:val="000000"/>
                                  </w14:solidFill>
                                  <w14:prstDash w14:val="solid"/>
                                  <w14:round/>
                                </w14:textOutline>
                              </w:rPr>
                              <w:t>A</w:t>
                            </w:r>
                          </w:p>
                        </w:txbxContent>
                      </v:textbox>
                    </v:shape>
                  </w:pict>
                </mc:Fallback>
              </mc:AlternateContent>
            </w:r>
            <w:r>
              <w:rPr>
                <w:rFonts w:ascii="Arial" w:eastAsiaTheme="minorEastAsia" w:hAnsi="Arial" w:cs="Arial" w:hint="eastAsia"/>
                <w:noProof/>
              </w:rPr>
              <w:drawing>
                <wp:inline distT="0" distB="0" distL="114300" distR="114300" wp14:anchorId="5ADF16A1" wp14:editId="3B740836">
                  <wp:extent cx="4045585" cy="3034030"/>
                  <wp:effectExtent l="0" t="0" r="2540" b="4445"/>
                  <wp:docPr id="20" name="图片 20" descr="2_Bland_Altman_95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_Bland_Altman_95CI"/>
                          <pic:cNvPicPr>
                            <a:picLocks noChangeAspect="1"/>
                          </pic:cNvPicPr>
                        </pic:nvPicPr>
                        <pic:blipFill>
                          <a:blip r:embed="rId19"/>
                          <a:stretch>
                            <a:fillRect/>
                          </a:stretch>
                        </pic:blipFill>
                        <pic:spPr>
                          <a:xfrm>
                            <a:off x="0" y="0"/>
                            <a:ext cx="4045585" cy="3034030"/>
                          </a:xfrm>
                          <a:prstGeom prst="rect">
                            <a:avLst/>
                          </a:prstGeom>
                        </pic:spPr>
                      </pic:pic>
                    </a:graphicData>
                  </a:graphic>
                </wp:inline>
              </w:drawing>
            </w:r>
          </w:p>
        </w:tc>
        <w:tc>
          <w:tcPr>
            <w:tcW w:w="6588" w:type="dxa"/>
            <w:tcBorders>
              <w:top w:val="nil"/>
              <w:left w:val="nil"/>
              <w:bottom w:val="nil"/>
              <w:right w:val="nil"/>
            </w:tcBorders>
          </w:tcPr>
          <w:p w14:paraId="56FD099E" w14:textId="77777777" w:rsidR="00D1738A" w:rsidRDefault="00000000">
            <w:pPr>
              <w:spacing w:after="400" w:line="360" w:lineRule="auto"/>
              <w:rPr>
                <w:rFonts w:ascii="Arial" w:eastAsiaTheme="minorEastAsia" w:hAnsi="Arial" w:cs="Arial"/>
              </w:rPr>
            </w:pPr>
            <w:r>
              <w:rPr>
                <w:noProof/>
              </w:rPr>
              <mc:AlternateContent>
                <mc:Choice Requires="wps">
                  <w:drawing>
                    <wp:anchor distT="0" distB="0" distL="114300" distR="114300" simplePos="0" relativeHeight="251664384" behindDoc="0" locked="0" layoutInCell="1" allowOverlap="1" wp14:anchorId="6D6BE4C5" wp14:editId="5F343BA5">
                      <wp:simplePos x="0" y="0"/>
                      <wp:positionH relativeFrom="column">
                        <wp:posOffset>-56515</wp:posOffset>
                      </wp:positionH>
                      <wp:positionV relativeFrom="paragraph">
                        <wp:posOffset>12065</wp:posOffset>
                      </wp:positionV>
                      <wp:extent cx="367030" cy="3149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67030"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38ED7" w14:textId="77777777" w:rsidR="00D1738A" w:rsidRDefault="00000000">
                                  <w:pPr>
                                    <w:rPr>
                                      <w:rFonts w:eastAsia="宋体"/>
                                      <w:b/>
                                      <w:bCs/>
                                      <w:sz w:val="28"/>
                                      <w:szCs w:val="28"/>
                                    </w:rPr>
                                  </w:pPr>
                                  <w:r>
                                    <w:rPr>
                                      <w:rFonts w:eastAsia="宋体" w:hint="eastAsia"/>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6BE4C5" id="文本框 23" o:spid="_x0000_s1027" type="#_x0000_t202" style="position:absolute;left:0;text-align:left;margin-left:-4.45pt;margin-top:.95pt;width:28.9pt;height:2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" filled="f" stroked="f" strokeweight=".5pt">
                      <v:textbox>
                        <w:txbxContent>
                          <w:p w14:paraId="1D138ED7" w14:textId="77777777" w:rsidR="00D1738A" w:rsidRDefault="00000000">
                            <w:pPr>
                              <w:rPr>
                                <w:rFonts w:eastAsia="宋体"/>
                                <w:b/>
                                <w:bCs/>
                                <w:sz w:val="28"/>
                                <w:szCs w:val="28"/>
                              </w:rPr>
                            </w:pPr>
                            <w:r>
                              <w:rPr>
                                <w:rFonts w:eastAsia="宋体" w:hint="eastAsia"/>
                                <w:b/>
                                <w:bCs/>
                                <w:sz w:val="28"/>
                                <w:szCs w:val="28"/>
                              </w:rPr>
                              <w:t>B</w:t>
                            </w:r>
                          </w:p>
                        </w:txbxContent>
                      </v:textbox>
                    </v:shape>
                  </w:pict>
                </mc:Fallback>
              </mc:AlternateContent>
            </w:r>
            <w:r>
              <w:rPr>
                <w:rFonts w:ascii="Arial" w:eastAsiaTheme="minorEastAsia" w:hAnsi="Arial" w:cs="Arial" w:hint="eastAsia"/>
                <w:noProof/>
              </w:rPr>
              <w:drawing>
                <wp:inline distT="0" distB="0" distL="114300" distR="114300" wp14:anchorId="71E1204D" wp14:editId="64A1115F">
                  <wp:extent cx="4045585" cy="3034030"/>
                  <wp:effectExtent l="0" t="0" r="2540" b="4445"/>
                  <wp:docPr id="21" name="图片 21" descr="3_Robustness_Analysis_95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_Robustness_Analysis_95CI"/>
                          <pic:cNvPicPr>
                            <a:picLocks noChangeAspect="1"/>
                          </pic:cNvPicPr>
                        </pic:nvPicPr>
                        <pic:blipFill>
                          <a:blip r:embed="rId20"/>
                          <a:stretch>
                            <a:fillRect/>
                          </a:stretch>
                        </pic:blipFill>
                        <pic:spPr>
                          <a:xfrm>
                            <a:off x="0" y="0"/>
                            <a:ext cx="4045585" cy="3034030"/>
                          </a:xfrm>
                          <a:prstGeom prst="rect">
                            <a:avLst/>
                          </a:prstGeom>
                        </pic:spPr>
                      </pic:pic>
                    </a:graphicData>
                  </a:graphic>
                </wp:inline>
              </w:drawing>
            </w:r>
          </w:p>
        </w:tc>
      </w:tr>
      <w:tr w:rsidR="00D1738A" w14:paraId="298FE5C3" w14:textId="77777777">
        <w:tc>
          <w:tcPr>
            <w:tcW w:w="13176" w:type="dxa"/>
            <w:gridSpan w:val="2"/>
            <w:tcBorders>
              <w:top w:val="nil"/>
              <w:left w:val="nil"/>
              <w:bottom w:val="nil"/>
              <w:right w:val="nil"/>
            </w:tcBorders>
          </w:tcPr>
          <w:p w14:paraId="39BB4F0B" w14:textId="77777777" w:rsidR="00D1738A" w:rsidRDefault="00000000">
            <w:pPr>
              <w:rPr>
                <w:rFonts w:ascii="Arial" w:eastAsiaTheme="minorEastAsia" w:hAnsi="Arial" w:cs="Arial"/>
                <w:b/>
                <w:bCs/>
              </w:rPr>
            </w:pPr>
            <w:r>
              <w:rPr>
                <w:rFonts w:ascii="Arial" w:eastAsiaTheme="minorEastAsia" w:hAnsi="Arial" w:cs="Arial" w:hint="eastAsia"/>
                <w:b/>
                <w:bCs/>
              </w:rPr>
              <w:t xml:space="preserve">Supplementary Figure S9 | </w:t>
            </w:r>
            <w:r>
              <w:rPr>
                <w:rFonts w:ascii="Arial" w:eastAsiaTheme="minorEastAsia" w:hAnsi="Arial" w:cs="Arial" w:hint="eastAsia"/>
                <w:b/>
                <w:bCs/>
                <w:sz w:val="18"/>
                <w:szCs w:val="18"/>
              </w:rPr>
              <w:t xml:space="preserve"> </w:t>
            </w:r>
            <w:r>
              <w:rPr>
                <w:rFonts w:ascii="Arial" w:eastAsiaTheme="minorEastAsia" w:hAnsi="Arial" w:cs="Arial" w:hint="eastAsia"/>
                <w:b/>
                <w:bCs/>
              </w:rPr>
              <w:t>Clinical validation and robustness analysis of the Functional Soft Tissue Belt.</w:t>
            </w:r>
          </w:p>
          <w:p w14:paraId="61D4365B" w14:textId="77777777" w:rsidR="00D1738A" w:rsidRDefault="00000000">
            <w:pPr>
              <w:rPr>
                <w:rFonts w:ascii="Arial" w:eastAsiaTheme="minorEastAsia" w:hAnsi="Arial" w:cs="Arial"/>
              </w:rPr>
            </w:pPr>
            <w:r>
              <w:rPr>
                <w:rFonts w:ascii="Arial" w:eastAsiaTheme="minorEastAsia" w:hAnsi="Arial" w:cs="Arial" w:hint="eastAsia"/>
              </w:rPr>
              <w:t>(A) Bland-Altman analysis evaluating systematic bias between expert ratings of clinical acceptability for the Functional Soft Tissue Belt. The near-zero mean difference and narrow 95% limits of agreement indicate the absence of directional bias.</w:t>
            </w:r>
          </w:p>
          <w:p w14:paraId="25362756" w14:textId="77777777" w:rsidR="00D1738A" w:rsidRDefault="00000000">
            <w:pPr>
              <w:rPr>
                <w:rFonts w:ascii="Arial" w:eastAsiaTheme="minorEastAsia" w:hAnsi="Arial" w:cs="Arial"/>
              </w:rPr>
            </w:pPr>
            <w:r>
              <w:rPr>
                <w:rFonts w:ascii="Arial" w:eastAsiaTheme="minorEastAsia" w:hAnsi="Arial" w:cs="Arial" w:hint="eastAsia"/>
              </w:rPr>
              <w:t>(B) Robustness analysis illustrating the relationship between geometric segmentation fidelity (average Dice score) and clinical acceptability. Higher Dice scores were associated with higher Likert ratings and reduced variability, supporting that geometric accuracy translates into stable and clinically meaningful ROI localization.</w:t>
            </w:r>
          </w:p>
        </w:tc>
      </w:tr>
    </w:tbl>
    <w:p w14:paraId="106E2350" w14:textId="77777777" w:rsidR="00D1738A" w:rsidRDefault="00D1738A">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p>
    <w:p w14:paraId="6C4D73C0" w14:textId="77777777" w:rsidR="00D1738A" w:rsidRDefault="00000000">
      <w:pPr>
        <w:pStyle w:val="2"/>
        <w:numPr>
          <w:ilvl w:val="0"/>
          <w:numId w:val="1"/>
        </w:numPr>
        <w:rPr>
          <w:rFonts w:ascii="Arial" w:hAnsi="Arial" w:cs="Arial"/>
        </w:rPr>
      </w:pPr>
      <w:r>
        <w:rPr>
          <w:rFonts w:ascii="Arial" w:hAnsi="Arial" w:cs="Arial"/>
        </w:rPr>
        <w:lastRenderedPageBreak/>
        <w:t xml:space="preserve">Supplementary </w:t>
      </w:r>
      <w:r>
        <w:rPr>
          <w:rFonts w:ascii="Arial" w:eastAsia="宋体" w:hAnsi="Arial" w:cs="Arial" w:hint="eastAsia"/>
        </w:rPr>
        <w:t>Table</w:t>
      </w:r>
      <w:r>
        <w:rPr>
          <w:rFonts w:ascii="Arial" w:hAnsi="Arial" w:cs="Arial"/>
        </w:rPr>
        <w:t>s</w:t>
      </w:r>
    </w:p>
    <w:tbl>
      <w:tblPr>
        <w:tblpPr w:leftFromText="180" w:rightFromText="180" w:vertAnchor="text" w:horzAnchor="page" w:tblpX="1570" w:tblpY="188"/>
        <w:tblOverlap w:val="never"/>
        <w:tblW w:w="12818" w:type="dxa"/>
        <w:tblLook w:val="04A0" w:firstRow="1" w:lastRow="0" w:firstColumn="1" w:lastColumn="0" w:noHBand="0" w:noVBand="1"/>
      </w:tblPr>
      <w:tblGrid>
        <w:gridCol w:w="921"/>
        <w:gridCol w:w="2051"/>
        <w:gridCol w:w="2051"/>
        <w:gridCol w:w="949"/>
        <w:gridCol w:w="896"/>
        <w:gridCol w:w="2051"/>
        <w:gridCol w:w="2051"/>
        <w:gridCol w:w="922"/>
        <w:gridCol w:w="926"/>
      </w:tblGrid>
      <w:tr w:rsidR="00D1738A" w14:paraId="7D20C744" w14:textId="77777777">
        <w:trPr>
          <w:trHeight w:val="618"/>
        </w:trPr>
        <w:tc>
          <w:tcPr>
            <w:tcW w:w="921" w:type="dxa"/>
            <w:vMerge w:val="restart"/>
            <w:tcBorders>
              <w:top w:val="single" w:sz="4" w:space="0" w:color="000000"/>
              <w:left w:val="single" w:sz="4" w:space="0" w:color="000000"/>
              <w:bottom w:val="single" w:sz="4" w:space="0" w:color="000000"/>
              <w:right w:val="single" w:sz="4" w:space="0" w:color="000000"/>
            </w:tcBorders>
            <w:noWrap/>
            <w:vAlign w:val="center"/>
          </w:tcPr>
          <w:p w14:paraId="725E75B9" w14:textId="77777777" w:rsidR="00D1738A" w:rsidRDefault="00D1738A">
            <w:pPr>
              <w:jc w:val="center"/>
              <w:rPr>
                <w:rFonts w:ascii="Arial" w:eastAsia="宋体" w:hAnsi="Arial" w:cs="Arial"/>
                <w:color w:val="000000"/>
                <w:sz w:val="22"/>
                <w:szCs w:val="22"/>
              </w:rPr>
            </w:pPr>
          </w:p>
        </w:tc>
        <w:tc>
          <w:tcPr>
            <w:tcW w:w="5947" w:type="dxa"/>
            <w:gridSpan w:val="4"/>
            <w:tcBorders>
              <w:top w:val="single" w:sz="4" w:space="0" w:color="000000"/>
              <w:left w:val="single" w:sz="4" w:space="0" w:color="000000"/>
              <w:bottom w:val="single" w:sz="4" w:space="0" w:color="000000"/>
              <w:right w:val="single" w:sz="4" w:space="0" w:color="000000"/>
            </w:tcBorders>
            <w:noWrap/>
            <w:vAlign w:val="center"/>
          </w:tcPr>
          <w:p w14:paraId="2CD7267B"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Before Matching (N=1261)</w:t>
            </w:r>
          </w:p>
        </w:tc>
        <w:tc>
          <w:tcPr>
            <w:tcW w:w="5950" w:type="dxa"/>
            <w:gridSpan w:val="4"/>
            <w:tcBorders>
              <w:top w:val="single" w:sz="4" w:space="0" w:color="000000"/>
              <w:left w:val="single" w:sz="4" w:space="0" w:color="000000"/>
              <w:bottom w:val="single" w:sz="4" w:space="0" w:color="000000"/>
              <w:right w:val="single" w:sz="4" w:space="0" w:color="000000"/>
            </w:tcBorders>
            <w:noWrap/>
            <w:vAlign w:val="center"/>
          </w:tcPr>
          <w:p w14:paraId="54EC024B"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After Matching(N=947)</w:t>
            </w:r>
          </w:p>
        </w:tc>
      </w:tr>
      <w:tr w:rsidR="00D1738A" w14:paraId="08C6F5DB" w14:textId="77777777">
        <w:trPr>
          <w:trHeight w:val="615"/>
        </w:trPr>
        <w:tc>
          <w:tcPr>
            <w:tcW w:w="921" w:type="dxa"/>
            <w:vMerge/>
            <w:tcBorders>
              <w:top w:val="single" w:sz="4" w:space="0" w:color="000000"/>
              <w:left w:val="single" w:sz="4" w:space="0" w:color="000000"/>
              <w:bottom w:val="single" w:sz="4" w:space="0" w:color="000000"/>
              <w:right w:val="single" w:sz="4" w:space="0" w:color="000000"/>
            </w:tcBorders>
            <w:noWrap/>
            <w:vAlign w:val="center"/>
          </w:tcPr>
          <w:p w14:paraId="6D897B9A" w14:textId="77777777" w:rsidR="00D1738A" w:rsidRDefault="00D1738A">
            <w:pPr>
              <w:jc w:val="center"/>
              <w:rPr>
                <w:rFonts w:ascii="Arial" w:eastAsia="宋体" w:hAnsi="Arial" w:cs="Arial"/>
                <w:color w:val="000000"/>
                <w:sz w:val="22"/>
                <w:szCs w:val="22"/>
              </w:rPr>
            </w:pPr>
          </w:p>
        </w:tc>
        <w:tc>
          <w:tcPr>
            <w:tcW w:w="2051" w:type="dxa"/>
            <w:tcBorders>
              <w:top w:val="single" w:sz="4" w:space="0" w:color="000000"/>
              <w:left w:val="single" w:sz="4" w:space="0" w:color="000000"/>
              <w:bottom w:val="single" w:sz="4" w:space="0" w:color="000000"/>
              <w:right w:val="single" w:sz="4" w:space="0" w:color="000000"/>
            </w:tcBorders>
            <w:vAlign w:val="center"/>
          </w:tcPr>
          <w:p w14:paraId="4E57C58B"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Control(N=796)</w:t>
            </w:r>
          </w:p>
        </w:tc>
        <w:tc>
          <w:tcPr>
            <w:tcW w:w="2051" w:type="dxa"/>
            <w:tcBorders>
              <w:top w:val="single" w:sz="4" w:space="0" w:color="000000"/>
              <w:left w:val="single" w:sz="4" w:space="0" w:color="000000"/>
              <w:bottom w:val="single" w:sz="4" w:space="0" w:color="000000"/>
              <w:right w:val="single" w:sz="4" w:space="0" w:color="000000"/>
            </w:tcBorders>
            <w:vAlign w:val="center"/>
          </w:tcPr>
          <w:p w14:paraId="1842566A"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Rotator Cuff Injury(N=485)</w:t>
            </w:r>
          </w:p>
        </w:tc>
        <w:tc>
          <w:tcPr>
            <w:tcW w:w="949" w:type="dxa"/>
            <w:tcBorders>
              <w:top w:val="single" w:sz="4" w:space="0" w:color="000000"/>
              <w:left w:val="single" w:sz="4" w:space="0" w:color="000000"/>
              <w:bottom w:val="single" w:sz="4" w:space="0" w:color="000000"/>
              <w:right w:val="single" w:sz="4" w:space="0" w:color="000000"/>
            </w:tcBorders>
            <w:vAlign w:val="center"/>
          </w:tcPr>
          <w:p w14:paraId="43F9F015"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P-value</w:t>
            </w:r>
          </w:p>
        </w:tc>
        <w:tc>
          <w:tcPr>
            <w:tcW w:w="896" w:type="dxa"/>
            <w:tcBorders>
              <w:top w:val="single" w:sz="4" w:space="0" w:color="000000"/>
              <w:left w:val="single" w:sz="4" w:space="0" w:color="000000"/>
              <w:bottom w:val="single" w:sz="4" w:space="0" w:color="000000"/>
              <w:right w:val="single" w:sz="4" w:space="0" w:color="000000"/>
            </w:tcBorders>
            <w:vAlign w:val="center"/>
          </w:tcPr>
          <w:p w14:paraId="667C2BB8"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SMD</w:t>
            </w:r>
          </w:p>
        </w:tc>
        <w:tc>
          <w:tcPr>
            <w:tcW w:w="2051" w:type="dxa"/>
            <w:tcBorders>
              <w:top w:val="single" w:sz="4" w:space="0" w:color="000000"/>
              <w:left w:val="single" w:sz="4" w:space="0" w:color="000000"/>
              <w:bottom w:val="single" w:sz="4" w:space="0" w:color="000000"/>
              <w:right w:val="single" w:sz="4" w:space="0" w:color="000000"/>
            </w:tcBorders>
            <w:vAlign w:val="center"/>
          </w:tcPr>
          <w:p w14:paraId="44A626BB"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Control(N=462)</w:t>
            </w:r>
          </w:p>
        </w:tc>
        <w:tc>
          <w:tcPr>
            <w:tcW w:w="2051" w:type="dxa"/>
            <w:tcBorders>
              <w:top w:val="single" w:sz="4" w:space="0" w:color="000000"/>
              <w:left w:val="single" w:sz="4" w:space="0" w:color="000000"/>
              <w:bottom w:val="single" w:sz="4" w:space="0" w:color="000000"/>
              <w:right w:val="single" w:sz="4" w:space="0" w:color="000000"/>
            </w:tcBorders>
            <w:vAlign w:val="center"/>
          </w:tcPr>
          <w:p w14:paraId="3528BB8F"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Rotator Cuff Injury(N=485)</w:t>
            </w:r>
          </w:p>
        </w:tc>
        <w:tc>
          <w:tcPr>
            <w:tcW w:w="922" w:type="dxa"/>
            <w:tcBorders>
              <w:top w:val="single" w:sz="4" w:space="0" w:color="000000"/>
              <w:left w:val="single" w:sz="4" w:space="0" w:color="000000"/>
              <w:bottom w:val="single" w:sz="4" w:space="0" w:color="000000"/>
              <w:right w:val="single" w:sz="4" w:space="0" w:color="000000"/>
            </w:tcBorders>
            <w:vAlign w:val="center"/>
          </w:tcPr>
          <w:p w14:paraId="76B03ECD"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P-value</w:t>
            </w:r>
          </w:p>
        </w:tc>
        <w:tc>
          <w:tcPr>
            <w:tcW w:w="926" w:type="dxa"/>
            <w:tcBorders>
              <w:top w:val="single" w:sz="4" w:space="0" w:color="000000"/>
              <w:left w:val="single" w:sz="4" w:space="0" w:color="000000"/>
              <w:bottom w:val="single" w:sz="4" w:space="0" w:color="000000"/>
              <w:right w:val="single" w:sz="4" w:space="0" w:color="000000"/>
            </w:tcBorders>
            <w:vAlign w:val="center"/>
          </w:tcPr>
          <w:p w14:paraId="62664737" w14:textId="77777777" w:rsidR="00D1738A" w:rsidRDefault="00000000">
            <w:pPr>
              <w:widowControl/>
              <w:jc w:val="center"/>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SMD</w:t>
            </w:r>
          </w:p>
        </w:tc>
      </w:tr>
      <w:tr w:rsidR="00D1738A" w14:paraId="7E565D28" w14:textId="77777777">
        <w:trPr>
          <w:trHeight w:val="562"/>
        </w:trPr>
        <w:tc>
          <w:tcPr>
            <w:tcW w:w="921" w:type="dxa"/>
            <w:tcBorders>
              <w:top w:val="single" w:sz="4" w:space="0" w:color="000000"/>
              <w:left w:val="single" w:sz="4" w:space="0" w:color="000000"/>
              <w:bottom w:val="single" w:sz="4" w:space="0" w:color="000000"/>
              <w:right w:val="single" w:sz="4" w:space="0" w:color="000000"/>
            </w:tcBorders>
            <w:noWrap/>
            <w:vAlign w:val="center"/>
          </w:tcPr>
          <w:p w14:paraId="53D2831C"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age</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4DFCBDFC"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60.00</w:t>
            </w:r>
          </w:p>
          <w:p w14:paraId="74114D34"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[55.00, 67.00]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56CBA9DE"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 xml:space="preserve">62.00 </w:t>
            </w:r>
          </w:p>
          <w:p w14:paraId="5E408BBA"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[56.00, 67.00]</w:t>
            </w:r>
          </w:p>
        </w:tc>
        <w:tc>
          <w:tcPr>
            <w:tcW w:w="949" w:type="dxa"/>
            <w:tcBorders>
              <w:top w:val="single" w:sz="4" w:space="0" w:color="000000"/>
              <w:left w:val="single" w:sz="4" w:space="0" w:color="000000"/>
              <w:bottom w:val="single" w:sz="4" w:space="0" w:color="000000"/>
              <w:right w:val="single" w:sz="4" w:space="0" w:color="000000"/>
            </w:tcBorders>
            <w:noWrap/>
            <w:vAlign w:val="center"/>
          </w:tcPr>
          <w:p w14:paraId="6D3D55DB"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0.06 </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651392FD"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0.09 </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3AFAEB6C"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60.00</w:t>
            </w:r>
          </w:p>
          <w:p w14:paraId="47265D35"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[55.00, 68.00]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25D2A554"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61.00</w:t>
            </w:r>
          </w:p>
          <w:p w14:paraId="1D1D50A6"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[56.00, 67.00]</w:t>
            </w:r>
          </w:p>
        </w:tc>
        <w:tc>
          <w:tcPr>
            <w:tcW w:w="922" w:type="dxa"/>
            <w:tcBorders>
              <w:top w:val="single" w:sz="4" w:space="0" w:color="000000"/>
              <w:left w:val="single" w:sz="4" w:space="0" w:color="000000"/>
              <w:bottom w:val="single" w:sz="4" w:space="0" w:color="000000"/>
              <w:right w:val="single" w:sz="4" w:space="0" w:color="000000"/>
            </w:tcBorders>
            <w:noWrap/>
            <w:vAlign w:val="center"/>
          </w:tcPr>
          <w:p w14:paraId="08ABAE93"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0.92 </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3D54EEB5"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-0.03 </w:t>
            </w:r>
          </w:p>
        </w:tc>
      </w:tr>
      <w:tr w:rsidR="00D1738A" w14:paraId="4E7A47EA" w14:textId="77777777">
        <w:trPr>
          <w:trHeight w:val="562"/>
        </w:trPr>
        <w:tc>
          <w:tcPr>
            <w:tcW w:w="921" w:type="dxa"/>
            <w:tcBorders>
              <w:top w:val="single" w:sz="4" w:space="0" w:color="000000"/>
              <w:left w:val="single" w:sz="4" w:space="0" w:color="000000"/>
              <w:bottom w:val="single" w:sz="4" w:space="0" w:color="000000"/>
              <w:right w:val="single" w:sz="4" w:space="0" w:color="000000"/>
            </w:tcBorders>
            <w:noWrap/>
            <w:vAlign w:val="center"/>
          </w:tcPr>
          <w:p w14:paraId="5240CBB4"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height</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1AD3A21E"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165.00</w:t>
            </w:r>
          </w:p>
          <w:p w14:paraId="43FF17B0"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[159.00, 170.00]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2C3C9D05"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162.00</w:t>
            </w:r>
          </w:p>
          <w:p w14:paraId="2C6099BE"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[157.00, 168.00]</w:t>
            </w:r>
          </w:p>
        </w:tc>
        <w:tc>
          <w:tcPr>
            <w:tcW w:w="949" w:type="dxa"/>
            <w:tcBorders>
              <w:top w:val="single" w:sz="4" w:space="0" w:color="000000"/>
              <w:left w:val="single" w:sz="4" w:space="0" w:color="000000"/>
              <w:bottom w:val="single" w:sz="4" w:space="0" w:color="000000"/>
              <w:right w:val="single" w:sz="4" w:space="0" w:color="000000"/>
            </w:tcBorders>
            <w:noWrap/>
            <w:vAlign w:val="center"/>
          </w:tcPr>
          <w:p w14:paraId="10F6C819"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&lt;0.001</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666711CA"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-0.31 </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1B2260C1"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 xml:space="preserve">162.00 </w:t>
            </w:r>
          </w:p>
          <w:p w14:paraId="10E694F2"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[157.00, 169.00]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78ECD0AB"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 xml:space="preserve">162.00 </w:t>
            </w:r>
          </w:p>
          <w:p w14:paraId="300E1846"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[157.00, 168.00]</w:t>
            </w:r>
          </w:p>
        </w:tc>
        <w:tc>
          <w:tcPr>
            <w:tcW w:w="922" w:type="dxa"/>
            <w:tcBorders>
              <w:top w:val="single" w:sz="4" w:space="0" w:color="000000"/>
              <w:left w:val="single" w:sz="4" w:space="0" w:color="000000"/>
              <w:bottom w:val="single" w:sz="4" w:space="0" w:color="000000"/>
              <w:right w:val="single" w:sz="4" w:space="0" w:color="000000"/>
            </w:tcBorders>
            <w:noWrap/>
            <w:vAlign w:val="center"/>
          </w:tcPr>
          <w:p w14:paraId="27C5FB7D"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0.68 </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714DBDE1"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-0.03 </w:t>
            </w:r>
          </w:p>
        </w:tc>
      </w:tr>
      <w:tr w:rsidR="00D1738A" w14:paraId="760DE40F" w14:textId="77777777">
        <w:trPr>
          <w:trHeight w:val="562"/>
        </w:trPr>
        <w:tc>
          <w:tcPr>
            <w:tcW w:w="921" w:type="dxa"/>
            <w:tcBorders>
              <w:top w:val="single" w:sz="4" w:space="0" w:color="000000"/>
              <w:left w:val="single" w:sz="4" w:space="0" w:color="000000"/>
              <w:bottom w:val="single" w:sz="4" w:space="0" w:color="000000"/>
              <w:right w:val="single" w:sz="4" w:space="0" w:color="000000"/>
            </w:tcBorders>
            <w:noWrap/>
            <w:vAlign w:val="center"/>
          </w:tcPr>
          <w:p w14:paraId="4425BA7E"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weight</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76704F7C"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65.00</w:t>
            </w:r>
          </w:p>
          <w:p w14:paraId="4DA62E79"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[56.50, 74.00]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7B51BD7B"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65.00</w:t>
            </w:r>
          </w:p>
          <w:p w14:paraId="09DF1C9C"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[57.00, 72.00]</w:t>
            </w:r>
          </w:p>
        </w:tc>
        <w:tc>
          <w:tcPr>
            <w:tcW w:w="949" w:type="dxa"/>
            <w:tcBorders>
              <w:top w:val="single" w:sz="4" w:space="0" w:color="000000"/>
              <w:left w:val="single" w:sz="4" w:space="0" w:color="000000"/>
              <w:bottom w:val="single" w:sz="4" w:space="0" w:color="000000"/>
              <w:right w:val="single" w:sz="4" w:space="0" w:color="000000"/>
            </w:tcBorders>
            <w:noWrap/>
            <w:vAlign w:val="center"/>
          </w:tcPr>
          <w:p w14:paraId="4F594923"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0.78 </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2F57B3F5"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-0.02 </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529F9B97"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65.00</w:t>
            </w:r>
          </w:p>
          <w:p w14:paraId="5020C4AC"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[56.00, 73.00]</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1425EC01"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65.00</w:t>
            </w:r>
          </w:p>
          <w:p w14:paraId="0DDB9CF6"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[57.50, 72.00]</w:t>
            </w:r>
          </w:p>
        </w:tc>
        <w:tc>
          <w:tcPr>
            <w:tcW w:w="922" w:type="dxa"/>
            <w:tcBorders>
              <w:top w:val="single" w:sz="4" w:space="0" w:color="000000"/>
              <w:left w:val="single" w:sz="4" w:space="0" w:color="000000"/>
              <w:bottom w:val="single" w:sz="4" w:space="0" w:color="000000"/>
              <w:right w:val="single" w:sz="4" w:space="0" w:color="000000"/>
            </w:tcBorders>
            <w:noWrap/>
            <w:vAlign w:val="center"/>
          </w:tcPr>
          <w:p w14:paraId="3D213E7E"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0.59 </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3F67394C"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0.01 </w:t>
            </w:r>
          </w:p>
        </w:tc>
      </w:tr>
      <w:tr w:rsidR="00D1738A" w14:paraId="0B724B39" w14:textId="77777777">
        <w:trPr>
          <w:trHeight w:val="583"/>
        </w:trPr>
        <w:tc>
          <w:tcPr>
            <w:tcW w:w="921" w:type="dxa"/>
            <w:tcBorders>
              <w:top w:val="single" w:sz="4" w:space="0" w:color="000000"/>
              <w:left w:val="single" w:sz="4" w:space="0" w:color="000000"/>
              <w:bottom w:val="single" w:sz="4" w:space="0" w:color="000000"/>
              <w:right w:val="single" w:sz="4" w:space="0" w:color="000000"/>
            </w:tcBorders>
            <w:noWrap/>
            <w:vAlign w:val="center"/>
          </w:tcPr>
          <w:p w14:paraId="0DF31048"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bmi</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40C4654F"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23.88</w:t>
            </w:r>
          </w:p>
          <w:p w14:paraId="496F68A8"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[22.03, 26.05]</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520ED085"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 xml:space="preserve">24.65 </w:t>
            </w:r>
          </w:p>
          <w:p w14:paraId="1D624FD7"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[22.64, 26.57]</w:t>
            </w:r>
          </w:p>
        </w:tc>
        <w:tc>
          <w:tcPr>
            <w:tcW w:w="949" w:type="dxa"/>
            <w:tcBorders>
              <w:top w:val="single" w:sz="4" w:space="0" w:color="000000"/>
              <w:left w:val="single" w:sz="4" w:space="0" w:color="000000"/>
              <w:bottom w:val="single" w:sz="4" w:space="0" w:color="000000"/>
              <w:right w:val="single" w:sz="4" w:space="0" w:color="000000"/>
            </w:tcBorders>
            <w:noWrap/>
            <w:vAlign w:val="center"/>
          </w:tcPr>
          <w:p w14:paraId="5F9DB68F"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&lt;0.001</w:t>
            </w:r>
          </w:p>
        </w:tc>
        <w:tc>
          <w:tcPr>
            <w:tcW w:w="896" w:type="dxa"/>
            <w:tcBorders>
              <w:top w:val="single" w:sz="4" w:space="0" w:color="000000"/>
              <w:left w:val="single" w:sz="4" w:space="0" w:color="000000"/>
              <w:bottom w:val="single" w:sz="4" w:space="0" w:color="000000"/>
              <w:right w:val="single" w:sz="4" w:space="0" w:color="000000"/>
            </w:tcBorders>
            <w:noWrap/>
            <w:vAlign w:val="center"/>
          </w:tcPr>
          <w:p w14:paraId="4071626B"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0.21 </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58D96DE0"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24.24</w:t>
            </w:r>
          </w:p>
          <w:p w14:paraId="2858FD66"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 [22.22, 26.43]</w:t>
            </w:r>
          </w:p>
        </w:tc>
        <w:tc>
          <w:tcPr>
            <w:tcW w:w="2051" w:type="dxa"/>
            <w:tcBorders>
              <w:top w:val="single" w:sz="4" w:space="0" w:color="000000"/>
              <w:left w:val="single" w:sz="4" w:space="0" w:color="000000"/>
              <w:bottom w:val="single" w:sz="4" w:space="0" w:color="000000"/>
              <w:right w:val="single" w:sz="4" w:space="0" w:color="000000"/>
            </w:tcBorders>
            <w:noWrap/>
            <w:vAlign w:val="center"/>
          </w:tcPr>
          <w:p w14:paraId="78FDEF6B" w14:textId="77777777" w:rsidR="00D1738A" w:rsidRDefault="00000000">
            <w:pPr>
              <w:widowControl/>
              <w:jc w:val="center"/>
              <w:textAlignment w:val="center"/>
              <w:rPr>
                <w:rFonts w:ascii="Arial" w:eastAsia="宋体" w:hAnsi="Arial" w:cs="Arial"/>
                <w:color w:val="000000"/>
                <w:sz w:val="22"/>
                <w:szCs w:val="22"/>
                <w:lang w:bidi="ar"/>
              </w:rPr>
            </w:pPr>
            <w:r>
              <w:rPr>
                <w:rFonts w:ascii="Arial" w:eastAsia="宋体" w:hAnsi="Arial" w:cs="Arial"/>
                <w:color w:val="000000"/>
                <w:sz w:val="22"/>
                <w:szCs w:val="22"/>
                <w:lang w:bidi="ar"/>
              </w:rPr>
              <w:t xml:space="preserve">24.46 </w:t>
            </w:r>
          </w:p>
          <w:p w14:paraId="40D6D302"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[22.51, 26.56]</w:t>
            </w:r>
          </w:p>
        </w:tc>
        <w:tc>
          <w:tcPr>
            <w:tcW w:w="922" w:type="dxa"/>
            <w:tcBorders>
              <w:top w:val="single" w:sz="4" w:space="0" w:color="000000"/>
              <w:left w:val="single" w:sz="4" w:space="0" w:color="000000"/>
              <w:bottom w:val="single" w:sz="4" w:space="0" w:color="000000"/>
              <w:right w:val="single" w:sz="4" w:space="0" w:color="000000"/>
            </w:tcBorders>
            <w:noWrap/>
            <w:vAlign w:val="center"/>
          </w:tcPr>
          <w:p w14:paraId="0C69C660"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0.44 </w:t>
            </w:r>
          </w:p>
        </w:tc>
        <w:tc>
          <w:tcPr>
            <w:tcW w:w="926" w:type="dxa"/>
            <w:tcBorders>
              <w:top w:val="single" w:sz="4" w:space="0" w:color="000000"/>
              <w:left w:val="single" w:sz="4" w:space="0" w:color="000000"/>
              <w:bottom w:val="single" w:sz="4" w:space="0" w:color="000000"/>
              <w:right w:val="single" w:sz="4" w:space="0" w:color="000000"/>
            </w:tcBorders>
            <w:noWrap/>
            <w:vAlign w:val="center"/>
          </w:tcPr>
          <w:p w14:paraId="50EC11C3" w14:textId="77777777" w:rsidR="00D1738A" w:rsidRDefault="00000000">
            <w:pPr>
              <w:widowControl/>
              <w:jc w:val="center"/>
              <w:textAlignment w:val="center"/>
              <w:rPr>
                <w:rFonts w:ascii="Arial" w:eastAsia="宋体" w:hAnsi="Arial" w:cs="Arial"/>
                <w:color w:val="000000"/>
                <w:sz w:val="22"/>
                <w:szCs w:val="22"/>
              </w:rPr>
            </w:pPr>
            <w:r>
              <w:rPr>
                <w:rFonts w:ascii="Arial" w:eastAsia="宋体" w:hAnsi="Arial" w:cs="Arial"/>
                <w:color w:val="000000"/>
                <w:sz w:val="22"/>
                <w:szCs w:val="22"/>
                <w:lang w:bidi="ar"/>
              </w:rPr>
              <w:t xml:space="preserve">0.06 </w:t>
            </w:r>
          </w:p>
        </w:tc>
      </w:tr>
    </w:tbl>
    <w:p w14:paraId="3ABC73F8" w14:textId="77777777" w:rsidR="00D1738A" w:rsidRDefault="00D1738A">
      <w:pPr>
        <w:spacing w:after="400" w:line="360" w:lineRule="auto"/>
        <w:rPr>
          <w:rFonts w:ascii="Arial" w:eastAsiaTheme="minorEastAsia" w:hAnsi="Arial" w:cs="Arial"/>
          <w:b/>
          <w:bCs/>
        </w:rPr>
      </w:pPr>
    </w:p>
    <w:p w14:paraId="6AB9B5A7" w14:textId="77777777" w:rsidR="00D1738A" w:rsidRDefault="00000000">
      <w:pPr>
        <w:spacing w:after="400" w:line="360" w:lineRule="auto"/>
        <w:rPr>
          <w:rFonts w:ascii="Arial" w:eastAsiaTheme="minorEastAsia" w:hAnsi="Arial" w:cs="Arial"/>
        </w:rPr>
        <w:sectPr w:rsidR="00D1738A">
          <w:pgSz w:w="15840" w:h="12240" w:orient="landscape"/>
          <w:pgMar w:top="1440" w:right="1440" w:bottom="1440" w:left="1440" w:header="708" w:footer="708" w:gutter="0"/>
          <w:cols w:space="720"/>
          <w:docGrid w:linePitch="360"/>
        </w:sectPr>
      </w:pPr>
      <w:r>
        <w:rPr>
          <w:rFonts w:ascii="Arial" w:eastAsiaTheme="minorEastAsia" w:hAnsi="Arial" w:cs="Arial" w:hint="eastAsia"/>
          <w:b/>
          <w:bCs/>
        </w:rPr>
        <w:t xml:space="preserve">Supplementary Table S1 | Baseline characteristics assessment before and after Propensity Score Matching (PSM). </w:t>
      </w:r>
      <w:r>
        <w:rPr>
          <w:rFonts w:ascii="Arial" w:eastAsiaTheme="minorEastAsia" w:hAnsi="Arial" w:cs="Arial" w:hint="eastAsia"/>
        </w:rPr>
        <w:t xml:space="preserve"> Demographic and clinical variables of the initial recruited population (n=1,261) and the final matched development cohort (n=947).  The table presents the median (IQR) for continuous variables and number (%) for categorical variables.  IQR interquartile range, SMD s</w:t>
      </w:r>
      <w:r>
        <w:rPr>
          <w:rFonts w:ascii="Arial" w:eastAsiaTheme="minorEastAsia" w:hAnsi="Arial" w:cs="Arial"/>
        </w:rPr>
        <w:t>tandardized mean difference.</w:t>
      </w:r>
    </w:p>
    <w:tbl>
      <w:tblPr>
        <w:tblW w:w="6015" w:type="dxa"/>
        <w:jc w:val="center"/>
        <w:tblLook w:val="04A0" w:firstRow="1" w:lastRow="0" w:firstColumn="1" w:lastColumn="0" w:noHBand="0" w:noVBand="1"/>
      </w:tblPr>
      <w:tblGrid>
        <w:gridCol w:w="3008"/>
        <w:gridCol w:w="3008"/>
      </w:tblGrid>
      <w:tr w:rsidR="00D1738A" w14:paraId="60ACF0C1" w14:textId="77777777">
        <w:trPr>
          <w:trHeight w:val="270"/>
          <w:jc w:val="center"/>
        </w:trPr>
        <w:tc>
          <w:tcPr>
            <w:tcW w:w="3008" w:type="dxa"/>
            <w:tcBorders>
              <w:top w:val="nil"/>
              <w:left w:val="nil"/>
              <w:bottom w:val="nil"/>
              <w:right w:val="nil"/>
            </w:tcBorders>
            <w:noWrap/>
            <w:vAlign w:val="center"/>
          </w:tcPr>
          <w:p w14:paraId="717AA93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lastRenderedPageBreak/>
              <w:t>Feature</w:t>
            </w:r>
          </w:p>
        </w:tc>
        <w:tc>
          <w:tcPr>
            <w:tcW w:w="3008" w:type="dxa"/>
            <w:tcBorders>
              <w:top w:val="nil"/>
              <w:left w:val="nil"/>
              <w:bottom w:val="nil"/>
              <w:right w:val="nil"/>
            </w:tcBorders>
            <w:noWrap/>
            <w:vAlign w:val="center"/>
          </w:tcPr>
          <w:p w14:paraId="09BADC95"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P</w:t>
            </w:r>
          </w:p>
        </w:tc>
      </w:tr>
      <w:tr w:rsidR="00D1738A" w14:paraId="674C2DEC" w14:textId="77777777">
        <w:trPr>
          <w:trHeight w:val="270"/>
          <w:jc w:val="center"/>
        </w:trPr>
        <w:tc>
          <w:tcPr>
            <w:tcW w:w="0" w:type="auto"/>
            <w:tcBorders>
              <w:top w:val="nil"/>
              <w:left w:val="nil"/>
              <w:bottom w:val="nil"/>
              <w:right w:val="nil"/>
            </w:tcBorders>
            <w:noWrap/>
            <w:vAlign w:val="center"/>
          </w:tcPr>
          <w:p w14:paraId="659D17E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Infraspinatus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56AA88BA"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4.04040362009026e-72</w:t>
            </w:r>
          </w:p>
        </w:tc>
      </w:tr>
      <w:tr w:rsidR="00D1738A" w14:paraId="71173C83" w14:textId="77777777">
        <w:trPr>
          <w:trHeight w:val="270"/>
          <w:jc w:val="center"/>
        </w:trPr>
        <w:tc>
          <w:tcPr>
            <w:tcW w:w="0" w:type="auto"/>
            <w:tcBorders>
              <w:top w:val="nil"/>
              <w:left w:val="nil"/>
              <w:bottom w:val="nil"/>
              <w:right w:val="nil"/>
            </w:tcBorders>
            <w:noWrap/>
            <w:vAlign w:val="center"/>
          </w:tcPr>
          <w:p w14:paraId="708A953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Scapula</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0F8B610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3.1311138007587547e-43</w:t>
            </w:r>
          </w:p>
        </w:tc>
      </w:tr>
      <w:tr w:rsidR="00D1738A" w14:paraId="6F83B508" w14:textId="77777777">
        <w:trPr>
          <w:trHeight w:val="270"/>
          <w:jc w:val="center"/>
        </w:trPr>
        <w:tc>
          <w:tcPr>
            <w:tcW w:w="0" w:type="auto"/>
            <w:tcBorders>
              <w:top w:val="nil"/>
              <w:left w:val="nil"/>
              <w:bottom w:val="nil"/>
              <w:right w:val="nil"/>
            </w:tcBorders>
            <w:noWrap/>
            <w:vAlign w:val="center"/>
          </w:tcPr>
          <w:p w14:paraId="2379530B"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Triceps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0073A4B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9.031110095070697e-30</w:t>
            </w:r>
          </w:p>
        </w:tc>
      </w:tr>
      <w:tr w:rsidR="00D1738A" w14:paraId="24C59B09" w14:textId="77777777">
        <w:trPr>
          <w:trHeight w:val="270"/>
          <w:jc w:val="center"/>
        </w:trPr>
        <w:tc>
          <w:tcPr>
            <w:tcW w:w="0" w:type="auto"/>
            <w:tcBorders>
              <w:top w:val="nil"/>
              <w:left w:val="nil"/>
              <w:bottom w:val="nil"/>
              <w:right w:val="nil"/>
            </w:tcBorders>
            <w:noWrap/>
            <w:vAlign w:val="center"/>
          </w:tcPr>
          <w:p w14:paraId="2AC4F3F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T1</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60CFF3B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2.0783764135644944e-27</w:t>
            </w:r>
          </w:p>
        </w:tc>
      </w:tr>
      <w:tr w:rsidR="00D1738A" w14:paraId="12946350" w14:textId="77777777">
        <w:trPr>
          <w:trHeight w:val="270"/>
          <w:jc w:val="center"/>
        </w:trPr>
        <w:tc>
          <w:tcPr>
            <w:tcW w:w="0" w:type="auto"/>
            <w:tcBorders>
              <w:top w:val="nil"/>
              <w:left w:val="nil"/>
              <w:bottom w:val="nil"/>
              <w:right w:val="nil"/>
            </w:tcBorders>
            <w:noWrap/>
            <w:vAlign w:val="center"/>
          </w:tcPr>
          <w:p w14:paraId="4BD95CCB"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Supraspinatus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6CC9BE3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2.3031117457396434e-25</w:t>
            </w:r>
          </w:p>
        </w:tc>
      </w:tr>
      <w:tr w:rsidR="00D1738A" w14:paraId="73A63B68" w14:textId="77777777">
        <w:trPr>
          <w:trHeight w:val="270"/>
          <w:jc w:val="center"/>
        </w:trPr>
        <w:tc>
          <w:tcPr>
            <w:tcW w:w="0" w:type="auto"/>
            <w:tcBorders>
              <w:top w:val="nil"/>
              <w:left w:val="nil"/>
              <w:bottom w:val="nil"/>
              <w:right w:val="nil"/>
            </w:tcBorders>
            <w:noWrap/>
            <w:vAlign w:val="center"/>
          </w:tcPr>
          <w:p w14:paraId="61B2A13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Deltoid</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1CE0B5A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1.6304270084909839e-21</w:t>
            </w:r>
          </w:p>
        </w:tc>
      </w:tr>
      <w:tr w:rsidR="00D1738A" w14:paraId="2B08739F" w14:textId="77777777">
        <w:trPr>
          <w:trHeight w:val="270"/>
          <w:jc w:val="center"/>
        </w:trPr>
        <w:tc>
          <w:tcPr>
            <w:tcW w:w="0" w:type="auto"/>
            <w:tcBorders>
              <w:top w:val="nil"/>
              <w:left w:val="nil"/>
              <w:bottom w:val="nil"/>
              <w:right w:val="nil"/>
            </w:tcBorders>
            <w:noWrap/>
            <w:vAlign w:val="center"/>
          </w:tcPr>
          <w:p w14:paraId="4B420043"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C7</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3E10F15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1.2649009447038521e-20</w:t>
            </w:r>
          </w:p>
        </w:tc>
      </w:tr>
      <w:tr w:rsidR="00D1738A" w14:paraId="13412B33" w14:textId="77777777">
        <w:trPr>
          <w:trHeight w:val="270"/>
          <w:jc w:val="center"/>
        </w:trPr>
        <w:tc>
          <w:tcPr>
            <w:tcW w:w="0" w:type="auto"/>
            <w:tcBorders>
              <w:top w:val="nil"/>
              <w:left w:val="nil"/>
              <w:bottom w:val="nil"/>
              <w:right w:val="nil"/>
            </w:tcBorders>
            <w:noWrap/>
            <w:vAlign w:val="center"/>
          </w:tcPr>
          <w:p w14:paraId="7E4877B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T1</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3D26C43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2.0596723539333504e-20</w:t>
            </w:r>
          </w:p>
        </w:tc>
      </w:tr>
      <w:tr w:rsidR="00D1738A" w14:paraId="3783F9A5" w14:textId="77777777">
        <w:trPr>
          <w:trHeight w:val="270"/>
          <w:jc w:val="center"/>
        </w:trPr>
        <w:tc>
          <w:tcPr>
            <w:tcW w:w="0" w:type="auto"/>
            <w:tcBorders>
              <w:top w:val="nil"/>
              <w:left w:val="nil"/>
              <w:bottom w:val="nil"/>
              <w:right w:val="nil"/>
            </w:tcBorders>
            <w:noWrap/>
            <w:vAlign w:val="center"/>
          </w:tcPr>
          <w:p w14:paraId="4622FB2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Scapula</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4708CBE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2.0446600088557243e-19</w:t>
            </w:r>
          </w:p>
        </w:tc>
      </w:tr>
      <w:tr w:rsidR="00D1738A" w14:paraId="2AC5BCC9" w14:textId="77777777">
        <w:trPr>
          <w:trHeight w:val="270"/>
          <w:jc w:val="center"/>
        </w:trPr>
        <w:tc>
          <w:tcPr>
            <w:tcW w:w="0" w:type="auto"/>
            <w:tcBorders>
              <w:top w:val="nil"/>
              <w:left w:val="nil"/>
              <w:bottom w:val="nil"/>
              <w:right w:val="nil"/>
            </w:tcBorders>
            <w:noWrap/>
            <w:vAlign w:val="center"/>
          </w:tcPr>
          <w:p w14:paraId="5D0D11C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Subscapularis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596FA2C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5.706724244367005e-19</w:t>
            </w:r>
          </w:p>
        </w:tc>
      </w:tr>
      <w:tr w:rsidR="00D1738A" w14:paraId="44BF5302" w14:textId="77777777">
        <w:trPr>
          <w:trHeight w:val="270"/>
          <w:jc w:val="center"/>
        </w:trPr>
        <w:tc>
          <w:tcPr>
            <w:tcW w:w="0" w:type="auto"/>
            <w:tcBorders>
              <w:top w:val="nil"/>
              <w:left w:val="nil"/>
              <w:bottom w:val="nil"/>
              <w:right w:val="nil"/>
            </w:tcBorders>
            <w:noWrap/>
            <w:vAlign w:val="center"/>
          </w:tcPr>
          <w:p w14:paraId="7EE83FD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C7</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2EE5E643"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2.433291306883523e-18</w:t>
            </w:r>
          </w:p>
        </w:tc>
      </w:tr>
      <w:tr w:rsidR="00D1738A" w14:paraId="27061239" w14:textId="77777777">
        <w:trPr>
          <w:trHeight w:val="270"/>
          <w:jc w:val="center"/>
        </w:trPr>
        <w:tc>
          <w:tcPr>
            <w:tcW w:w="0" w:type="auto"/>
            <w:tcBorders>
              <w:top w:val="nil"/>
              <w:left w:val="nil"/>
              <w:bottom w:val="nil"/>
              <w:right w:val="nil"/>
            </w:tcBorders>
            <w:noWrap/>
            <w:vAlign w:val="center"/>
          </w:tcPr>
          <w:p w14:paraId="7AE0562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Minor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0B57167B"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3.8611500828821923e-16</w:t>
            </w:r>
          </w:p>
        </w:tc>
      </w:tr>
      <w:tr w:rsidR="00D1738A" w14:paraId="6AC49EAF" w14:textId="77777777">
        <w:trPr>
          <w:trHeight w:val="270"/>
          <w:jc w:val="center"/>
        </w:trPr>
        <w:tc>
          <w:tcPr>
            <w:tcW w:w="0" w:type="auto"/>
            <w:tcBorders>
              <w:top w:val="nil"/>
              <w:left w:val="nil"/>
              <w:bottom w:val="nil"/>
              <w:right w:val="nil"/>
            </w:tcBorders>
            <w:noWrap/>
            <w:vAlign w:val="center"/>
          </w:tcPr>
          <w:p w14:paraId="2EF5EE9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Minor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2BD0226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4.3071897786416355e-16</w:t>
            </w:r>
          </w:p>
        </w:tc>
      </w:tr>
      <w:tr w:rsidR="00D1738A" w14:paraId="69C9BF64" w14:textId="77777777">
        <w:trPr>
          <w:trHeight w:val="270"/>
          <w:jc w:val="center"/>
        </w:trPr>
        <w:tc>
          <w:tcPr>
            <w:tcW w:w="0" w:type="auto"/>
            <w:tcBorders>
              <w:top w:val="nil"/>
              <w:left w:val="nil"/>
              <w:bottom w:val="nil"/>
              <w:right w:val="nil"/>
            </w:tcBorders>
            <w:noWrap/>
            <w:vAlign w:val="center"/>
          </w:tcPr>
          <w:p w14:paraId="1408948A"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Humerus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28373A7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1.461198389479203e-14</w:t>
            </w:r>
          </w:p>
        </w:tc>
      </w:tr>
      <w:tr w:rsidR="00D1738A" w14:paraId="79A5A7C9" w14:textId="77777777">
        <w:trPr>
          <w:trHeight w:val="270"/>
          <w:jc w:val="center"/>
        </w:trPr>
        <w:tc>
          <w:tcPr>
            <w:tcW w:w="0" w:type="auto"/>
            <w:tcBorders>
              <w:top w:val="nil"/>
              <w:left w:val="nil"/>
              <w:bottom w:val="nil"/>
              <w:right w:val="nil"/>
            </w:tcBorders>
            <w:noWrap/>
            <w:vAlign w:val="center"/>
          </w:tcPr>
          <w:p w14:paraId="7BC03DF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Teres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1915F00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4.796238685145241e-14</w:t>
            </w:r>
          </w:p>
        </w:tc>
      </w:tr>
      <w:tr w:rsidR="00D1738A" w14:paraId="7EB58FF8" w14:textId="77777777">
        <w:trPr>
          <w:trHeight w:val="270"/>
          <w:jc w:val="center"/>
        </w:trPr>
        <w:tc>
          <w:tcPr>
            <w:tcW w:w="0" w:type="auto"/>
            <w:tcBorders>
              <w:top w:val="nil"/>
              <w:left w:val="nil"/>
              <w:bottom w:val="nil"/>
              <w:right w:val="nil"/>
            </w:tcBorders>
            <w:noWrap/>
            <w:vAlign w:val="center"/>
          </w:tcPr>
          <w:p w14:paraId="6322BE2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Supraspinatus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46E5F35A"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4.942842431302537e-14</w:t>
            </w:r>
          </w:p>
        </w:tc>
      </w:tr>
      <w:tr w:rsidR="00D1738A" w14:paraId="21C58273" w14:textId="77777777">
        <w:trPr>
          <w:trHeight w:val="270"/>
          <w:jc w:val="center"/>
        </w:trPr>
        <w:tc>
          <w:tcPr>
            <w:tcW w:w="0" w:type="auto"/>
            <w:tcBorders>
              <w:top w:val="nil"/>
              <w:left w:val="nil"/>
              <w:bottom w:val="nil"/>
              <w:right w:val="nil"/>
            </w:tcBorders>
            <w:noWrap/>
            <w:vAlign w:val="center"/>
          </w:tcPr>
          <w:p w14:paraId="166119DA"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2629844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8.127643970186002e-13</w:t>
            </w:r>
          </w:p>
        </w:tc>
      </w:tr>
      <w:tr w:rsidR="00D1738A" w14:paraId="20B0B60A" w14:textId="77777777">
        <w:trPr>
          <w:trHeight w:val="270"/>
          <w:jc w:val="center"/>
        </w:trPr>
        <w:tc>
          <w:tcPr>
            <w:tcW w:w="0" w:type="auto"/>
            <w:tcBorders>
              <w:top w:val="nil"/>
              <w:left w:val="nil"/>
              <w:bottom w:val="nil"/>
              <w:right w:val="nil"/>
            </w:tcBorders>
            <w:noWrap/>
            <w:vAlign w:val="center"/>
          </w:tcPr>
          <w:p w14:paraId="312A2EA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Triceps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3A4C6AF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1.3191172886550376e-12</w:t>
            </w:r>
          </w:p>
        </w:tc>
      </w:tr>
      <w:tr w:rsidR="00D1738A" w14:paraId="3FA0B372" w14:textId="77777777">
        <w:trPr>
          <w:trHeight w:val="270"/>
          <w:jc w:val="center"/>
        </w:trPr>
        <w:tc>
          <w:tcPr>
            <w:tcW w:w="0" w:type="auto"/>
            <w:tcBorders>
              <w:top w:val="nil"/>
              <w:left w:val="nil"/>
              <w:bottom w:val="nil"/>
              <w:right w:val="nil"/>
            </w:tcBorders>
            <w:noWrap/>
            <w:vAlign w:val="center"/>
          </w:tcPr>
          <w:p w14:paraId="3644607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Humerus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7835B65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1.310516069121304e-10</w:t>
            </w:r>
          </w:p>
        </w:tc>
      </w:tr>
      <w:tr w:rsidR="00D1738A" w14:paraId="59A40387" w14:textId="77777777">
        <w:trPr>
          <w:trHeight w:val="270"/>
          <w:jc w:val="center"/>
        </w:trPr>
        <w:tc>
          <w:tcPr>
            <w:tcW w:w="0" w:type="auto"/>
            <w:tcBorders>
              <w:top w:val="nil"/>
              <w:left w:val="nil"/>
              <w:bottom w:val="nil"/>
              <w:right w:val="nil"/>
            </w:tcBorders>
            <w:noWrap/>
            <w:vAlign w:val="center"/>
          </w:tcPr>
          <w:p w14:paraId="1310EAD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Humerus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0B0F00F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6.693314731697675e-10</w:t>
            </w:r>
          </w:p>
        </w:tc>
      </w:tr>
      <w:tr w:rsidR="00D1738A" w14:paraId="5D5DF166" w14:textId="77777777">
        <w:trPr>
          <w:trHeight w:val="270"/>
          <w:jc w:val="center"/>
        </w:trPr>
        <w:tc>
          <w:tcPr>
            <w:tcW w:w="0" w:type="auto"/>
            <w:tcBorders>
              <w:top w:val="nil"/>
              <w:left w:val="nil"/>
              <w:bottom w:val="nil"/>
              <w:right w:val="nil"/>
            </w:tcBorders>
            <w:noWrap/>
            <w:vAlign w:val="center"/>
          </w:tcPr>
          <w:p w14:paraId="0428340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Deltoid</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1561A0A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1.063277019961282e-09</w:t>
            </w:r>
          </w:p>
        </w:tc>
      </w:tr>
      <w:tr w:rsidR="00D1738A" w14:paraId="3FED0A09" w14:textId="77777777">
        <w:trPr>
          <w:trHeight w:val="270"/>
          <w:jc w:val="center"/>
        </w:trPr>
        <w:tc>
          <w:tcPr>
            <w:tcW w:w="0" w:type="auto"/>
            <w:tcBorders>
              <w:top w:val="nil"/>
              <w:left w:val="nil"/>
              <w:bottom w:val="nil"/>
              <w:right w:val="nil"/>
            </w:tcBorders>
            <w:noWrap/>
            <w:vAlign w:val="center"/>
          </w:tcPr>
          <w:p w14:paraId="7802CD1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1E83C36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2.38726570529434e-09</w:t>
            </w:r>
          </w:p>
        </w:tc>
      </w:tr>
      <w:tr w:rsidR="00D1738A" w14:paraId="6F74E585" w14:textId="77777777">
        <w:trPr>
          <w:trHeight w:val="270"/>
          <w:jc w:val="center"/>
        </w:trPr>
        <w:tc>
          <w:tcPr>
            <w:tcW w:w="0" w:type="auto"/>
            <w:tcBorders>
              <w:top w:val="nil"/>
              <w:left w:val="nil"/>
              <w:bottom w:val="nil"/>
              <w:right w:val="nil"/>
            </w:tcBorders>
            <w:noWrap/>
            <w:vAlign w:val="center"/>
          </w:tcPr>
          <w:p w14:paraId="03A6C22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Supraspinatus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2F73259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8.591883234442524e-09</w:t>
            </w:r>
          </w:p>
        </w:tc>
      </w:tr>
      <w:tr w:rsidR="00D1738A" w14:paraId="2B4A908B" w14:textId="77777777">
        <w:trPr>
          <w:trHeight w:val="270"/>
          <w:jc w:val="center"/>
        </w:trPr>
        <w:tc>
          <w:tcPr>
            <w:tcW w:w="0" w:type="auto"/>
            <w:tcBorders>
              <w:top w:val="nil"/>
              <w:left w:val="nil"/>
              <w:bottom w:val="nil"/>
              <w:right w:val="nil"/>
            </w:tcBorders>
            <w:noWrap/>
            <w:vAlign w:val="center"/>
          </w:tcPr>
          <w:p w14:paraId="729601D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Latissimus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7FD1B64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1.3034260388845876e-08</w:t>
            </w:r>
          </w:p>
        </w:tc>
      </w:tr>
      <w:tr w:rsidR="00D1738A" w14:paraId="5CE6E1A5" w14:textId="77777777">
        <w:trPr>
          <w:trHeight w:val="270"/>
          <w:jc w:val="center"/>
        </w:trPr>
        <w:tc>
          <w:tcPr>
            <w:tcW w:w="0" w:type="auto"/>
            <w:tcBorders>
              <w:top w:val="nil"/>
              <w:left w:val="nil"/>
              <w:bottom w:val="nil"/>
              <w:right w:val="nil"/>
            </w:tcBorders>
            <w:noWrap/>
            <w:vAlign w:val="center"/>
          </w:tcPr>
          <w:p w14:paraId="6697FAB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Minor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6F7B011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1.5958834436410676e-07</w:t>
            </w:r>
          </w:p>
        </w:tc>
      </w:tr>
      <w:tr w:rsidR="00D1738A" w14:paraId="06677102" w14:textId="77777777">
        <w:trPr>
          <w:trHeight w:val="270"/>
          <w:jc w:val="center"/>
        </w:trPr>
        <w:tc>
          <w:tcPr>
            <w:tcW w:w="0" w:type="auto"/>
            <w:tcBorders>
              <w:top w:val="nil"/>
              <w:left w:val="nil"/>
              <w:bottom w:val="nil"/>
              <w:right w:val="nil"/>
            </w:tcBorders>
            <w:noWrap/>
            <w:vAlign w:val="center"/>
          </w:tcPr>
          <w:p w14:paraId="206B59A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Triceps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515A0B1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2.0656243946360845e-07</w:t>
            </w:r>
          </w:p>
        </w:tc>
      </w:tr>
      <w:tr w:rsidR="00D1738A" w14:paraId="3F1B751F" w14:textId="77777777">
        <w:trPr>
          <w:trHeight w:val="270"/>
          <w:jc w:val="center"/>
        </w:trPr>
        <w:tc>
          <w:tcPr>
            <w:tcW w:w="0" w:type="auto"/>
            <w:tcBorders>
              <w:top w:val="nil"/>
              <w:left w:val="nil"/>
              <w:bottom w:val="nil"/>
              <w:right w:val="nil"/>
            </w:tcBorders>
            <w:noWrap/>
            <w:vAlign w:val="center"/>
          </w:tcPr>
          <w:p w14:paraId="4967076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Triceps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1094FF8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3.449325828209767e-07</w:t>
            </w:r>
          </w:p>
        </w:tc>
      </w:tr>
      <w:tr w:rsidR="00D1738A" w14:paraId="660B3E59" w14:textId="77777777">
        <w:trPr>
          <w:trHeight w:val="270"/>
          <w:jc w:val="center"/>
        </w:trPr>
        <w:tc>
          <w:tcPr>
            <w:tcW w:w="0" w:type="auto"/>
            <w:tcBorders>
              <w:top w:val="nil"/>
              <w:left w:val="nil"/>
              <w:bottom w:val="nil"/>
              <w:right w:val="nil"/>
            </w:tcBorders>
            <w:noWrap/>
            <w:vAlign w:val="center"/>
          </w:tcPr>
          <w:p w14:paraId="1B68FE0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Supraspinatus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25E53AB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5.898070831278699e-07</w:t>
            </w:r>
          </w:p>
        </w:tc>
      </w:tr>
      <w:tr w:rsidR="00D1738A" w14:paraId="1A20D3B2" w14:textId="77777777">
        <w:trPr>
          <w:trHeight w:val="270"/>
          <w:jc w:val="center"/>
        </w:trPr>
        <w:tc>
          <w:tcPr>
            <w:tcW w:w="0" w:type="auto"/>
            <w:tcBorders>
              <w:top w:val="nil"/>
              <w:left w:val="nil"/>
              <w:bottom w:val="nil"/>
              <w:right w:val="nil"/>
            </w:tcBorders>
            <w:noWrap/>
            <w:vAlign w:val="center"/>
          </w:tcPr>
          <w:p w14:paraId="5863C66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Triceps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06C04B9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1.0475842326726368e-06</w:t>
            </w:r>
          </w:p>
        </w:tc>
      </w:tr>
      <w:tr w:rsidR="00D1738A" w14:paraId="480AA270" w14:textId="77777777">
        <w:trPr>
          <w:trHeight w:val="270"/>
          <w:jc w:val="center"/>
        </w:trPr>
        <w:tc>
          <w:tcPr>
            <w:tcW w:w="0" w:type="auto"/>
            <w:tcBorders>
              <w:top w:val="nil"/>
              <w:left w:val="nil"/>
              <w:bottom w:val="nil"/>
              <w:right w:val="nil"/>
            </w:tcBorders>
            <w:noWrap/>
            <w:vAlign w:val="center"/>
          </w:tcPr>
          <w:p w14:paraId="7866267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C7</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01DE4BB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4.5373736852973155e-06</w:t>
            </w:r>
          </w:p>
        </w:tc>
      </w:tr>
      <w:tr w:rsidR="00D1738A" w14:paraId="79F2B885" w14:textId="77777777">
        <w:trPr>
          <w:trHeight w:val="270"/>
          <w:jc w:val="center"/>
        </w:trPr>
        <w:tc>
          <w:tcPr>
            <w:tcW w:w="0" w:type="auto"/>
            <w:tcBorders>
              <w:top w:val="nil"/>
              <w:left w:val="nil"/>
              <w:bottom w:val="nil"/>
              <w:right w:val="nil"/>
            </w:tcBorders>
            <w:noWrap/>
            <w:vAlign w:val="center"/>
          </w:tcPr>
          <w:p w14:paraId="5B06741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C7</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219F5E5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6.125513679351936e-06</w:t>
            </w:r>
          </w:p>
        </w:tc>
      </w:tr>
      <w:tr w:rsidR="00D1738A" w14:paraId="4E56DFA8" w14:textId="77777777">
        <w:trPr>
          <w:trHeight w:val="270"/>
          <w:jc w:val="center"/>
        </w:trPr>
        <w:tc>
          <w:tcPr>
            <w:tcW w:w="0" w:type="auto"/>
            <w:tcBorders>
              <w:top w:val="nil"/>
              <w:left w:val="nil"/>
              <w:bottom w:val="nil"/>
              <w:right w:val="nil"/>
            </w:tcBorders>
            <w:noWrap/>
            <w:vAlign w:val="center"/>
          </w:tcPr>
          <w:p w14:paraId="6F9DB7C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Latissimus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109F679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6.827819544223325e-06</w:t>
            </w:r>
          </w:p>
        </w:tc>
      </w:tr>
      <w:tr w:rsidR="00D1738A" w14:paraId="1D78EC95" w14:textId="77777777">
        <w:trPr>
          <w:trHeight w:val="270"/>
          <w:jc w:val="center"/>
        </w:trPr>
        <w:tc>
          <w:tcPr>
            <w:tcW w:w="0" w:type="auto"/>
            <w:tcBorders>
              <w:top w:val="nil"/>
              <w:left w:val="nil"/>
              <w:bottom w:val="nil"/>
              <w:right w:val="nil"/>
            </w:tcBorders>
            <w:noWrap/>
            <w:vAlign w:val="center"/>
          </w:tcPr>
          <w:p w14:paraId="75CEFFE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213C32E3"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7.363375068625505e-06</w:t>
            </w:r>
          </w:p>
        </w:tc>
      </w:tr>
      <w:tr w:rsidR="00D1738A" w14:paraId="34056A1A" w14:textId="77777777">
        <w:trPr>
          <w:trHeight w:val="270"/>
          <w:jc w:val="center"/>
        </w:trPr>
        <w:tc>
          <w:tcPr>
            <w:tcW w:w="0" w:type="auto"/>
            <w:tcBorders>
              <w:top w:val="nil"/>
              <w:left w:val="nil"/>
              <w:bottom w:val="nil"/>
              <w:right w:val="nil"/>
            </w:tcBorders>
            <w:noWrap/>
            <w:vAlign w:val="center"/>
          </w:tcPr>
          <w:p w14:paraId="4318D9D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Infraspinatus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2B6A9C9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1.2363494672190063e-05</w:t>
            </w:r>
          </w:p>
        </w:tc>
      </w:tr>
      <w:tr w:rsidR="00D1738A" w14:paraId="77EC7EB6" w14:textId="77777777">
        <w:trPr>
          <w:trHeight w:val="270"/>
          <w:jc w:val="center"/>
        </w:trPr>
        <w:tc>
          <w:tcPr>
            <w:tcW w:w="0" w:type="auto"/>
            <w:tcBorders>
              <w:top w:val="nil"/>
              <w:left w:val="nil"/>
              <w:bottom w:val="nil"/>
              <w:right w:val="nil"/>
            </w:tcBorders>
            <w:noWrap/>
            <w:vAlign w:val="center"/>
          </w:tcPr>
          <w:p w14:paraId="4EC431D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T1</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57B939D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3.3945776468570594e-05</w:t>
            </w:r>
          </w:p>
        </w:tc>
      </w:tr>
      <w:tr w:rsidR="00D1738A" w14:paraId="0F57EA9B" w14:textId="77777777">
        <w:trPr>
          <w:trHeight w:val="270"/>
          <w:jc w:val="center"/>
        </w:trPr>
        <w:tc>
          <w:tcPr>
            <w:tcW w:w="0" w:type="auto"/>
            <w:tcBorders>
              <w:top w:val="nil"/>
              <w:left w:val="nil"/>
              <w:bottom w:val="nil"/>
              <w:right w:val="nil"/>
            </w:tcBorders>
            <w:noWrap/>
            <w:vAlign w:val="center"/>
          </w:tcPr>
          <w:p w14:paraId="46C6004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Teres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3504AC6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3.560243232964088e-05</w:t>
            </w:r>
          </w:p>
        </w:tc>
      </w:tr>
      <w:tr w:rsidR="00D1738A" w14:paraId="0A6F2FB9" w14:textId="77777777">
        <w:trPr>
          <w:trHeight w:val="270"/>
          <w:jc w:val="center"/>
        </w:trPr>
        <w:tc>
          <w:tcPr>
            <w:tcW w:w="0" w:type="auto"/>
            <w:tcBorders>
              <w:top w:val="nil"/>
              <w:left w:val="nil"/>
              <w:bottom w:val="nil"/>
              <w:right w:val="nil"/>
            </w:tcBorders>
            <w:noWrap/>
            <w:vAlign w:val="center"/>
          </w:tcPr>
          <w:p w14:paraId="3ACFEC5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Deltoid</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55AA89A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5.608727501565031e-05</w:t>
            </w:r>
          </w:p>
        </w:tc>
      </w:tr>
      <w:tr w:rsidR="00D1738A" w14:paraId="05328865" w14:textId="77777777">
        <w:trPr>
          <w:trHeight w:val="270"/>
          <w:jc w:val="center"/>
        </w:trPr>
        <w:tc>
          <w:tcPr>
            <w:tcW w:w="0" w:type="auto"/>
            <w:tcBorders>
              <w:top w:val="nil"/>
              <w:left w:val="nil"/>
              <w:bottom w:val="nil"/>
              <w:right w:val="nil"/>
            </w:tcBorders>
            <w:noWrap/>
            <w:vAlign w:val="center"/>
          </w:tcPr>
          <w:p w14:paraId="6686893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Trapezius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524A3DD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0.00024848624686541946</w:t>
            </w:r>
          </w:p>
        </w:tc>
      </w:tr>
      <w:tr w:rsidR="00D1738A" w14:paraId="3051DF49" w14:textId="77777777">
        <w:trPr>
          <w:trHeight w:val="270"/>
          <w:jc w:val="center"/>
        </w:trPr>
        <w:tc>
          <w:tcPr>
            <w:tcW w:w="0" w:type="auto"/>
            <w:tcBorders>
              <w:top w:val="nil"/>
              <w:left w:val="nil"/>
              <w:bottom w:val="nil"/>
              <w:right w:val="nil"/>
            </w:tcBorders>
            <w:noWrap/>
            <w:vAlign w:val="center"/>
          </w:tcPr>
          <w:p w14:paraId="7EA73BC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Humerus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70ACCD6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0.0008067337594800407</w:t>
            </w:r>
          </w:p>
        </w:tc>
      </w:tr>
      <w:tr w:rsidR="00D1738A" w14:paraId="0428C41B" w14:textId="77777777">
        <w:trPr>
          <w:trHeight w:val="270"/>
          <w:jc w:val="center"/>
        </w:trPr>
        <w:tc>
          <w:tcPr>
            <w:tcW w:w="0" w:type="auto"/>
            <w:tcBorders>
              <w:top w:val="nil"/>
              <w:left w:val="nil"/>
              <w:bottom w:val="nil"/>
              <w:right w:val="nil"/>
            </w:tcBorders>
            <w:noWrap/>
            <w:vAlign w:val="center"/>
          </w:tcPr>
          <w:p w14:paraId="4FEFC3C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Scapula</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3C3624A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0.001285695972365763</w:t>
            </w:r>
          </w:p>
        </w:tc>
      </w:tr>
      <w:tr w:rsidR="00D1738A" w14:paraId="36932F27" w14:textId="77777777">
        <w:trPr>
          <w:trHeight w:val="270"/>
          <w:jc w:val="center"/>
        </w:trPr>
        <w:tc>
          <w:tcPr>
            <w:tcW w:w="0" w:type="auto"/>
            <w:tcBorders>
              <w:top w:val="nil"/>
              <w:left w:val="nil"/>
              <w:bottom w:val="nil"/>
              <w:right w:val="nil"/>
            </w:tcBorders>
            <w:noWrap/>
            <w:vAlign w:val="center"/>
          </w:tcPr>
          <w:p w14:paraId="2AF8047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Supraspinatus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07CF4B9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0.001502892059126713</w:t>
            </w:r>
          </w:p>
        </w:tc>
      </w:tr>
      <w:tr w:rsidR="00D1738A" w14:paraId="63A9A529" w14:textId="77777777">
        <w:trPr>
          <w:trHeight w:val="270"/>
          <w:jc w:val="center"/>
        </w:trPr>
        <w:tc>
          <w:tcPr>
            <w:tcW w:w="0" w:type="auto"/>
            <w:tcBorders>
              <w:top w:val="nil"/>
              <w:left w:val="nil"/>
              <w:bottom w:val="nil"/>
              <w:right w:val="nil"/>
            </w:tcBorders>
            <w:noWrap/>
            <w:vAlign w:val="center"/>
          </w:tcPr>
          <w:p w14:paraId="4784C27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Latissimus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4B24F3C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0.0034773306943278997</w:t>
            </w:r>
          </w:p>
        </w:tc>
      </w:tr>
      <w:tr w:rsidR="00D1738A" w14:paraId="5FBAED1C" w14:textId="77777777">
        <w:trPr>
          <w:trHeight w:val="270"/>
          <w:jc w:val="center"/>
        </w:trPr>
        <w:tc>
          <w:tcPr>
            <w:tcW w:w="0" w:type="auto"/>
            <w:tcBorders>
              <w:top w:val="nil"/>
              <w:left w:val="nil"/>
              <w:bottom w:val="nil"/>
              <w:right w:val="nil"/>
            </w:tcBorders>
            <w:noWrap/>
            <w:vAlign w:val="center"/>
          </w:tcPr>
          <w:p w14:paraId="7E31FDB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T1</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5EE058C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0.0045173510767630215</w:t>
            </w:r>
          </w:p>
        </w:tc>
      </w:tr>
      <w:tr w:rsidR="00D1738A" w14:paraId="716C25C2" w14:textId="77777777">
        <w:trPr>
          <w:trHeight w:val="270"/>
          <w:jc w:val="center"/>
        </w:trPr>
        <w:tc>
          <w:tcPr>
            <w:tcW w:w="0" w:type="auto"/>
            <w:tcBorders>
              <w:top w:val="nil"/>
              <w:left w:val="nil"/>
              <w:bottom w:val="nil"/>
              <w:right w:val="nil"/>
            </w:tcBorders>
            <w:noWrap/>
            <w:vAlign w:val="center"/>
          </w:tcPr>
          <w:p w14:paraId="2127401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Deltoid</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79D16712"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0.005616403421146121</w:t>
            </w:r>
          </w:p>
        </w:tc>
      </w:tr>
      <w:tr w:rsidR="00D1738A" w14:paraId="2D9579A9" w14:textId="77777777">
        <w:trPr>
          <w:trHeight w:val="270"/>
          <w:jc w:val="center"/>
        </w:trPr>
        <w:tc>
          <w:tcPr>
            <w:tcW w:w="0" w:type="auto"/>
            <w:tcBorders>
              <w:top w:val="nil"/>
              <w:left w:val="nil"/>
              <w:bottom w:val="nil"/>
              <w:right w:val="nil"/>
            </w:tcBorders>
            <w:noWrap/>
            <w:vAlign w:val="center"/>
          </w:tcPr>
          <w:p w14:paraId="5CF16601"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Teres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Major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33E32F2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0.005925144080565781</w:t>
            </w:r>
          </w:p>
        </w:tc>
      </w:tr>
      <w:tr w:rsidR="00D1738A" w14:paraId="7C5BFD81" w14:textId="77777777">
        <w:trPr>
          <w:trHeight w:val="270"/>
          <w:jc w:val="center"/>
        </w:trPr>
        <w:tc>
          <w:tcPr>
            <w:tcW w:w="0" w:type="auto"/>
            <w:tcBorders>
              <w:top w:val="nil"/>
              <w:left w:val="nil"/>
              <w:bottom w:val="nil"/>
              <w:right w:val="nil"/>
            </w:tcBorders>
            <w:noWrap/>
            <w:vAlign w:val="center"/>
          </w:tcPr>
          <w:p w14:paraId="5A69179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Minor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0CBAFBD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0.006278742358458849</w:t>
            </w:r>
          </w:p>
        </w:tc>
      </w:tr>
      <w:tr w:rsidR="00D1738A" w14:paraId="1DE959A8" w14:textId="77777777">
        <w:trPr>
          <w:trHeight w:val="270"/>
          <w:jc w:val="center"/>
        </w:trPr>
        <w:tc>
          <w:tcPr>
            <w:tcW w:w="0" w:type="auto"/>
            <w:tcBorders>
              <w:top w:val="nil"/>
              <w:left w:val="nil"/>
              <w:bottom w:val="nil"/>
              <w:right w:val="nil"/>
            </w:tcBorders>
            <w:noWrap/>
            <w:vAlign w:val="center"/>
          </w:tcPr>
          <w:p w14:paraId="701949FA"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Scapula</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Entropy</w:t>
            </w:r>
          </w:p>
        </w:tc>
        <w:tc>
          <w:tcPr>
            <w:tcW w:w="0" w:type="auto"/>
            <w:tcBorders>
              <w:top w:val="nil"/>
              <w:left w:val="nil"/>
              <w:bottom w:val="nil"/>
              <w:right w:val="nil"/>
            </w:tcBorders>
            <w:noWrap/>
            <w:vAlign w:val="center"/>
          </w:tcPr>
          <w:p w14:paraId="1537EF70"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0.008184010809816986</w:t>
            </w:r>
          </w:p>
        </w:tc>
      </w:tr>
      <w:tr w:rsidR="00D1738A" w14:paraId="36EE73CF" w14:textId="77777777">
        <w:trPr>
          <w:trHeight w:val="270"/>
          <w:jc w:val="center"/>
        </w:trPr>
        <w:tc>
          <w:tcPr>
            <w:tcW w:w="0" w:type="auto"/>
            <w:tcBorders>
              <w:top w:val="nil"/>
              <w:left w:val="nil"/>
              <w:bottom w:val="nil"/>
              <w:right w:val="nil"/>
            </w:tcBorders>
            <w:noWrap/>
            <w:vAlign w:val="center"/>
          </w:tcPr>
          <w:p w14:paraId="1C213DD4"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lastRenderedPageBreak/>
              <w:t>Scapula</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424D9F8B"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0.025618648005501087</w:t>
            </w:r>
          </w:p>
        </w:tc>
      </w:tr>
      <w:tr w:rsidR="00D1738A" w14:paraId="1018F920" w14:textId="77777777">
        <w:trPr>
          <w:trHeight w:val="270"/>
          <w:jc w:val="center"/>
        </w:trPr>
        <w:tc>
          <w:tcPr>
            <w:tcW w:w="0" w:type="auto"/>
            <w:tcBorders>
              <w:top w:val="nil"/>
              <w:left w:val="nil"/>
              <w:bottom w:val="nil"/>
              <w:right w:val="nil"/>
            </w:tcBorders>
            <w:noWrap/>
            <w:vAlign w:val="center"/>
          </w:tcPr>
          <w:p w14:paraId="74DD9DA5"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Infraspinatus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Vol</w:t>
            </w:r>
          </w:p>
        </w:tc>
        <w:tc>
          <w:tcPr>
            <w:tcW w:w="0" w:type="auto"/>
            <w:tcBorders>
              <w:top w:val="nil"/>
              <w:left w:val="nil"/>
              <w:bottom w:val="nil"/>
              <w:right w:val="nil"/>
            </w:tcBorders>
            <w:noWrap/>
            <w:vAlign w:val="center"/>
          </w:tcPr>
          <w:p w14:paraId="74F5ADC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0.027256844059356713</w:t>
            </w:r>
          </w:p>
        </w:tc>
      </w:tr>
      <w:tr w:rsidR="00D1738A" w14:paraId="016BC90B" w14:textId="77777777">
        <w:trPr>
          <w:trHeight w:val="270"/>
          <w:jc w:val="center"/>
        </w:trPr>
        <w:tc>
          <w:tcPr>
            <w:tcW w:w="0" w:type="auto"/>
            <w:tcBorders>
              <w:top w:val="nil"/>
              <w:left w:val="nil"/>
              <w:bottom w:val="nil"/>
              <w:right w:val="nil"/>
            </w:tcBorders>
            <w:noWrap/>
            <w:vAlign w:val="center"/>
          </w:tcPr>
          <w:p w14:paraId="2919F2E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Subscapularis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Contrast</w:t>
            </w:r>
          </w:p>
        </w:tc>
        <w:tc>
          <w:tcPr>
            <w:tcW w:w="0" w:type="auto"/>
            <w:tcBorders>
              <w:top w:val="nil"/>
              <w:left w:val="nil"/>
              <w:bottom w:val="nil"/>
              <w:right w:val="nil"/>
            </w:tcBorders>
            <w:noWrap/>
            <w:vAlign w:val="center"/>
          </w:tcPr>
          <w:p w14:paraId="63885D2F"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0.030324840940925184</w:t>
            </w:r>
          </w:p>
        </w:tc>
      </w:tr>
      <w:tr w:rsidR="00D1738A" w14:paraId="76EDE612" w14:textId="77777777">
        <w:trPr>
          <w:trHeight w:val="270"/>
          <w:jc w:val="center"/>
        </w:trPr>
        <w:tc>
          <w:tcPr>
            <w:tcW w:w="0" w:type="auto"/>
            <w:tcBorders>
              <w:top w:val="nil"/>
              <w:left w:val="nil"/>
              <w:bottom w:val="nil"/>
              <w:right w:val="nil"/>
            </w:tcBorders>
            <w:noWrap/>
            <w:vAlign w:val="center"/>
          </w:tcPr>
          <w:p w14:paraId="1F0C4CDE"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Subscapularis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35ED9806"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0.030750607997469516</w:t>
            </w:r>
          </w:p>
        </w:tc>
      </w:tr>
      <w:tr w:rsidR="00D1738A" w14:paraId="2DADBE31" w14:textId="77777777">
        <w:trPr>
          <w:trHeight w:val="270"/>
          <w:jc w:val="center"/>
        </w:trPr>
        <w:tc>
          <w:tcPr>
            <w:tcW w:w="0" w:type="auto"/>
            <w:tcBorders>
              <w:top w:val="nil"/>
              <w:left w:val="nil"/>
              <w:bottom w:val="nil"/>
              <w:right w:val="nil"/>
            </w:tcBorders>
            <w:noWrap/>
            <w:vAlign w:val="center"/>
          </w:tcPr>
          <w:p w14:paraId="1FA0386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T1</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60A1790C"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0.03431816818772894</w:t>
            </w:r>
          </w:p>
        </w:tc>
      </w:tr>
      <w:tr w:rsidR="00D1738A" w14:paraId="2F106A4A" w14:textId="77777777">
        <w:trPr>
          <w:trHeight w:val="270"/>
          <w:jc w:val="center"/>
        </w:trPr>
        <w:tc>
          <w:tcPr>
            <w:tcW w:w="0" w:type="auto"/>
            <w:tcBorders>
              <w:top w:val="nil"/>
              <w:left w:val="nil"/>
              <w:bottom w:val="nil"/>
              <w:right w:val="nil"/>
            </w:tcBorders>
            <w:noWrap/>
            <w:vAlign w:val="center"/>
          </w:tcPr>
          <w:p w14:paraId="7D6628C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Pec</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Minor</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533839DB"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0.04318064534035727</w:t>
            </w:r>
          </w:p>
        </w:tc>
      </w:tr>
      <w:tr w:rsidR="00D1738A" w14:paraId="7C3A285B" w14:textId="77777777">
        <w:trPr>
          <w:trHeight w:val="270"/>
          <w:jc w:val="center"/>
        </w:trPr>
        <w:tc>
          <w:tcPr>
            <w:tcW w:w="0" w:type="auto"/>
            <w:tcBorders>
              <w:top w:val="nil"/>
              <w:left w:val="nil"/>
              <w:bottom w:val="nil"/>
              <w:right w:val="nil"/>
            </w:tcBorders>
            <w:noWrap/>
            <w:vAlign w:val="center"/>
          </w:tcPr>
          <w:p w14:paraId="23CA69A8"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Trapezius</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HU</w:t>
            </w:r>
          </w:p>
        </w:tc>
        <w:tc>
          <w:tcPr>
            <w:tcW w:w="0" w:type="auto"/>
            <w:tcBorders>
              <w:top w:val="nil"/>
              <w:left w:val="nil"/>
              <w:bottom w:val="nil"/>
              <w:right w:val="nil"/>
            </w:tcBorders>
            <w:noWrap/>
            <w:vAlign w:val="center"/>
          </w:tcPr>
          <w:p w14:paraId="27442487"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0.046500866372542755</w:t>
            </w:r>
          </w:p>
        </w:tc>
      </w:tr>
      <w:tr w:rsidR="00D1738A" w14:paraId="66734677" w14:textId="77777777">
        <w:trPr>
          <w:trHeight w:val="270"/>
          <w:jc w:val="center"/>
        </w:trPr>
        <w:tc>
          <w:tcPr>
            <w:tcW w:w="0" w:type="auto"/>
            <w:tcBorders>
              <w:top w:val="nil"/>
              <w:left w:val="nil"/>
              <w:bottom w:val="nil"/>
              <w:right w:val="nil"/>
            </w:tcBorders>
            <w:noWrap/>
            <w:vAlign w:val="center"/>
          </w:tcPr>
          <w:p w14:paraId="5E2B18AD"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Vertebrae</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C7</w:t>
            </w:r>
            <w:r>
              <w:rPr>
                <w:rFonts w:ascii="Arial" w:eastAsia="宋体" w:hAnsi="Arial" w:cs="Arial" w:hint="eastAsia"/>
                <w:b/>
                <w:bCs/>
                <w:color w:val="000000"/>
                <w:sz w:val="22"/>
                <w:szCs w:val="22"/>
                <w:lang w:bidi="ar"/>
              </w:rPr>
              <w:t xml:space="preserve"> </w:t>
            </w:r>
            <w:r>
              <w:rPr>
                <w:rFonts w:ascii="Arial" w:eastAsia="宋体" w:hAnsi="Arial" w:cs="Arial"/>
                <w:b/>
                <w:bCs/>
                <w:color w:val="000000"/>
                <w:sz w:val="22"/>
                <w:szCs w:val="22"/>
                <w:lang w:bidi="ar"/>
              </w:rPr>
              <w:t>MaxCSA</w:t>
            </w:r>
          </w:p>
        </w:tc>
        <w:tc>
          <w:tcPr>
            <w:tcW w:w="0" w:type="auto"/>
            <w:tcBorders>
              <w:top w:val="nil"/>
              <w:left w:val="nil"/>
              <w:bottom w:val="nil"/>
              <w:right w:val="nil"/>
            </w:tcBorders>
            <w:noWrap/>
            <w:vAlign w:val="center"/>
          </w:tcPr>
          <w:p w14:paraId="365E9B29" w14:textId="77777777" w:rsidR="00D1738A" w:rsidRDefault="00000000">
            <w:pPr>
              <w:widowControl/>
              <w:jc w:val="left"/>
              <w:textAlignment w:val="center"/>
              <w:rPr>
                <w:rFonts w:ascii="Arial" w:eastAsia="宋体" w:hAnsi="Arial" w:cs="Arial"/>
                <w:b/>
                <w:bCs/>
                <w:color w:val="000000"/>
                <w:sz w:val="22"/>
                <w:szCs w:val="22"/>
              </w:rPr>
            </w:pPr>
            <w:r>
              <w:rPr>
                <w:rFonts w:ascii="Arial" w:eastAsia="宋体" w:hAnsi="Arial" w:cs="Arial"/>
                <w:b/>
                <w:bCs/>
                <w:color w:val="000000"/>
                <w:sz w:val="22"/>
                <w:szCs w:val="22"/>
                <w:lang w:bidi="ar"/>
              </w:rPr>
              <w:t>0.049272630508667994</w:t>
            </w:r>
          </w:p>
        </w:tc>
      </w:tr>
      <w:tr w:rsidR="00D1738A" w14:paraId="0D323C9B" w14:textId="77777777">
        <w:trPr>
          <w:trHeight w:val="270"/>
          <w:jc w:val="center"/>
        </w:trPr>
        <w:tc>
          <w:tcPr>
            <w:tcW w:w="0" w:type="auto"/>
            <w:tcBorders>
              <w:top w:val="nil"/>
              <w:left w:val="nil"/>
              <w:bottom w:val="nil"/>
              <w:right w:val="nil"/>
            </w:tcBorders>
            <w:noWrap/>
            <w:vAlign w:val="center"/>
          </w:tcPr>
          <w:p w14:paraId="6F632383"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Humerus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Entropy</w:t>
            </w:r>
          </w:p>
        </w:tc>
        <w:tc>
          <w:tcPr>
            <w:tcW w:w="0" w:type="auto"/>
            <w:tcBorders>
              <w:top w:val="nil"/>
              <w:left w:val="nil"/>
              <w:bottom w:val="nil"/>
              <w:right w:val="nil"/>
            </w:tcBorders>
            <w:noWrap/>
            <w:vAlign w:val="center"/>
          </w:tcPr>
          <w:p w14:paraId="49564217"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0.05549212078566696</w:t>
            </w:r>
          </w:p>
        </w:tc>
      </w:tr>
      <w:tr w:rsidR="00D1738A" w14:paraId="6C0D909F" w14:textId="77777777">
        <w:trPr>
          <w:trHeight w:val="270"/>
          <w:jc w:val="center"/>
        </w:trPr>
        <w:tc>
          <w:tcPr>
            <w:tcW w:w="0" w:type="auto"/>
            <w:tcBorders>
              <w:top w:val="nil"/>
              <w:left w:val="nil"/>
              <w:bottom w:val="nil"/>
              <w:right w:val="nil"/>
            </w:tcBorders>
            <w:noWrap/>
            <w:vAlign w:val="center"/>
          </w:tcPr>
          <w:p w14:paraId="5B4BCE63"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Trapezius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Vol</w:t>
            </w:r>
          </w:p>
        </w:tc>
        <w:tc>
          <w:tcPr>
            <w:tcW w:w="0" w:type="auto"/>
            <w:tcBorders>
              <w:top w:val="nil"/>
              <w:left w:val="nil"/>
              <w:bottom w:val="nil"/>
              <w:right w:val="nil"/>
            </w:tcBorders>
            <w:noWrap/>
            <w:vAlign w:val="center"/>
          </w:tcPr>
          <w:p w14:paraId="0639A221"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0.06964390473029353</w:t>
            </w:r>
          </w:p>
        </w:tc>
      </w:tr>
      <w:tr w:rsidR="00D1738A" w14:paraId="14614F3B" w14:textId="77777777">
        <w:trPr>
          <w:trHeight w:val="270"/>
          <w:jc w:val="center"/>
        </w:trPr>
        <w:tc>
          <w:tcPr>
            <w:tcW w:w="0" w:type="auto"/>
            <w:tcBorders>
              <w:top w:val="nil"/>
              <w:left w:val="nil"/>
              <w:bottom w:val="nil"/>
              <w:right w:val="nil"/>
            </w:tcBorders>
            <w:noWrap/>
            <w:vAlign w:val="center"/>
          </w:tcPr>
          <w:p w14:paraId="5F720C4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Teres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Major</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MaxCSA</w:t>
            </w:r>
          </w:p>
        </w:tc>
        <w:tc>
          <w:tcPr>
            <w:tcW w:w="0" w:type="auto"/>
            <w:tcBorders>
              <w:top w:val="nil"/>
              <w:left w:val="nil"/>
              <w:bottom w:val="nil"/>
              <w:right w:val="nil"/>
            </w:tcBorders>
            <w:noWrap/>
            <w:vAlign w:val="center"/>
          </w:tcPr>
          <w:p w14:paraId="354E3558"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0.07290498931741617</w:t>
            </w:r>
          </w:p>
        </w:tc>
      </w:tr>
      <w:tr w:rsidR="00D1738A" w14:paraId="5DB8E59B" w14:textId="77777777">
        <w:trPr>
          <w:trHeight w:val="270"/>
          <w:jc w:val="center"/>
        </w:trPr>
        <w:tc>
          <w:tcPr>
            <w:tcW w:w="0" w:type="auto"/>
            <w:tcBorders>
              <w:top w:val="nil"/>
              <w:left w:val="nil"/>
              <w:bottom w:val="nil"/>
              <w:right w:val="nil"/>
            </w:tcBorders>
            <w:noWrap/>
            <w:vAlign w:val="center"/>
          </w:tcPr>
          <w:p w14:paraId="7429513D"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Latissimus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Vol</w:t>
            </w:r>
          </w:p>
        </w:tc>
        <w:tc>
          <w:tcPr>
            <w:tcW w:w="0" w:type="auto"/>
            <w:tcBorders>
              <w:top w:val="nil"/>
              <w:left w:val="nil"/>
              <w:bottom w:val="nil"/>
              <w:right w:val="nil"/>
            </w:tcBorders>
            <w:noWrap/>
            <w:vAlign w:val="center"/>
          </w:tcPr>
          <w:p w14:paraId="701E83F3"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0.1385140206702539</w:t>
            </w:r>
          </w:p>
        </w:tc>
      </w:tr>
      <w:tr w:rsidR="00D1738A" w14:paraId="53B53977" w14:textId="77777777">
        <w:trPr>
          <w:trHeight w:val="270"/>
          <w:jc w:val="center"/>
        </w:trPr>
        <w:tc>
          <w:tcPr>
            <w:tcW w:w="0" w:type="auto"/>
            <w:tcBorders>
              <w:top w:val="nil"/>
              <w:left w:val="nil"/>
              <w:bottom w:val="nil"/>
              <w:right w:val="nil"/>
            </w:tcBorders>
            <w:noWrap/>
            <w:vAlign w:val="center"/>
          </w:tcPr>
          <w:p w14:paraId="194D4D8B"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Subscapularis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Vol</w:t>
            </w:r>
          </w:p>
        </w:tc>
        <w:tc>
          <w:tcPr>
            <w:tcW w:w="0" w:type="auto"/>
            <w:tcBorders>
              <w:top w:val="nil"/>
              <w:left w:val="nil"/>
              <w:bottom w:val="nil"/>
              <w:right w:val="nil"/>
            </w:tcBorders>
            <w:noWrap/>
            <w:vAlign w:val="center"/>
          </w:tcPr>
          <w:p w14:paraId="45A485FE"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0.19911672610391695</w:t>
            </w:r>
          </w:p>
        </w:tc>
      </w:tr>
      <w:tr w:rsidR="00D1738A" w14:paraId="5B3E26B4" w14:textId="77777777">
        <w:trPr>
          <w:trHeight w:val="270"/>
          <w:jc w:val="center"/>
        </w:trPr>
        <w:tc>
          <w:tcPr>
            <w:tcW w:w="0" w:type="auto"/>
            <w:tcBorders>
              <w:top w:val="nil"/>
              <w:left w:val="nil"/>
              <w:bottom w:val="nil"/>
              <w:right w:val="nil"/>
            </w:tcBorders>
            <w:noWrap/>
            <w:vAlign w:val="center"/>
          </w:tcPr>
          <w:p w14:paraId="6A6A5C0D"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Teres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Major</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Vol</w:t>
            </w:r>
          </w:p>
        </w:tc>
        <w:tc>
          <w:tcPr>
            <w:tcW w:w="0" w:type="auto"/>
            <w:tcBorders>
              <w:top w:val="nil"/>
              <w:left w:val="nil"/>
              <w:bottom w:val="nil"/>
              <w:right w:val="nil"/>
            </w:tcBorders>
            <w:noWrap/>
            <w:vAlign w:val="center"/>
          </w:tcPr>
          <w:p w14:paraId="0D5A460D"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0.22823252837399544</w:t>
            </w:r>
          </w:p>
        </w:tc>
      </w:tr>
      <w:tr w:rsidR="00D1738A" w14:paraId="56D5DAAE" w14:textId="77777777">
        <w:trPr>
          <w:trHeight w:val="270"/>
          <w:jc w:val="center"/>
        </w:trPr>
        <w:tc>
          <w:tcPr>
            <w:tcW w:w="0" w:type="auto"/>
            <w:tcBorders>
              <w:top w:val="nil"/>
              <w:left w:val="nil"/>
              <w:bottom w:val="nil"/>
              <w:right w:val="nil"/>
            </w:tcBorders>
            <w:noWrap/>
            <w:vAlign w:val="center"/>
          </w:tcPr>
          <w:p w14:paraId="7A5FBA41"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Trapezius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Contrast</w:t>
            </w:r>
          </w:p>
        </w:tc>
        <w:tc>
          <w:tcPr>
            <w:tcW w:w="0" w:type="auto"/>
            <w:tcBorders>
              <w:top w:val="nil"/>
              <w:left w:val="nil"/>
              <w:bottom w:val="nil"/>
              <w:right w:val="nil"/>
            </w:tcBorders>
            <w:noWrap/>
            <w:vAlign w:val="center"/>
          </w:tcPr>
          <w:p w14:paraId="45793AE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0.4228546294972968</w:t>
            </w:r>
          </w:p>
        </w:tc>
      </w:tr>
      <w:tr w:rsidR="00D1738A" w14:paraId="68D0D760" w14:textId="77777777">
        <w:trPr>
          <w:trHeight w:val="270"/>
          <w:jc w:val="center"/>
        </w:trPr>
        <w:tc>
          <w:tcPr>
            <w:tcW w:w="0" w:type="auto"/>
            <w:tcBorders>
              <w:top w:val="nil"/>
              <w:left w:val="nil"/>
              <w:bottom w:val="nil"/>
              <w:right w:val="nil"/>
            </w:tcBorders>
            <w:noWrap/>
            <w:vAlign w:val="center"/>
          </w:tcPr>
          <w:p w14:paraId="65331D7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Pec</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Major</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Vol</w:t>
            </w:r>
          </w:p>
        </w:tc>
        <w:tc>
          <w:tcPr>
            <w:tcW w:w="0" w:type="auto"/>
            <w:tcBorders>
              <w:top w:val="nil"/>
              <w:left w:val="nil"/>
              <w:bottom w:val="nil"/>
              <w:right w:val="nil"/>
            </w:tcBorders>
            <w:noWrap/>
            <w:vAlign w:val="center"/>
          </w:tcPr>
          <w:p w14:paraId="74FEAA1C"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0.43332433110762514</w:t>
            </w:r>
          </w:p>
        </w:tc>
      </w:tr>
      <w:tr w:rsidR="00D1738A" w14:paraId="0FEFC302" w14:textId="77777777">
        <w:trPr>
          <w:trHeight w:val="270"/>
          <w:jc w:val="center"/>
        </w:trPr>
        <w:tc>
          <w:tcPr>
            <w:tcW w:w="0" w:type="auto"/>
            <w:tcBorders>
              <w:top w:val="nil"/>
              <w:left w:val="nil"/>
              <w:bottom w:val="nil"/>
              <w:right w:val="nil"/>
            </w:tcBorders>
            <w:noWrap/>
            <w:vAlign w:val="center"/>
          </w:tcPr>
          <w:p w14:paraId="2EE36A9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bmi</w:t>
            </w:r>
          </w:p>
        </w:tc>
        <w:tc>
          <w:tcPr>
            <w:tcW w:w="0" w:type="auto"/>
            <w:tcBorders>
              <w:top w:val="nil"/>
              <w:left w:val="nil"/>
              <w:bottom w:val="nil"/>
              <w:right w:val="nil"/>
            </w:tcBorders>
            <w:noWrap/>
            <w:vAlign w:val="center"/>
          </w:tcPr>
          <w:p w14:paraId="657D388F"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0.4366021840461748</w:t>
            </w:r>
          </w:p>
        </w:tc>
      </w:tr>
      <w:tr w:rsidR="00D1738A" w14:paraId="144A69EC" w14:textId="77777777">
        <w:trPr>
          <w:trHeight w:val="270"/>
          <w:jc w:val="center"/>
        </w:trPr>
        <w:tc>
          <w:tcPr>
            <w:tcW w:w="0" w:type="auto"/>
            <w:tcBorders>
              <w:top w:val="nil"/>
              <w:left w:val="nil"/>
              <w:bottom w:val="nil"/>
              <w:right w:val="nil"/>
            </w:tcBorders>
            <w:noWrap/>
            <w:vAlign w:val="center"/>
          </w:tcPr>
          <w:p w14:paraId="7C18DD45"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Latissimus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MaxCSA</w:t>
            </w:r>
          </w:p>
        </w:tc>
        <w:tc>
          <w:tcPr>
            <w:tcW w:w="0" w:type="auto"/>
            <w:tcBorders>
              <w:top w:val="nil"/>
              <w:left w:val="nil"/>
              <w:bottom w:val="nil"/>
              <w:right w:val="nil"/>
            </w:tcBorders>
            <w:noWrap/>
            <w:vAlign w:val="center"/>
          </w:tcPr>
          <w:p w14:paraId="60ED8D16"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0.5089988496641487</w:t>
            </w:r>
          </w:p>
        </w:tc>
      </w:tr>
      <w:tr w:rsidR="00D1738A" w14:paraId="6364DBC5" w14:textId="77777777">
        <w:trPr>
          <w:trHeight w:val="270"/>
          <w:jc w:val="center"/>
        </w:trPr>
        <w:tc>
          <w:tcPr>
            <w:tcW w:w="0" w:type="auto"/>
            <w:tcBorders>
              <w:top w:val="nil"/>
              <w:left w:val="nil"/>
              <w:bottom w:val="nil"/>
              <w:right w:val="nil"/>
            </w:tcBorders>
            <w:noWrap/>
            <w:vAlign w:val="center"/>
          </w:tcPr>
          <w:p w14:paraId="05CE4FEA"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weight</w:t>
            </w:r>
          </w:p>
        </w:tc>
        <w:tc>
          <w:tcPr>
            <w:tcW w:w="0" w:type="auto"/>
            <w:tcBorders>
              <w:top w:val="nil"/>
              <w:left w:val="nil"/>
              <w:bottom w:val="nil"/>
              <w:right w:val="nil"/>
            </w:tcBorders>
            <w:noWrap/>
            <w:vAlign w:val="center"/>
          </w:tcPr>
          <w:p w14:paraId="56DC7AEE"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0.5923605591446253</w:t>
            </w:r>
          </w:p>
        </w:tc>
      </w:tr>
      <w:tr w:rsidR="00D1738A" w14:paraId="3CCB71E8" w14:textId="77777777">
        <w:trPr>
          <w:trHeight w:val="270"/>
          <w:jc w:val="center"/>
        </w:trPr>
        <w:tc>
          <w:tcPr>
            <w:tcW w:w="0" w:type="auto"/>
            <w:tcBorders>
              <w:top w:val="nil"/>
              <w:left w:val="nil"/>
              <w:bottom w:val="nil"/>
              <w:right w:val="nil"/>
            </w:tcBorders>
            <w:noWrap/>
            <w:vAlign w:val="center"/>
          </w:tcPr>
          <w:p w14:paraId="2F4FF034"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Infraspinatus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Contrast</w:t>
            </w:r>
          </w:p>
        </w:tc>
        <w:tc>
          <w:tcPr>
            <w:tcW w:w="0" w:type="auto"/>
            <w:tcBorders>
              <w:top w:val="nil"/>
              <w:left w:val="nil"/>
              <w:bottom w:val="nil"/>
              <w:right w:val="nil"/>
            </w:tcBorders>
            <w:noWrap/>
            <w:vAlign w:val="center"/>
          </w:tcPr>
          <w:p w14:paraId="28BEDA5A"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0.6368743355585202</w:t>
            </w:r>
          </w:p>
        </w:tc>
      </w:tr>
      <w:tr w:rsidR="00D1738A" w14:paraId="19B6510B" w14:textId="77777777">
        <w:trPr>
          <w:trHeight w:val="270"/>
          <w:jc w:val="center"/>
        </w:trPr>
        <w:tc>
          <w:tcPr>
            <w:tcW w:w="0" w:type="auto"/>
            <w:tcBorders>
              <w:top w:val="nil"/>
              <w:left w:val="nil"/>
              <w:bottom w:val="nil"/>
              <w:right w:val="nil"/>
            </w:tcBorders>
            <w:noWrap/>
            <w:vAlign w:val="center"/>
          </w:tcPr>
          <w:p w14:paraId="63DDA87F"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height</w:t>
            </w:r>
          </w:p>
        </w:tc>
        <w:tc>
          <w:tcPr>
            <w:tcW w:w="0" w:type="auto"/>
            <w:tcBorders>
              <w:top w:val="nil"/>
              <w:left w:val="nil"/>
              <w:bottom w:val="nil"/>
              <w:right w:val="nil"/>
            </w:tcBorders>
            <w:noWrap/>
            <w:vAlign w:val="center"/>
          </w:tcPr>
          <w:p w14:paraId="4995FA76"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0.6793793683709011</w:t>
            </w:r>
          </w:p>
        </w:tc>
      </w:tr>
      <w:tr w:rsidR="00D1738A" w14:paraId="6354FEFB" w14:textId="77777777">
        <w:trPr>
          <w:trHeight w:val="270"/>
          <w:jc w:val="center"/>
        </w:trPr>
        <w:tc>
          <w:tcPr>
            <w:tcW w:w="0" w:type="auto"/>
            <w:tcBorders>
              <w:top w:val="nil"/>
              <w:left w:val="nil"/>
              <w:bottom w:val="nil"/>
              <w:right w:val="nil"/>
            </w:tcBorders>
            <w:noWrap/>
            <w:vAlign w:val="center"/>
          </w:tcPr>
          <w:p w14:paraId="024FD41D"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Trapezius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MaxCSA</w:t>
            </w:r>
          </w:p>
        </w:tc>
        <w:tc>
          <w:tcPr>
            <w:tcW w:w="0" w:type="auto"/>
            <w:tcBorders>
              <w:top w:val="nil"/>
              <w:left w:val="nil"/>
              <w:bottom w:val="nil"/>
              <w:right w:val="nil"/>
            </w:tcBorders>
            <w:noWrap/>
            <w:vAlign w:val="center"/>
          </w:tcPr>
          <w:p w14:paraId="4B890A17"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0.6979173454016372</w:t>
            </w:r>
          </w:p>
        </w:tc>
      </w:tr>
      <w:tr w:rsidR="00D1738A" w14:paraId="6D5A1C6D" w14:textId="77777777">
        <w:trPr>
          <w:trHeight w:val="270"/>
          <w:jc w:val="center"/>
        </w:trPr>
        <w:tc>
          <w:tcPr>
            <w:tcW w:w="0" w:type="auto"/>
            <w:tcBorders>
              <w:top w:val="nil"/>
              <w:left w:val="nil"/>
              <w:bottom w:val="nil"/>
              <w:right w:val="nil"/>
            </w:tcBorders>
            <w:noWrap/>
            <w:vAlign w:val="center"/>
          </w:tcPr>
          <w:p w14:paraId="4EC6BFDF"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Pec</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Major</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MaxCSA</w:t>
            </w:r>
          </w:p>
        </w:tc>
        <w:tc>
          <w:tcPr>
            <w:tcW w:w="0" w:type="auto"/>
            <w:tcBorders>
              <w:top w:val="nil"/>
              <w:left w:val="nil"/>
              <w:bottom w:val="nil"/>
              <w:right w:val="nil"/>
            </w:tcBorders>
            <w:noWrap/>
            <w:vAlign w:val="center"/>
          </w:tcPr>
          <w:p w14:paraId="39BB9BF0"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0.7010858020553086</w:t>
            </w:r>
          </w:p>
        </w:tc>
      </w:tr>
      <w:tr w:rsidR="00D1738A" w14:paraId="7D7109BE" w14:textId="77777777">
        <w:trPr>
          <w:trHeight w:val="270"/>
          <w:jc w:val="center"/>
        </w:trPr>
        <w:tc>
          <w:tcPr>
            <w:tcW w:w="0" w:type="auto"/>
            <w:tcBorders>
              <w:top w:val="nil"/>
              <w:left w:val="nil"/>
              <w:bottom w:val="nil"/>
              <w:right w:val="nil"/>
            </w:tcBorders>
            <w:noWrap/>
            <w:vAlign w:val="center"/>
          </w:tcPr>
          <w:p w14:paraId="3501846C"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Infraspinatus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Entropy</w:t>
            </w:r>
          </w:p>
        </w:tc>
        <w:tc>
          <w:tcPr>
            <w:tcW w:w="0" w:type="auto"/>
            <w:tcBorders>
              <w:top w:val="nil"/>
              <w:left w:val="nil"/>
              <w:bottom w:val="nil"/>
              <w:right w:val="nil"/>
            </w:tcBorders>
            <w:noWrap/>
            <w:vAlign w:val="center"/>
          </w:tcPr>
          <w:p w14:paraId="164202C5"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0.8015336957923089</w:t>
            </w:r>
          </w:p>
        </w:tc>
      </w:tr>
      <w:tr w:rsidR="00D1738A" w14:paraId="44A96033" w14:textId="77777777">
        <w:trPr>
          <w:trHeight w:val="270"/>
          <w:jc w:val="center"/>
        </w:trPr>
        <w:tc>
          <w:tcPr>
            <w:tcW w:w="0" w:type="auto"/>
            <w:tcBorders>
              <w:top w:val="nil"/>
              <w:left w:val="nil"/>
              <w:bottom w:val="nil"/>
              <w:right w:val="nil"/>
            </w:tcBorders>
            <w:noWrap/>
            <w:vAlign w:val="center"/>
          </w:tcPr>
          <w:p w14:paraId="748FB77B"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Subscapularis</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Entropy</w:t>
            </w:r>
          </w:p>
        </w:tc>
        <w:tc>
          <w:tcPr>
            <w:tcW w:w="0" w:type="auto"/>
            <w:tcBorders>
              <w:top w:val="nil"/>
              <w:left w:val="nil"/>
              <w:bottom w:val="nil"/>
              <w:right w:val="nil"/>
            </w:tcBorders>
            <w:noWrap/>
            <w:vAlign w:val="center"/>
          </w:tcPr>
          <w:p w14:paraId="487ED475"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0.8035577409820743</w:t>
            </w:r>
          </w:p>
        </w:tc>
      </w:tr>
      <w:tr w:rsidR="00D1738A" w14:paraId="71874AB0" w14:textId="77777777">
        <w:trPr>
          <w:trHeight w:val="270"/>
          <w:jc w:val="center"/>
        </w:trPr>
        <w:tc>
          <w:tcPr>
            <w:tcW w:w="0" w:type="auto"/>
            <w:tcBorders>
              <w:top w:val="nil"/>
              <w:left w:val="nil"/>
              <w:bottom w:val="nil"/>
              <w:right w:val="nil"/>
            </w:tcBorders>
            <w:noWrap/>
            <w:vAlign w:val="center"/>
          </w:tcPr>
          <w:p w14:paraId="30DC5A3F"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age</w:t>
            </w:r>
          </w:p>
        </w:tc>
        <w:tc>
          <w:tcPr>
            <w:tcW w:w="0" w:type="auto"/>
            <w:tcBorders>
              <w:top w:val="nil"/>
              <w:left w:val="nil"/>
              <w:bottom w:val="nil"/>
              <w:right w:val="nil"/>
            </w:tcBorders>
            <w:noWrap/>
            <w:vAlign w:val="center"/>
          </w:tcPr>
          <w:p w14:paraId="107EF4F0"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0.9227767781972296</w:t>
            </w:r>
          </w:p>
        </w:tc>
      </w:tr>
      <w:tr w:rsidR="00D1738A" w14:paraId="629ADA1E" w14:textId="77777777">
        <w:trPr>
          <w:trHeight w:val="270"/>
          <w:jc w:val="center"/>
        </w:trPr>
        <w:tc>
          <w:tcPr>
            <w:tcW w:w="0" w:type="auto"/>
            <w:tcBorders>
              <w:top w:val="nil"/>
              <w:left w:val="nil"/>
              <w:bottom w:val="nil"/>
              <w:right w:val="nil"/>
            </w:tcBorders>
            <w:noWrap/>
            <w:vAlign w:val="center"/>
          </w:tcPr>
          <w:p w14:paraId="6E494848"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Deltoid</w:t>
            </w:r>
            <w:r>
              <w:rPr>
                <w:rFonts w:ascii="Arial" w:eastAsia="宋体" w:hAnsi="Arial" w:cs="Arial" w:hint="eastAsia"/>
                <w:color w:val="000000"/>
                <w:sz w:val="22"/>
                <w:szCs w:val="22"/>
                <w:lang w:bidi="ar"/>
              </w:rPr>
              <w:t xml:space="preserve"> </w:t>
            </w:r>
            <w:r>
              <w:rPr>
                <w:rFonts w:ascii="Arial" w:eastAsia="宋体" w:hAnsi="Arial" w:cs="Arial"/>
                <w:color w:val="000000"/>
                <w:sz w:val="22"/>
                <w:szCs w:val="22"/>
                <w:lang w:bidi="ar"/>
              </w:rPr>
              <w:t>Contrast</w:t>
            </w:r>
          </w:p>
        </w:tc>
        <w:tc>
          <w:tcPr>
            <w:tcW w:w="0" w:type="auto"/>
            <w:tcBorders>
              <w:top w:val="nil"/>
              <w:left w:val="nil"/>
              <w:bottom w:val="nil"/>
              <w:right w:val="nil"/>
            </w:tcBorders>
            <w:noWrap/>
            <w:vAlign w:val="center"/>
          </w:tcPr>
          <w:p w14:paraId="0C66E639" w14:textId="77777777" w:rsidR="00D1738A" w:rsidRDefault="00000000">
            <w:pPr>
              <w:widowControl/>
              <w:jc w:val="left"/>
              <w:textAlignment w:val="center"/>
              <w:rPr>
                <w:rFonts w:ascii="Arial" w:eastAsia="宋体" w:hAnsi="Arial" w:cs="Arial"/>
                <w:color w:val="000000"/>
                <w:sz w:val="22"/>
                <w:szCs w:val="22"/>
              </w:rPr>
            </w:pPr>
            <w:r>
              <w:rPr>
                <w:rFonts w:ascii="Arial" w:eastAsia="宋体" w:hAnsi="Arial" w:cs="Arial"/>
                <w:color w:val="000000"/>
                <w:sz w:val="22"/>
                <w:szCs w:val="22"/>
                <w:lang w:bidi="ar"/>
              </w:rPr>
              <w:t>0.9442892637823839</w:t>
            </w:r>
          </w:p>
        </w:tc>
      </w:tr>
    </w:tbl>
    <w:p w14:paraId="69AEA0B0" w14:textId="77777777" w:rsidR="00D1738A" w:rsidRDefault="00D1738A">
      <w:pPr>
        <w:spacing w:line="360" w:lineRule="auto"/>
        <w:rPr>
          <w:rFonts w:ascii="Arial" w:eastAsiaTheme="minorEastAsia" w:hAnsi="Arial" w:cs="Arial"/>
          <w:b/>
          <w:bCs/>
        </w:rPr>
      </w:pPr>
    </w:p>
    <w:p w14:paraId="6B578070" w14:textId="77777777" w:rsidR="00D1738A" w:rsidRDefault="00000000">
      <w:pPr>
        <w:spacing w:line="360" w:lineRule="auto"/>
        <w:rPr>
          <w:rFonts w:ascii="Arial" w:eastAsiaTheme="minorEastAsia" w:hAnsi="Arial" w:cs="Arial"/>
        </w:rPr>
      </w:pPr>
      <w:r>
        <w:rPr>
          <w:rFonts w:ascii="Arial" w:eastAsiaTheme="minorEastAsia" w:hAnsi="Arial" w:cs="Arial" w:hint="eastAsia"/>
          <w:b/>
          <w:bCs/>
        </w:rPr>
        <w:t>Supplementary Table S2 | Statistical significance of radiomic features differentiating RCT patients from controls.</w:t>
      </w:r>
      <w:r>
        <w:rPr>
          <w:rFonts w:ascii="Arial" w:eastAsiaTheme="minorEastAsia" w:hAnsi="Arial" w:cs="Arial" w:hint="eastAsia"/>
        </w:rPr>
        <w:t xml:space="preserve"> </w:t>
      </w:r>
    </w:p>
    <w:p w14:paraId="16E7363C" w14:textId="77777777" w:rsidR="00D1738A" w:rsidRDefault="00000000">
      <w:pPr>
        <w:spacing w:line="360" w:lineRule="auto"/>
        <w:rPr>
          <w:rFonts w:ascii="Arial" w:eastAsiaTheme="minorEastAsia" w:hAnsi="Arial" w:cs="Arial"/>
        </w:rPr>
      </w:pPr>
      <w:r>
        <w:rPr>
          <w:rFonts w:ascii="Arial" w:eastAsiaTheme="minorEastAsia" w:hAnsi="Arial" w:cs="Arial" w:hint="eastAsia"/>
        </w:rPr>
        <w:t>Univariate analysis was performed to evaluate the discriminatory power of each feature. The P-value indicates the significance of the difference between the RCT and matched Control groups, derived from either Student's t-test or Mann-Whitney U test based on data distribution. The results confirm widespread differences in muscle density (HU), texture heterogeneity (Entropy, Contrast), and morphology, supporting the hypothesis of systemic musculoskeletal reorganization.</w:t>
      </w:r>
    </w:p>
    <w:p w14:paraId="3F1864DA" w14:textId="77777777" w:rsidR="00D1738A" w:rsidRDefault="00D1738A">
      <w:pPr>
        <w:spacing w:line="360" w:lineRule="auto"/>
        <w:rPr>
          <w:rFonts w:ascii="Arial" w:eastAsiaTheme="minorEastAsia" w:hAnsi="Arial" w:cs="Arial"/>
        </w:rPr>
      </w:pPr>
    </w:p>
    <w:p w14:paraId="25E1DCDC" w14:textId="77777777" w:rsidR="00D1738A" w:rsidRDefault="00D1738A">
      <w:pPr>
        <w:spacing w:line="360" w:lineRule="auto"/>
        <w:rPr>
          <w:rFonts w:ascii="Arial" w:eastAsiaTheme="minorEastAsia" w:hAnsi="Arial" w:cs="Arial"/>
        </w:rPr>
      </w:pPr>
    </w:p>
    <w:p w14:paraId="64E29958" w14:textId="77777777" w:rsidR="00D1738A" w:rsidRDefault="00D1738A">
      <w:pPr>
        <w:spacing w:line="360" w:lineRule="auto"/>
        <w:rPr>
          <w:rFonts w:ascii="Arial" w:eastAsiaTheme="minorEastAsia" w:hAnsi="Arial" w:cs="Arial"/>
        </w:rPr>
      </w:pPr>
    </w:p>
    <w:p w14:paraId="6421B25D" w14:textId="77777777" w:rsidR="00D1738A" w:rsidRDefault="00D1738A">
      <w:pPr>
        <w:spacing w:line="360" w:lineRule="auto"/>
        <w:rPr>
          <w:rFonts w:ascii="Arial" w:eastAsiaTheme="minorEastAsia" w:hAnsi="Arial" w:cs="Arial"/>
        </w:rPr>
      </w:pPr>
    </w:p>
    <w:p w14:paraId="7BC47B1D" w14:textId="77777777" w:rsidR="00D1738A" w:rsidRDefault="00D1738A">
      <w:pPr>
        <w:spacing w:line="360" w:lineRule="auto"/>
        <w:rPr>
          <w:rFonts w:ascii="Arial" w:eastAsiaTheme="minorEastAsia" w:hAnsi="Arial" w:cs="Arial"/>
        </w:rPr>
      </w:pPr>
    </w:p>
    <w:p w14:paraId="3BB405DD" w14:textId="77777777" w:rsidR="00D1738A" w:rsidRDefault="00D1738A">
      <w:pPr>
        <w:spacing w:line="360" w:lineRule="auto"/>
        <w:rPr>
          <w:rFonts w:ascii="Arial" w:eastAsiaTheme="minorEastAsia" w:hAnsi="Arial" w:cs="Arial"/>
        </w:rPr>
      </w:pPr>
    </w:p>
    <w:p w14:paraId="0451D2B8" w14:textId="77777777" w:rsidR="00D1738A" w:rsidRDefault="00000000">
      <w:pPr>
        <w:spacing w:line="360" w:lineRule="auto"/>
        <w:rPr>
          <w:rFonts w:ascii="Arial" w:eastAsiaTheme="minorEastAsia" w:hAnsi="Arial" w:cs="Arial"/>
        </w:rPr>
        <w:sectPr w:rsidR="00D1738A">
          <w:pgSz w:w="12240" w:h="15840"/>
          <w:pgMar w:top="1440" w:right="1440" w:bottom="1440" w:left="1440" w:header="708" w:footer="708" w:gutter="0"/>
          <w:cols w:space="720"/>
          <w:docGrid w:linePitch="360"/>
        </w:sectPr>
      </w:pPr>
      <w:r>
        <w:rPr>
          <w:rFonts w:ascii="Arial" w:eastAsiaTheme="minorEastAsia" w:hAnsi="Arial" w:cs="Arial" w:hint="eastAsia"/>
          <w:noProof/>
        </w:rPr>
        <w:drawing>
          <wp:inline distT="0" distB="0" distL="114300" distR="114300" wp14:anchorId="12245CD4" wp14:editId="1809F966">
            <wp:extent cx="5929630" cy="7673340"/>
            <wp:effectExtent l="0" t="0" r="4445" b="3810"/>
            <wp:docPr id="1" name="图片 1" descr="Publication License Feb-14-2026(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ublication License Feb-14-2026(1)_01"/>
                    <pic:cNvPicPr>
                      <a:picLocks noChangeAspect="1"/>
                    </pic:cNvPicPr>
                  </pic:nvPicPr>
                  <pic:blipFill>
                    <a:blip r:embed="rId21"/>
                    <a:stretch>
                      <a:fillRect/>
                    </a:stretch>
                  </pic:blipFill>
                  <pic:spPr>
                    <a:xfrm>
                      <a:off x="0" y="0"/>
                      <a:ext cx="5929630" cy="7673340"/>
                    </a:xfrm>
                    <a:prstGeom prst="rect">
                      <a:avLst/>
                    </a:prstGeom>
                  </pic:spPr>
                </pic:pic>
              </a:graphicData>
            </a:graphic>
          </wp:inline>
        </w:drawing>
      </w:r>
    </w:p>
    <w:p w14:paraId="520D91BE" w14:textId="77777777" w:rsidR="00D1738A" w:rsidRDefault="00000000">
      <w:pPr>
        <w:spacing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51B1835D" wp14:editId="2209614D">
            <wp:extent cx="5805805" cy="8211185"/>
            <wp:effectExtent l="0" t="0" r="4445" b="8890"/>
            <wp:docPr id="16" name="图片 16" descr="TRIPOD+AI checklis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RIPOD+AI checklist_01"/>
                    <pic:cNvPicPr>
                      <a:picLocks noChangeAspect="1"/>
                    </pic:cNvPicPr>
                  </pic:nvPicPr>
                  <pic:blipFill>
                    <a:blip r:embed="rId22"/>
                    <a:stretch>
                      <a:fillRect/>
                    </a:stretch>
                  </pic:blipFill>
                  <pic:spPr>
                    <a:xfrm>
                      <a:off x="0" y="0"/>
                      <a:ext cx="5805805" cy="8211185"/>
                    </a:xfrm>
                    <a:prstGeom prst="rect">
                      <a:avLst/>
                    </a:prstGeom>
                  </pic:spPr>
                </pic:pic>
              </a:graphicData>
            </a:graphic>
          </wp:inline>
        </w:drawing>
      </w:r>
    </w:p>
    <w:p w14:paraId="6D9D0900" w14:textId="3DB80B59" w:rsidR="003F5DC5" w:rsidRDefault="00000000">
      <w:pPr>
        <w:spacing w:line="360" w:lineRule="auto"/>
        <w:rPr>
          <w:rFonts w:ascii="Arial" w:eastAsiaTheme="minorEastAsia" w:hAnsi="Arial" w:cs="Arial"/>
        </w:rPr>
      </w:pPr>
      <w:r>
        <w:rPr>
          <w:rFonts w:ascii="Arial" w:eastAsiaTheme="minorEastAsia" w:hAnsi="Arial" w:cs="Arial" w:hint="eastAsia"/>
          <w:noProof/>
        </w:rPr>
        <w:lastRenderedPageBreak/>
        <w:drawing>
          <wp:inline distT="0" distB="0" distL="114300" distR="114300" wp14:anchorId="5CE68AA2" wp14:editId="13614385">
            <wp:extent cx="5805805" cy="8211185"/>
            <wp:effectExtent l="0" t="0" r="4445" b="8890"/>
            <wp:docPr id="17" name="图片 17" descr="TRIPOD+AI checklis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RIPOD+AI checklist_02"/>
                    <pic:cNvPicPr>
                      <a:picLocks noChangeAspect="1"/>
                    </pic:cNvPicPr>
                  </pic:nvPicPr>
                  <pic:blipFill>
                    <a:blip r:embed="rId23"/>
                    <a:stretch>
                      <a:fillRect/>
                    </a:stretch>
                  </pic:blipFill>
                  <pic:spPr>
                    <a:xfrm>
                      <a:off x="0" y="0"/>
                      <a:ext cx="5805805" cy="8211185"/>
                    </a:xfrm>
                    <a:prstGeom prst="rect">
                      <a:avLst/>
                    </a:prstGeom>
                  </pic:spPr>
                </pic:pic>
              </a:graphicData>
            </a:graphic>
          </wp:inline>
        </w:drawing>
      </w:r>
    </w:p>
    <w:p w14:paraId="5FD82DDB" w14:textId="434BC3ED" w:rsidR="003F5DC5" w:rsidRDefault="003F5DC5" w:rsidP="00B8099E">
      <w:pPr>
        <w:widowControl/>
        <w:jc w:val="left"/>
        <w:rPr>
          <w:rFonts w:ascii="Arial" w:hAnsi="Arial" w:cs="Arial"/>
        </w:rPr>
      </w:pPr>
      <w:r>
        <w:rPr>
          <w:rFonts w:ascii="Arial" w:eastAsiaTheme="minorEastAsia" w:hAnsi="Arial" w:cs="Arial"/>
        </w:rPr>
        <w:br w:type="page"/>
      </w:r>
      <w:r>
        <w:rPr>
          <w:rFonts w:ascii="Arial" w:hAnsi="Arial" w:cs="Arial"/>
        </w:rPr>
        <w:lastRenderedPageBreak/>
        <w:t>Reference</w:t>
      </w:r>
    </w:p>
    <w:p w14:paraId="03640EF7" w14:textId="77777777" w:rsidR="003F5DC5" w:rsidRPr="003F5DC5" w:rsidRDefault="003F5DC5" w:rsidP="003F5DC5">
      <w:pPr>
        <w:pStyle w:val="EndNoteBibliography"/>
        <w:ind w:left="720" w:hanging="720"/>
        <w:rPr>
          <w:noProof/>
        </w:rPr>
      </w:pPr>
      <w:r>
        <w:rPr>
          <w:rFonts w:ascii="Arial" w:eastAsiaTheme="minorEastAsia" w:hAnsi="Arial" w:cs="Arial"/>
        </w:rPr>
        <w:fldChar w:fldCharType="begin"/>
      </w:r>
      <w:r>
        <w:rPr>
          <w:rFonts w:ascii="Arial" w:eastAsiaTheme="minorEastAsia" w:hAnsi="Arial" w:cs="Arial"/>
        </w:rPr>
        <w:instrText xml:space="preserve"> ADDIN EN.REFLIST </w:instrText>
      </w:r>
      <w:r>
        <w:rPr>
          <w:rFonts w:ascii="Arial" w:eastAsiaTheme="minorEastAsia" w:hAnsi="Arial" w:cs="Arial"/>
        </w:rPr>
        <w:fldChar w:fldCharType="separate"/>
      </w:r>
      <w:r w:rsidRPr="003F5DC5">
        <w:rPr>
          <w:noProof/>
        </w:rPr>
        <w:t>1.</w:t>
      </w:r>
      <w:r w:rsidRPr="003F5DC5">
        <w:rPr>
          <w:noProof/>
        </w:rPr>
        <w:tab/>
        <w:t>Ilse, M., Tomczak, J. &amp; Welling, M. in International conference on machine learning 2127-2136 (PMLR, 2018).</w:t>
      </w:r>
    </w:p>
    <w:p w14:paraId="309EDC7E" w14:textId="77777777" w:rsidR="003F5DC5" w:rsidRPr="003F5DC5" w:rsidRDefault="003F5DC5" w:rsidP="003F5DC5">
      <w:pPr>
        <w:pStyle w:val="EndNoteBibliography"/>
        <w:ind w:left="720" w:hanging="720"/>
        <w:rPr>
          <w:noProof/>
        </w:rPr>
      </w:pPr>
      <w:r w:rsidRPr="003F5DC5">
        <w:rPr>
          <w:noProof/>
        </w:rPr>
        <w:t>2.</w:t>
      </w:r>
      <w:r w:rsidRPr="003F5DC5">
        <w:rPr>
          <w:noProof/>
        </w:rPr>
        <w:tab/>
        <w:t xml:space="preserve">van Griethuysen, J.J.M. et al. Computational radiomics system to decode the radiographic phenotype. </w:t>
      </w:r>
      <w:r w:rsidRPr="003F5DC5">
        <w:rPr>
          <w:i/>
          <w:noProof/>
        </w:rPr>
        <w:t>Cancer Res</w:t>
      </w:r>
      <w:r w:rsidRPr="003F5DC5">
        <w:rPr>
          <w:noProof/>
        </w:rPr>
        <w:t xml:space="preserve"> </w:t>
      </w:r>
      <w:r w:rsidRPr="003F5DC5">
        <w:rPr>
          <w:b/>
          <w:noProof/>
        </w:rPr>
        <w:t>77</w:t>
      </w:r>
      <w:r w:rsidRPr="003F5DC5">
        <w:rPr>
          <w:noProof/>
        </w:rPr>
        <w:t>, e104-e107 (2017).</w:t>
      </w:r>
    </w:p>
    <w:p w14:paraId="597DA18B" w14:textId="77777777" w:rsidR="003F5DC5" w:rsidRPr="003F5DC5" w:rsidRDefault="003F5DC5" w:rsidP="003F5DC5">
      <w:pPr>
        <w:pStyle w:val="EndNoteBibliography"/>
        <w:ind w:left="720" w:hanging="720"/>
        <w:rPr>
          <w:noProof/>
        </w:rPr>
      </w:pPr>
      <w:r w:rsidRPr="003F5DC5">
        <w:rPr>
          <w:noProof/>
        </w:rPr>
        <w:t>3.</w:t>
      </w:r>
      <w:r w:rsidRPr="003F5DC5">
        <w:rPr>
          <w:noProof/>
        </w:rPr>
        <w:tab/>
        <w:t xml:space="preserve">Fortin, J.P. et al. Harmonization of cortical thickness measurements across scanners and sites. </w:t>
      </w:r>
      <w:r w:rsidRPr="003F5DC5">
        <w:rPr>
          <w:i/>
          <w:noProof/>
        </w:rPr>
        <w:t>Neuroimage</w:t>
      </w:r>
      <w:r w:rsidRPr="003F5DC5">
        <w:rPr>
          <w:noProof/>
        </w:rPr>
        <w:t xml:space="preserve"> </w:t>
      </w:r>
      <w:r w:rsidRPr="003F5DC5">
        <w:rPr>
          <w:b/>
          <w:noProof/>
        </w:rPr>
        <w:t>167</w:t>
      </w:r>
      <w:r w:rsidRPr="003F5DC5">
        <w:rPr>
          <w:noProof/>
        </w:rPr>
        <w:t>, 104-120 (2018).</w:t>
      </w:r>
    </w:p>
    <w:p w14:paraId="43AB2E2F" w14:textId="77777777" w:rsidR="003F5DC5" w:rsidRPr="003F5DC5" w:rsidRDefault="003F5DC5" w:rsidP="003F5DC5">
      <w:pPr>
        <w:pStyle w:val="EndNoteBibliography"/>
        <w:ind w:left="720" w:hanging="720"/>
        <w:rPr>
          <w:noProof/>
        </w:rPr>
      </w:pPr>
      <w:r w:rsidRPr="003F5DC5">
        <w:rPr>
          <w:noProof/>
        </w:rPr>
        <w:t>4.</w:t>
      </w:r>
      <w:r w:rsidRPr="003F5DC5">
        <w:rPr>
          <w:noProof/>
        </w:rPr>
        <w:tab/>
        <w:t>Lundberg, S.M. &amp; Lee, S.-I. in Proceedings of the 31st International Conference on Neural Information Processing Systems 4768–4777 (Curran Associates Inc., Long Beach, California, USA; 2017).</w:t>
      </w:r>
    </w:p>
    <w:p w14:paraId="19178F01" w14:textId="77777777" w:rsidR="003F5DC5" w:rsidRPr="003F5DC5" w:rsidRDefault="003F5DC5" w:rsidP="003F5DC5">
      <w:pPr>
        <w:pStyle w:val="EndNoteBibliography"/>
        <w:ind w:left="720" w:hanging="720"/>
        <w:rPr>
          <w:noProof/>
        </w:rPr>
      </w:pPr>
      <w:r w:rsidRPr="003F5DC5">
        <w:rPr>
          <w:noProof/>
        </w:rPr>
        <w:t>5.</w:t>
      </w:r>
      <w:r w:rsidRPr="003F5DC5">
        <w:rPr>
          <w:noProof/>
        </w:rPr>
        <w:tab/>
        <w:t>Barkan, O. et al. in Proceedings of the 30th ACM International Conference on Information &amp; Knowledge Management 2882-2887 (2021).</w:t>
      </w:r>
    </w:p>
    <w:p w14:paraId="54E70502" w14:textId="37D5C93E" w:rsidR="00D1738A" w:rsidRDefault="003F5DC5" w:rsidP="003F5DC5">
      <w:pPr>
        <w:spacing w:line="360" w:lineRule="auto"/>
        <w:rPr>
          <w:rFonts w:ascii="Arial" w:eastAsiaTheme="minorEastAsia" w:hAnsi="Arial" w:cs="Arial"/>
        </w:rPr>
      </w:pPr>
      <w:r>
        <w:rPr>
          <w:rFonts w:ascii="Arial" w:eastAsiaTheme="minorEastAsia" w:hAnsi="Arial" w:cs="Arial"/>
        </w:rPr>
        <w:fldChar w:fldCharType="end"/>
      </w:r>
    </w:p>
    <w:sectPr w:rsidR="00D1738A">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modern"/>
    <w:pitch w:val="default"/>
    <w:sig w:usb0="E0002EFF" w:usb1="C0007843" w:usb2="00000009" w:usb3="00000000" w:csb0="400001FF" w:csb1="FFFF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E336DC"/>
    <w:multiLevelType w:val="singleLevel"/>
    <w:tmpl w:val="81E336DC"/>
    <w:lvl w:ilvl="0">
      <w:start w:val="1"/>
      <w:numFmt w:val="decimal"/>
      <w:lvlText w:val="(%1)"/>
      <w:lvlJc w:val="left"/>
      <w:pPr>
        <w:ind w:left="425" w:hanging="425"/>
      </w:pPr>
      <w:rPr>
        <w:rFonts w:hint="default"/>
      </w:rPr>
    </w:lvl>
  </w:abstractNum>
  <w:abstractNum w:abstractNumId="1" w15:restartNumberingAfterBreak="0">
    <w:nsid w:val="84D9211F"/>
    <w:multiLevelType w:val="singleLevel"/>
    <w:tmpl w:val="84D9211F"/>
    <w:lvl w:ilvl="0">
      <w:start w:val="1"/>
      <w:numFmt w:val="decimal"/>
      <w:lvlText w:val="(%1)"/>
      <w:lvlJc w:val="left"/>
      <w:pPr>
        <w:ind w:left="425" w:hanging="425"/>
      </w:pPr>
      <w:rPr>
        <w:rFonts w:hint="default"/>
      </w:rPr>
    </w:lvl>
  </w:abstractNum>
  <w:abstractNum w:abstractNumId="2" w15:restartNumberingAfterBreak="0">
    <w:nsid w:val="C1FC68B3"/>
    <w:multiLevelType w:val="singleLevel"/>
    <w:tmpl w:val="C1FC68B3"/>
    <w:lvl w:ilvl="0">
      <w:start w:val="1"/>
      <w:numFmt w:val="bullet"/>
      <w:suff w:val="space"/>
      <w:lvlText w:val=""/>
      <w:lvlJc w:val="left"/>
      <w:pPr>
        <w:ind w:left="420" w:hanging="420"/>
      </w:pPr>
      <w:rPr>
        <w:rFonts w:ascii="Wingdings" w:hAnsi="Wingdings" w:hint="default"/>
      </w:rPr>
    </w:lvl>
  </w:abstractNum>
  <w:abstractNum w:abstractNumId="3" w15:restartNumberingAfterBreak="0">
    <w:nsid w:val="F07898C2"/>
    <w:multiLevelType w:val="singleLevel"/>
    <w:tmpl w:val="F07898C2"/>
    <w:lvl w:ilvl="0">
      <w:start w:val="1"/>
      <w:numFmt w:val="upperRoman"/>
      <w:suff w:val="space"/>
      <w:lvlText w:val="%1."/>
      <w:lvlJc w:val="left"/>
      <w:rPr>
        <w:rFonts w:hint="default"/>
        <w:b/>
        <w:bCs/>
        <w:color w:val="auto"/>
      </w:rPr>
    </w:lvl>
  </w:abstractNum>
  <w:abstractNum w:abstractNumId="4" w15:restartNumberingAfterBreak="0">
    <w:nsid w:val="0000A991"/>
    <w:multiLevelType w:val="multilevel"/>
    <w:tmpl w:val="0000A991"/>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5" w15:restartNumberingAfterBreak="0">
    <w:nsid w:val="102F0F8F"/>
    <w:multiLevelType w:val="singleLevel"/>
    <w:tmpl w:val="102F0F8F"/>
    <w:lvl w:ilvl="0">
      <w:start w:val="1"/>
      <w:numFmt w:val="decimal"/>
      <w:lvlText w:val="(%1)"/>
      <w:lvlJc w:val="left"/>
      <w:pPr>
        <w:ind w:left="425" w:hanging="425"/>
      </w:pPr>
      <w:rPr>
        <w:rFonts w:hint="default"/>
      </w:rPr>
    </w:lvl>
  </w:abstractNum>
  <w:abstractNum w:abstractNumId="6" w15:restartNumberingAfterBreak="0">
    <w:nsid w:val="33FA05EE"/>
    <w:multiLevelType w:val="singleLevel"/>
    <w:tmpl w:val="33FA05EE"/>
    <w:lvl w:ilvl="0">
      <w:start w:val="1"/>
      <w:numFmt w:val="decimal"/>
      <w:lvlText w:val="(%1)"/>
      <w:lvlJc w:val="left"/>
      <w:pPr>
        <w:ind w:left="425" w:hanging="425"/>
      </w:pPr>
      <w:rPr>
        <w:rFonts w:hint="default"/>
      </w:rPr>
    </w:lvl>
  </w:abstractNum>
  <w:abstractNum w:abstractNumId="7" w15:restartNumberingAfterBreak="0">
    <w:nsid w:val="4A363E31"/>
    <w:multiLevelType w:val="multilevel"/>
    <w:tmpl w:val="4A363E31"/>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7D4BFC59"/>
    <w:multiLevelType w:val="singleLevel"/>
    <w:tmpl w:val="7D4BFC59"/>
    <w:lvl w:ilvl="0">
      <w:start w:val="1"/>
      <w:numFmt w:val="decimal"/>
      <w:lvlText w:val="(%1)"/>
      <w:lvlJc w:val="left"/>
      <w:pPr>
        <w:ind w:left="425" w:hanging="425"/>
      </w:pPr>
      <w:rPr>
        <w:rFonts w:hint="default"/>
      </w:rPr>
    </w:lvl>
  </w:abstractNum>
  <w:num w:numId="1" w16cid:durableId="262492246">
    <w:abstractNumId w:val="3"/>
  </w:num>
  <w:num w:numId="2" w16cid:durableId="624695695">
    <w:abstractNumId w:val="4"/>
  </w:num>
  <w:num w:numId="3" w16cid:durableId="43602477">
    <w:abstractNumId w:val="2"/>
  </w:num>
  <w:num w:numId="4" w16cid:durableId="1679850875">
    <w:abstractNumId w:val="5"/>
  </w:num>
  <w:num w:numId="5" w16cid:durableId="112789561">
    <w:abstractNumId w:val="0"/>
  </w:num>
  <w:num w:numId="6" w16cid:durableId="1918400976">
    <w:abstractNumId w:val="7"/>
  </w:num>
  <w:num w:numId="7" w16cid:durableId="1660766895">
    <w:abstractNumId w:val="6"/>
  </w:num>
  <w:num w:numId="8" w16cid:durableId="760493070">
    <w:abstractNumId w:val="8"/>
  </w:num>
  <w:num w:numId="9" w16cid:durableId="944192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defaultTabStop w:val="4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1NLQwMjE0NTIwMDZV0lEKTi0uzszPAykwqgUA4/xKiywAAAA="/>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9z5az5k00esre9tw8xe52r29vatv29a55x&quot;&gt;My EndNote Library&lt;record-ids&gt;&lt;item&gt;34&lt;/item&gt;&lt;item&gt;35&lt;/item&gt;&lt;item&gt;39&lt;/item&gt;&lt;item&gt;50&lt;/item&gt;&lt;item&gt;51&lt;/item&gt;&lt;/record-ids&gt;&lt;/item&gt;&lt;/Libraries&gt;"/>
  </w:docVars>
  <w:rsids>
    <w:rsidRoot w:val="00822F2F"/>
    <w:rsid w:val="0000344E"/>
    <w:rsid w:val="0000414E"/>
    <w:rsid w:val="00011A43"/>
    <w:rsid w:val="0003413B"/>
    <w:rsid w:val="000473E9"/>
    <w:rsid w:val="00062205"/>
    <w:rsid w:val="000C04CC"/>
    <w:rsid w:val="000E1A51"/>
    <w:rsid w:val="000E5CF6"/>
    <w:rsid w:val="001504D2"/>
    <w:rsid w:val="0015656B"/>
    <w:rsid w:val="00170DFD"/>
    <w:rsid w:val="00184864"/>
    <w:rsid w:val="0019347C"/>
    <w:rsid w:val="001D65A8"/>
    <w:rsid w:val="001E1F09"/>
    <w:rsid w:val="001E2C3A"/>
    <w:rsid w:val="001E6665"/>
    <w:rsid w:val="001E76CA"/>
    <w:rsid w:val="00200E57"/>
    <w:rsid w:val="00215235"/>
    <w:rsid w:val="00227637"/>
    <w:rsid w:val="00252523"/>
    <w:rsid w:val="00262C71"/>
    <w:rsid w:val="00275F39"/>
    <w:rsid w:val="002C0F75"/>
    <w:rsid w:val="003348C7"/>
    <w:rsid w:val="003510B1"/>
    <w:rsid w:val="0037393B"/>
    <w:rsid w:val="003C21BB"/>
    <w:rsid w:val="003D2155"/>
    <w:rsid w:val="003F5DC5"/>
    <w:rsid w:val="00400B43"/>
    <w:rsid w:val="00404F04"/>
    <w:rsid w:val="00430607"/>
    <w:rsid w:val="00446B11"/>
    <w:rsid w:val="004700BB"/>
    <w:rsid w:val="004A0A96"/>
    <w:rsid w:val="004A25FB"/>
    <w:rsid w:val="004B2149"/>
    <w:rsid w:val="004B71C9"/>
    <w:rsid w:val="004D0635"/>
    <w:rsid w:val="004F3499"/>
    <w:rsid w:val="00507B70"/>
    <w:rsid w:val="00514E88"/>
    <w:rsid w:val="005334FF"/>
    <w:rsid w:val="00582961"/>
    <w:rsid w:val="005B30A9"/>
    <w:rsid w:val="005D51B7"/>
    <w:rsid w:val="005D78FF"/>
    <w:rsid w:val="005E50CC"/>
    <w:rsid w:val="00600179"/>
    <w:rsid w:val="006345C0"/>
    <w:rsid w:val="006A5281"/>
    <w:rsid w:val="006A7EB0"/>
    <w:rsid w:val="006C6732"/>
    <w:rsid w:val="006E1FB0"/>
    <w:rsid w:val="006F71B8"/>
    <w:rsid w:val="00702D64"/>
    <w:rsid w:val="007515D3"/>
    <w:rsid w:val="007874A3"/>
    <w:rsid w:val="00787CEE"/>
    <w:rsid w:val="007A05A4"/>
    <w:rsid w:val="007C78C1"/>
    <w:rsid w:val="007E7122"/>
    <w:rsid w:val="00800307"/>
    <w:rsid w:val="00802261"/>
    <w:rsid w:val="00822F2F"/>
    <w:rsid w:val="008700B5"/>
    <w:rsid w:val="008A6AC3"/>
    <w:rsid w:val="008E02D2"/>
    <w:rsid w:val="00910FC9"/>
    <w:rsid w:val="00926C63"/>
    <w:rsid w:val="00934327"/>
    <w:rsid w:val="009A7153"/>
    <w:rsid w:val="009D382F"/>
    <w:rsid w:val="009F1D7A"/>
    <w:rsid w:val="00A144CC"/>
    <w:rsid w:val="00A31B9E"/>
    <w:rsid w:val="00A44B21"/>
    <w:rsid w:val="00A561C0"/>
    <w:rsid w:val="00A73D01"/>
    <w:rsid w:val="00A73FE3"/>
    <w:rsid w:val="00A90EE5"/>
    <w:rsid w:val="00AA7F4A"/>
    <w:rsid w:val="00AC165C"/>
    <w:rsid w:val="00AD6D96"/>
    <w:rsid w:val="00AE6589"/>
    <w:rsid w:val="00AE79C8"/>
    <w:rsid w:val="00B53DF2"/>
    <w:rsid w:val="00B64DFD"/>
    <w:rsid w:val="00B6787D"/>
    <w:rsid w:val="00B8099E"/>
    <w:rsid w:val="00BC7499"/>
    <w:rsid w:val="00C2098C"/>
    <w:rsid w:val="00CA26C9"/>
    <w:rsid w:val="00CC104E"/>
    <w:rsid w:val="00D01F78"/>
    <w:rsid w:val="00D1738A"/>
    <w:rsid w:val="00D573AD"/>
    <w:rsid w:val="00D6123A"/>
    <w:rsid w:val="00D96655"/>
    <w:rsid w:val="00DC725F"/>
    <w:rsid w:val="00DF742D"/>
    <w:rsid w:val="00E104E9"/>
    <w:rsid w:val="00E61F08"/>
    <w:rsid w:val="00E647CD"/>
    <w:rsid w:val="00E74910"/>
    <w:rsid w:val="00E8571C"/>
    <w:rsid w:val="00EA1AF8"/>
    <w:rsid w:val="00EA7A1A"/>
    <w:rsid w:val="00ED443C"/>
    <w:rsid w:val="00EE1D33"/>
    <w:rsid w:val="00F0291A"/>
    <w:rsid w:val="00F02EDE"/>
    <w:rsid w:val="00F04710"/>
    <w:rsid w:val="00F45B20"/>
    <w:rsid w:val="00F52D3C"/>
    <w:rsid w:val="00F61439"/>
    <w:rsid w:val="00F95B6E"/>
    <w:rsid w:val="00FE2A0B"/>
    <w:rsid w:val="00FF288E"/>
    <w:rsid w:val="04EC355F"/>
    <w:rsid w:val="05A3050F"/>
    <w:rsid w:val="07815252"/>
    <w:rsid w:val="0A6E5D8A"/>
    <w:rsid w:val="0C1E558E"/>
    <w:rsid w:val="0E573C04"/>
    <w:rsid w:val="12865C3B"/>
    <w:rsid w:val="141C747E"/>
    <w:rsid w:val="16EB42BE"/>
    <w:rsid w:val="1A657990"/>
    <w:rsid w:val="1B1C6848"/>
    <w:rsid w:val="1BC31B91"/>
    <w:rsid w:val="1C0066A3"/>
    <w:rsid w:val="20C500F3"/>
    <w:rsid w:val="21530184"/>
    <w:rsid w:val="23995035"/>
    <w:rsid w:val="24C745BD"/>
    <w:rsid w:val="253171B6"/>
    <w:rsid w:val="25EE030E"/>
    <w:rsid w:val="27781B9E"/>
    <w:rsid w:val="2AD939B2"/>
    <w:rsid w:val="2C143037"/>
    <w:rsid w:val="2F666780"/>
    <w:rsid w:val="3105463B"/>
    <w:rsid w:val="3255145A"/>
    <w:rsid w:val="32A153A4"/>
    <w:rsid w:val="34C91C8B"/>
    <w:rsid w:val="34FA0C9F"/>
    <w:rsid w:val="36435C7F"/>
    <w:rsid w:val="36576D58"/>
    <w:rsid w:val="37D01583"/>
    <w:rsid w:val="385C4BC4"/>
    <w:rsid w:val="38BB2D5F"/>
    <w:rsid w:val="39764653"/>
    <w:rsid w:val="3A3ACA49"/>
    <w:rsid w:val="3B8E4634"/>
    <w:rsid w:val="3ED70A53"/>
    <w:rsid w:val="3F0444A2"/>
    <w:rsid w:val="41EE5EE1"/>
    <w:rsid w:val="42181B5C"/>
    <w:rsid w:val="4229039A"/>
    <w:rsid w:val="4251506E"/>
    <w:rsid w:val="428F1CD0"/>
    <w:rsid w:val="42982C9D"/>
    <w:rsid w:val="4329615E"/>
    <w:rsid w:val="453A31A0"/>
    <w:rsid w:val="477B2747"/>
    <w:rsid w:val="4AB56AE2"/>
    <w:rsid w:val="4AE462F6"/>
    <w:rsid w:val="4CDC35AC"/>
    <w:rsid w:val="4E0B4C6B"/>
    <w:rsid w:val="4F2204BE"/>
    <w:rsid w:val="500E3E6F"/>
    <w:rsid w:val="5119769F"/>
    <w:rsid w:val="514E7348"/>
    <w:rsid w:val="51962A9D"/>
    <w:rsid w:val="55EE109B"/>
    <w:rsid w:val="59E36A9C"/>
    <w:rsid w:val="5A494B51"/>
    <w:rsid w:val="5CA00C74"/>
    <w:rsid w:val="5CDC69CB"/>
    <w:rsid w:val="5DAD107E"/>
    <w:rsid w:val="5E8E1791"/>
    <w:rsid w:val="5F513706"/>
    <w:rsid w:val="5F98548A"/>
    <w:rsid w:val="634B193A"/>
    <w:rsid w:val="639400E5"/>
    <w:rsid w:val="64825CDD"/>
    <w:rsid w:val="65346DF2"/>
    <w:rsid w:val="66D51199"/>
    <w:rsid w:val="67361116"/>
    <w:rsid w:val="68F14D31"/>
    <w:rsid w:val="6B686E01"/>
    <w:rsid w:val="6DF36E56"/>
    <w:rsid w:val="6E4747AF"/>
    <w:rsid w:val="6F8F66FA"/>
    <w:rsid w:val="7145680F"/>
    <w:rsid w:val="72A057C0"/>
    <w:rsid w:val="72B154A2"/>
    <w:rsid w:val="73400AA6"/>
    <w:rsid w:val="743B45A8"/>
    <w:rsid w:val="75BC1480"/>
    <w:rsid w:val="75C17839"/>
    <w:rsid w:val="75F47C0F"/>
    <w:rsid w:val="768E1E11"/>
    <w:rsid w:val="78051F90"/>
    <w:rsid w:val="7E6850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A01C655"/>
  <w15:docId w15:val="{FE229DB9-2B3C-42E7-9A5D-688AF40A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Title" w:qFormat="1"/>
    <w:lsdException w:name="Default Paragraph Font" w:uiPriority="1" w:unhideWhenUsed="1" w:qFormat="1"/>
    <w:lsdException w:name="Body Text" w:qFormat="1"/>
    <w:lsdException w:name="Subtitle" w:qFormat="1"/>
    <w:lsdException w:name="Date" w:qFormat="1"/>
    <w:lsdException w:name="Block Text" w:qFormat="1"/>
    <w:lsdException w:name="Hyperlink"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imes New Roman"/>
      <w:sz w:val="24"/>
      <w:szCs w:val="24"/>
    </w:rPr>
  </w:style>
  <w:style w:type="paragraph" w:styleId="1">
    <w:name w:val="heading 1"/>
    <w:basedOn w:val="a"/>
    <w:next w:val="a0"/>
    <w:link w:val="13"/>
    <w:qFormat/>
    <w:pPr>
      <w:spacing w:before="360" w:after="240"/>
      <w:outlineLvl w:val="0"/>
    </w:pPr>
    <w:rPr>
      <w:b/>
      <w:bCs/>
      <w:sz w:val="28"/>
      <w:szCs w:val="28"/>
    </w:rPr>
  </w:style>
  <w:style w:type="paragraph" w:styleId="2">
    <w:name w:val="heading 2"/>
    <w:basedOn w:val="a"/>
    <w:next w:val="a0"/>
    <w:link w:val="23"/>
    <w:qFormat/>
    <w:pPr>
      <w:spacing w:before="280" w:after="180"/>
      <w:outlineLvl w:val="1"/>
    </w:pPr>
    <w:rPr>
      <w:b/>
      <w:bCs/>
      <w:sz w:val="26"/>
      <w:szCs w:val="26"/>
    </w:rPr>
  </w:style>
  <w:style w:type="paragraph" w:styleId="3">
    <w:name w:val="heading 3"/>
    <w:basedOn w:val="a"/>
    <w:next w:val="a0"/>
    <w:link w:val="33"/>
    <w:qFormat/>
    <w:pPr>
      <w:spacing w:before="240" w:after="120"/>
      <w:outlineLvl w:val="2"/>
    </w:pPr>
    <w:rPr>
      <w:b/>
      <w:bCs/>
    </w:rPr>
  </w:style>
  <w:style w:type="paragraph" w:styleId="4">
    <w:name w:val="heading 4"/>
    <w:basedOn w:val="a"/>
    <w:next w:val="a0"/>
    <w:link w:val="43"/>
    <w:qFormat/>
    <w:pPr>
      <w:outlineLvl w:val="3"/>
    </w:pPr>
    <w:rPr>
      <w:i/>
      <w:iCs/>
      <w:color w:val="2E74B5"/>
    </w:rPr>
  </w:style>
  <w:style w:type="paragraph" w:styleId="5">
    <w:name w:val="heading 5"/>
    <w:basedOn w:val="a"/>
    <w:next w:val="a0"/>
    <w:link w:val="53"/>
    <w:qFormat/>
    <w:pPr>
      <w:outlineLvl w:val="4"/>
    </w:pPr>
    <w:rPr>
      <w:color w:val="2E74B5"/>
    </w:rPr>
  </w:style>
  <w:style w:type="paragraph" w:styleId="6">
    <w:name w:val="heading 6"/>
    <w:basedOn w:val="a"/>
    <w:next w:val="a0"/>
    <w:link w:val="63"/>
    <w:qFormat/>
    <w:pPr>
      <w:outlineLvl w:val="5"/>
    </w:pPr>
    <w:rPr>
      <w:color w:val="1F4D78"/>
    </w:rPr>
  </w:style>
  <w:style w:type="paragraph" w:styleId="7">
    <w:name w:val="heading 7"/>
    <w:basedOn w:val="a"/>
    <w:next w:val="a0"/>
    <w:link w:val="73"/>
    <w:qFormat/>
    <w:pPr>
      <w:keepNext/>
      <w:keepLines/>
      <w:widowControl/>
      <w:spacing w:before="40"/>
      <w:jc w:val="left"/>
      <w:outlineLvl w:val="6"/>
    </w:pPr>
    <w:rPr>
      <w:rFonts w:asciiTheme="minorHAnsi" w:eastAsiaTheme="majorEastAsia" w:hAnsiTheme="minorHAnsi" w:cstheme="majorBidi"/>
      <w:color w:val="595959" w:themeColor="text1" w:themeTint="A6"/>
    </w:rPr>
  </w:style>
  <w:style w:type="paragraph" w:styleId="8">
    <w:name w:val="heading 8"/>
    <w:basedOn w:val="a"/>
    <w:next w:val="a0"/>
    <w:link w:val="83"/>
    <w:qFormat/>
    <w:pPr>
      <w:keepNext/>
      <w:keepLines/>
      <w:widowControl/>
      <w:jc w:val="left"/>
      <w:outlineLvl w:val="7"/>
    </w:pPr>
    <w:rPr>
      <w:rFonts w:asciiTheme="minorHAnsi" w:eastAsiaTheme="majorEastAsia" w:hAnsiTheme="minorHAnsi" w:cstheme="majorBidi"/>
      <w:i/>
      <w:iCs/>
      <w:color w:val="262626" w:themeColor="text1" w:themeTint="D9"/>
    </w:rPr>
  </w:style>
  <w:style w:type="paragraph" w:styleId="9">
    <w:name w:val="heading 9"/>
    <w:basedOn w:val="a"/>
    <w:next w:val="a0"/>
    <w:link w:val="93"/>
    <w:qFormat/>
    <w:pPr>
      <w:keepNext/>
      <w:keepLines/>
      <w:widowControl/>
      <w:jc w:val="left"/>
      <w:outlineLvl w:val="8"/>
    </w:pPr>
    <w:rPr>
      <w:rFonts w:asciiTheme="minorHAnsi" w:eastAsiaTheme="majorEastAsia" w:hAnsiTheme="minorHAnsi" w:cstheme="majorBidi"/>
      <w:color w:val="262626" w:themeColor="text1" w:themeTint="D9"/>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20"/>
    <w:qFormat/>
    <w:pPr>
      <w:widowControl/>
      <w:spacing w:before="180" w:after="180"/>
      <w:jc w:val="left"/>
    </w:pPr>
    <w:rPr>
      <w:rFonts w:asciiTheme="minorHAnsi" w:eastAsiaTheme="minorEastAsia" w:hAnsiTheme="minorHAnsi" w:cstheme="minorBidi"/>
    </w:rPr>
  </w:style>
  <w:style w:type="paragraph" w:styleId="a4">
    <w:name w:val="caption"/>
    <w:basedOn w:val="a"/>
    <w:qFormat/>
    <w:pPr>
      <w:widowControl/>
      <w:spacing w:after="120"/>
      <w:jc w:val="left"/>
    </w:pPr>
    <w:rPr>
      <w:rFonts w:asciiTheme="minorHAnsi" w:eastAsiaTheme="minorEastAsia" w:hAnsiTheme="minorHAnsi" w:cstheme="minorBidi"/>
      <w:i/>
    </w:rPr>
  </w:style>
  <w:style w:type="paragraph" w:styleId="a5">
    <w:name w:val="annotation text"/>
    <w:basedOn w:val="a"/>
    <w:link w:val="a6"/>
    <w:qFormat/>
    <w:pPr>
      <w:jc w:val="left"/>
    </w:pPr>
  </w:style>
  <w:style w:type="paragraph" w:styleId="a7">
    <w:name w:val="Block Text"/>
    <w:basedOn w:val="a0"/>
    <w:next w:val="a0"/>
    <w:qFormat/>
    <w:pPr>
      <w:spacing w:before="100" w:after="100"/>
      <w:ind w:left="480" w:right="480"/>
    </w:pPr>
  </w:style>
  <w:style w:type="paragraph" w:styleId="a8">
    <w:name w:val="Date"/>
    <w:basedOn w:val="a9"/>
    <w:next w:val="a0"/>
    <w:qFormat/>
    <w:pPr>
      <w:keepNext/>
      <w:keepLines/>
      <w:widowControl/>
      <w:spacing w:after="80"/>
      <w:contextualSpacing/>
      <w:jc w:val="center"/>
    </w:pPr>
    <w:rPr>
      <w:rFonts w:asciiTheme="majorHAnsi" w:eastAsiaTheme="majorEastAsia" w:hAnsiTheme="majorHAnsi" w:cstheme="majorBidi"/>
      <w:sz w:val="24"/>
      <w:szCs w:val="24"/>
    </w:rPr>
  </w:style>
  <w:style w:type="paragraph" w:styleId="a9">
    <w:name w:val="Title"/>
    <w:basedOn w:val="a"/>
    <w:next w:val="a0"/>
    <w:link w:val="30"/>
    <w:qFormat/>
    <w:rPr>
      <w:sz w:val="56"/>
      <w:szCs w:val="56"/>
    </w:rPr>
  </w:style>
  <w:style w:type="paragraph" w:styleId="aa">
    <w:name w:val="Balloon Text"/>
    <w:basedOn w:val="a"/>
    <w:link w:val="ab"/>
    <w:qFormat/>
    <w:rPr>
      <w:sz w:val="18"/>
      <w:szCs w:val="18"/>
    </w:rPr>
  </w:style>
  <w:style w:type="paragraph" w:styleId="ac">
    <w:name w:val="footer"/>
    <w:basedOn w:val="a"/>
    <w:link w:val="ad"/>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af0">
    <w:name w:val="Subtitle"/>
    <w:basedOn w:val="a9"/>
    <w:next w:val="a0"/>
    <w:link w:val="31"/>
    <w:qFormat/>
    <w:pPr>
      <w:widowControl/>
      <w:spacing w:after="80"/>
      <w:contextualSpacing/>
      <w:jc w:val="center"/>
    </w:pPr>
    <w:rPr>
      <w:rFonts w:asciiTheme="majorHAnsi" w:eastAsiaTheme="majorEastAsia" w:hAnsiTheme="majorHAnsi" w:cstheme="majorBidi"/>
      <w:spacing w:val="15"/>
      <w:sz w:val="28"/>
      <w:szCs w:val="28"/>
    </w:rPr>
  </w:style>
  <w:style w:type="paragraph" w:styleId="af1">
    <w:name w:val="footnote text"/>
    <w:basedOn w:val="a"/>
    <w:link w:val="af2"/>
    <w:qFormat/>
  </w:style>
  <w:style w:type="paragraph" w:styleId="af3">
    <w:name w:val="annotation subject"/>
    <w:basedOn w:val="a5"/>
    <w:next w:val="a5"/>
    <w:link w:val="af4"/>
    <w:qFormat/>
    <w:rPr>
      <w:b/>
      <w:bCs/>
    </w:rPr>
  </w:style>
  <w:style w:type="table" w:styleId="af5">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20"/>
    <w:qFormat/>
    <w:rPr>
      <w:rFonts w:asciiTheme="minorHAnsi" w:eastAsiaTheme="minorEastAsia" w:hAnsiTheme="minorHAnsi" w:cstheme="minorBidi"/>
      <w:color w:val="0563C1"/>
      <w:sz w:val="24"/>
      <w:szCs w:val="24"/>
      <w:u w:val="single"/>
      <w:lang w:val="en-US" w:eastAsia="zh-CN" w:bidi="ar-SA"/>
    </w:rPr>
  </w:style>
  <w:style w:type="character" w:customStyle="1" w:styleId="20">
    <w:name w:val="正文文本 字符2"/>
    <w:basedOn w:val="a1"/>
    <w:link w:val="a0"/>
    <w:qFormat/>
    <w:rPr>
      <w:rFonts w:asciiTheme="minorHAnsi" w:eastAsiaTheme="minorEastAsia" w:hAnsiTheme="minorHAnsi" w:cstheme="minorBidi"/>
      <w:sz w:val="24"/>
      <w:szCs w:val="24"/>
      <w:lang w:val="en-US" w:eastAsia="zh-CN" w:bidi="ar-SA"/>
    </w:rPr>
  </w:style>
  <w:style w:type="character" w:styleId="af7">
    <w:name w:val="annotation reference"/>
    <w:basedOn w:val="a1"/>
    <w:qFormat/>
    <w:rPr>
      <w:sz w:val="21"/>
      <w:szCs w:val="21"/>
    </w:rPr>
  </w:style>
  <w:style w:type="character" w:styleId="af8">
    <w:name w:val="footnote reference"/>
    <w:qFormat/>
    <w:rPr>
      <w:vertAlign w:val="superscript"/>
    </w:rPr>
  </w:style>
  <w:style w:type="character" w:customStyle="1" w:styleId="10">
    <w:name w:val="正文文本 字符1"/>
    <w:basedOn w:val="a1"/>
    <w:qFormat/>
    <w:rPr>
      <w:rFonts w:asciiTheme="minorHAnsi" w:eastAsiaTheme="minorEastAsia" w:hAnsiTheme="minorHAnsi" w:cstheme="minorBidi"/>
      <w:sz w:val="24"/>
      <w:szCs w:val="24"/>
      <w:lang w:val="en-US" w:eastAsia="zh-CN" w:bidi="ar-SA"/>
    </w:rPr>
  </w:style>
  <w:style w:type="character" w:customStyle="1" w:styleId="af9">
    <w:name w:val="正文文本 字符"/>
    <w:basedOn w:val="a1"/>
    <w:qFormat/>
    <w:rPr>
      <w:rFonts w:asciiTheme="minorHAnsi" w:eastAsiaTheme="minorEastAsia" w:hAnsiTheme="minorHAnsi" w:cstheme="minorBidi"/>
      <w:sz w:val="24"/>
      <w:szCs w:val="24"/>
      <w:lang w:val="en-US" w:eastAsia="zh-CN" w:bidi="ar-SA"/>
    </w:rPr>
  </w:style>
  <w:style w:type="paragraph" w:styleId="afa">
    <w:name w:val="List Paragraph"/>
    <w:qFormat/>
    <w:rPr>
      <w:rFonts w:eastAsia="Times New Roman"/>
      <w:sz w:val="24"/>
      <w:szCs w:val="24"/>
    </w:rPr>
  </w:style>
  <w:style w:type="character" w:customStyle="1" w:styleId="af2">
    <w:name w:val="脚注文本 字符"/>
    <w:link w:val="af1"/>
    <w:uiPriority w:val="99"/>
    <w:semiHidden/>
    <w:unhideWhenUsed/>
    <w:qFormat/>
    <w:rPr>
      <w:sz w:val="20"/>
      <w:szCs w:val="20"/>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字符"/>
    <w:basedOn w:val="a1"/>
    <w:link w:val="EndNoteBibliographyTitle"/>
    <w:qFormat/>
    <w:rPr>
      <w:rFonts w:eastAsia="Times New Roman"/>
      <w:sz w:val="24"/>
      <w:szCs w:val="24"/>
    </w:rPr>
  </w:style>
  <w:style w:type="paragraph" w:customStyle="1" w:styleId="EndNoteBibliography">
    <w:name w:val="EndNote Bibliography"/>
    <w:basedOn w:val="a"/>
    <w:link w:val="EndNoteBibliography0"/>
    <w:qFormat/>
  </w:style>
  <w:style w:type="character" w:customStyle="1" w:styleId="EndNoteBibliography0">
    <w:name w:val="EndNote Bibliography 字符"/>
    <w:basedOn w:val="a1"/>
    <w:link w:val="EndNoteBibliography"/>
    <w:qFormat/>
    <w:rPr>
      <w:rFonts w:eastAsia="Times New Roman"/>
      <w:sz w:val="24"/>
      <w:szCs w:val="24"/>
    </w:rPr>
  </w:style>
  <w:style w:type="character" w:customStyle="1" w:styleId="ab">
    <w:name w:val="批注框文本 字符"/>
    <w:basedOn w:val="a1"/>
    <w:link w:val="aa"/>
    <w:qFormat/>
    <w:rPr>
      <w:rFonts w:eastAsia="Times New Roman"/>
      <w:sz w:val="18"/>
      <w:szCs w:val="18"/>
    </w:rPr>
  </w:style>
  <w:style w:type="character" w:customStyle="1" w:styleId="af">
    <w:name w:val="页眉 字符"/>
    <w:basedOn w:val="a1"/>
    <w:link w:val="ae"/>
    <w:qFormat/>
    <w:rPr>
      <w:rFonts w:eastAsia="Times New Roman"/>
      <w:sz w:val="18"/>
      <w:szCs w:val="18"/>
    </w:rPr>
  </w:style>
  <w:style w:type="character" w:customStyle="1" w:styleId="ad">
    <w:name w:val="页脚 字符"/>
    <w:basedOn w:val="a1"/>
    <w:link w:val="ac"/>
    <w:qFormat/>
    <w:rPr>
      <w:rFonts w:eastAsia="Times New Roman"/>
      <w:sz w:val="18"/>
      <w:szCs w:val="18"/>
    </w:rPr>
  </w:style>
  <w:style w:type="paragraph" w:customStyle="1" w:styleId="11">
    <w:name w:val="修订1"/>
    <w:hidden/>
    <w:uiPriority w:val="99"/>
    <w:semiHidden/>
    <w:qFormat/>
    <w:rPr>
      <w:rFonts w:eastAsia="Times New Roman"/>
      <w:sz w:val="24"/>
      <w:szCs w:val="24"/>
    </w:rPr>
  </w:style>
  <w:style w:type="character" w:customStyle="1" w:styleId="a6">
    <w:name w:val="批注文字 字符"/>
    <w:basedOn w:val="a1"/>
    <w:link w:val="a5"/>
    <w:qFormat/>
    <w:rPr>
      <w:rFonts w:eastAsia="Times New Roman"/>
      <w:sz w:val="24"/>
      <w:szCs w:val="24"/>
    </w:rPr>
  </w:style>
  <w:style w:type="character" w:customStyle="1" w:styleId="af4">
    <w:name w:val="批注主题 字符"/>
    <w:basedOn w:val="a6"/>
    <w:link w:val="af3"/>
    <w:qFormat/>
    <w:rPr>
      <w:rFonts w:eastAsia="Times New Roman"/>
      <w:b/>
      <w:bCs/>
      <w:sz w:val="24"/>
      <w:szCs w:val="24"/>
    </w:r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character" w:customStyle="1" w:styleId="afb">
    <w:name w:val="标题 字符"/>
    <w:basedOn w:val="a1"/>
    <w:uiPriority w:val="10"/>
    <w:qFormat/>
    <w:rPr>
      <w:rFonts w:ascii="Times New Roman" w:eastAsia="Times New Roman" w:hAnsi="Times New Roman" w:cs="Times New Roman"/>
      <w:sz w:val="56"/>
      <w:szCs w:val="56"/>
      <w:lang w:val="en-US" w:eastAsia="zh-CN" w:bidi="ar-SA"/>
    </w:rPr>
  </w:style>
  <w:style w:type="character" w:customStyle="1" w:styleId="afc">
    <w:name w:val="副标题 字符"/>
    <w:basedOn w:val="a1"/>
    <w:uiPriority w:val="11"/>
    <w:qFormat/>
    <w:rPr>
      <w:rFonts w:asciiTheme="minorHAnsi" w:eastAsiaTheme="majorEastAsia" w:hAnsiTheme="minorHAnsi" w:cstheme="majorBidi"/>
      <w:spacing w:val="15"/>
      <w:sz w:val="28"/>
      <w:szCs w:val="28"/>
      <w:lang w:val="en-US" w:eastAsia="zh-CN" w:bidi="ar-SA"/>
    </w:rPr>
  </w:style>
  <w:style w:type="paragraph" w:customStyle="1" w:styleId="Author">
    <w:name w:val="Author"/>
    <w:basedOn w:val="a9"/>
    <w:next w:val="a0"/>
    <w:qFormat/>
    <w:pPr>
      <w:keepNext/>
      <w:keepLines/>
      <w:widowControl/>
      <w:spacing w:after="80"/>
      <w:contextualSpacing/>
      <w:jc w:val="center"/>
    </w:pPr>
    <w:rPr>
      <w:rFonts w:asciiTheme="majorHAnsi" w:eastAsiaTheme="majorEastAsia" w:hAnsiTheme="majorHAnsi" w:cstheme="majorBidi"/>
      <w:sz w:val="24"/>
      <w:szCs w:val="24"/>
    </w:rPr>
  </w:style>
  <w:style w:type="paragraph" w:customStyle="1" w:styleId="AbstractTitle">
    <w:name w:val="Abstract Title"/>
    <w:basedOn w:val="a"/>
    <w:next w:val="Abstract"/>
    <w:qFormat/>
    <w:pPr>
      <w:keepNext/>
      <w:keepLines/>
      <w:widowControl/>
      <w:spacing w:before="300"/>
      <w:jc w:val="center"/>
    </w:pPr>
    <w:rPr>
      <w:rFonts w:asciiTheme="minorHAnsi" w:eastAsiaTheme="minorEastAsia" w:hAnsiTheme="minorHAnsi" w:cstheme="minorBidi"/>
      <w:b/>
      <w:sz w:val="20"/>
      <w:szCs w:val="20"/>
    </w:rPr>
  </w:style>
  <w:style w:type="paragraph" w:customStyle="1" w:styleId="Abstract">
    <w:name w:val="Abstract"/>
    <w:basedOn w:val="a"/>
    <w:next w:val="a0"/>
    <w:qFormat/>
    <w:pPr>
      <w:keepNext/>
      <w:keepLines/>
      <w:widowControl/>
      <w:spacing w:before="100" w:after="300"/>
      <w:jc w:val="left"/>
    </w:pPr>
    <w:rPr>
      <w:rFonts w:asciiTheme="minorHAnsi" w:eastAsiaTheme="minorEastAsia" w:hAnsiTheme="minorHAnsi" w:cstheme="minorBidi"/>
      <w:sz w:val="20"/>
      <w:szCs w:val="20"/>
    </w:rPr>
  </w:style>
  <w:style w:type="paragraph" w:customStyle="1" w:styleId="12">
    <w:name w:val="书目1"/>
    <w:basedOn w:val="a"/>
    <w:qFormat/>
    <w:pPr>
      <w:widowControl/>
      <w:spacing w:after="200"/>
      <w:jc w:val="left"/>
    </w:pPr>
    <w:rPr>
      <w:rFonts w:asciiTheme="minorHAnsi" w:eastAsiaTheme="minorEastAsia" w:hAnsiTheme="minorHAnsi" w:cstheme="minorBidi"/>
    </w:rPr>
  </w:style>
  <w:style w:type="character" w:customStyle="1" w:styleId="14">
    <w:name w:val="标题 1 字符"/>
    <w:basedOn w:val="a1"/>
    <w:uiPriority w:val="9"/>
    <w:qFormat/>
    <w:rPr>
      <w:rFonts w:ascii="Times New Roman" w:eastAsia="Times New Roman" w:hAnsi="Times New Roman" w:cs="Times New Roman"/>
      <w:b/>
      <w:bCs/>
      <w:sz w:val="28"/>
      <w:szCs w:val="28"/>
      <w:lang w:val="en-US" w:eastAsia="zh-CN" w:bidi="ar-SA"/>
    </w:rPr>
  </w:style>
  <w:style w:type="character" w:customStyle="1" w:styleId="21">
    <w:name w:val="标题 2 字符"/>
    <w:basedOn w:val="a1"/>
    <w:uiPriority w:val="9"/>
    <w:semiHidden/>
    <w:qFormat/>
    <w:rPr>
      <w:rFonts w:ascii="Times New Roman" w:eastAsia="Times New Roman" w:hAnsi="Times New Roman" w:cs="Times New Roman"/>
      <w:b/>
      <w:bCs/>
      <w:sz w:val="26"/>
      <w:szCs w:val="26"/>
      <w:lang w:val="en-US" w:eastAsia="zh-CN" w:bidi="ar-SA"/>
    </w:rPr>
  </w:style>
  <w:style w:type="character" w:customStyle="1" w:styleId="32">
    <w:name w:val="标题 3 字符"/>
    <w:basedOn w:val="a1"/>
    <w:uiPriority w:val="9"/>
    <w:semiHidden/>
    <w:qFormat/>
    <w:rPr>
      <w:rFonts w:ascii="Times New Roman" w:eastAsia="Times New Roman" w:hAnsi="Times New Roman" w:cs="Times New Roman"/>
      <w:b/>
      <w:bCs/>
      <w:sz w:val="24"/>
      <w:szCs w:val="24"/>
      <w:lang w:val="en-US" w:eastAsia="zh-CN" w:bidi="ar-SA"/>
    </w:rPr>
  </w:style>
  <w:style w:type="character" w:customStyle="1" w:styleId="40">
    <w:name w:val="标题 4 字符"/>
    <w:basedOn w:val="a1"/>
    <w:uiPriority w:val="9"/>
    <w:semiHidden/>
    <w:qFormat/>
    <w:rPr>
      <w:rFonts w:ascii="Times New Roman" w:eastAsia="Times New Roman" w:hAnsi="Times New Roman" w:cs="Times New Roman"/>
      <w:i/>
      <w:iCs/>
      <w:color w:val="2E74B5"/>
      <w:sz w:val="24"/>
      <w:szCs w:val="24"/>
      <w:lang w:val="en-US" w:eastAsia="zh-CN" w:bidi="ar-SA"/>
    </w:rPr>
  </w:style>
  <w:style w:type="character" w:customStyle="1" w:styleId="50">
    <w:name w:val="标题 5 字符"/>
    <w:basedOn w:val="a1"/>
    <w:uiPriority w:val="9"/>
    <w:semiHidden/>
    <w:qFormat/>
    <w:rPr>
      <w:rFonts w:ascii="Times New Roman" w:eastAsia="Times New Roman" w:hAnsi="Times New Roman" w:cs="Times New Roman"/>
      <w:color w:val="2E74B5"/>
      <w:sz w:val="24"/>
      <w:szCs w:val="24"/>
      <w:lang w:val="en-US" w:eastAsia="zh-CN" w:bidi="ar-SA"/>
    </w:rPr>
  </w:style>
  <w:style w:type="character" w:customStyle="1" w:styleId="60">
    <w:name w:val="标题 6 字符"/>
    <w:basedOn w:val="a1"/>
    <w:uiPriority w:val="9"/>
    <w:semiHidden/>
    <w:qFormat/>
    <w:rPr>
      <w:rFonts w:ascii="Times New Roman" w:eastAsia="Times New Roman" w:hAnsi="Times New Roman" w:cs="Times New Roman"/>
      <w:color w:val="1F4D78"/>
      <w:sz w:val="24"/>
      <w:szCs w:val="24"/>
      <w:lang w:val="en-US" w:eastAsia="zh-CN" w:bidi="ar-SA"/>
    </w:rPr>
  </w:style>
  <w:style w:type="character" w:customStyle="1" w:styleId="70">
    <w:name w:val="标题 7 字符"/>
    <w:basedOn w:val="a1"/>
    <w:uiPriority w:val="9"/>
    <w:semiHidden/>
    <w:qFormat/>
    <w:rPr>
      <w:rFonts w:asciiTheme="minorHAnsi" w:eastAsiaTheme="majorEastAsia" w:hAnsiTheme="minorHAnsi" w:cstheme="majorBidi"/>
      <w:color w:val="595959" w:themeColor="text1" w:themeTint="A6"/>
      <w:sz w:val="24"/>
      <w:szCs w:val="24"/>
      <w:lang w:val="en-US" w:eastAsia="zh-CN" w:bidi="ar-SA"/>
    </w:rPr>
  </w:style>
  <w:style w:type="character" w:customStyle="1" w:styleId="80">
    <w:name w:val="标题 8 字符"/>
    <w:basedOn w:val="a1"/>
    <w:uiPriority w:val="9"/>
    <w:semiHidden/>
    <w:qFormat/>
    <w:rPr>
      <w:rFonts w:asciiTheme="minorHAnsi" w:eastAsiaTheme="majorEastAsia" w:hAnsiTheme="minorHAnsi" w:cstheme="majorBidi"/>
      <w:i/>
      <w:iCs/>
      <w:color w:val="262626" w:themeColor="text1" w:themeTint="D9"/>
      <w:sz w:val="24"/>
      <w:szCs w:val="24"/>
      <w:lang w:val="en-US" w:eastAsia="zh-CN" w:bidi="ar-SA"/>
    </w:rPr>
  </w:style>
  <w:style w:type="character" w:customStyle="1" w:styleId="90">
    <w:name w:val="标题 9 字符"/>
    <w:basedOn w:val="a1"/>
    <w:uiPriority w:val="9"/>
    <w:semiHidden/>
    <w:qFormat/>
    <w:rPr>
      <w:rFonts w:asciiTheme="minorHAnsi" w:eastAsiaTheme="majorEastAsia" w:hAnsiTheme="minorHAnsi" w:cstheme="majorBidi"/>
      <w:color w:val="262626" w:themeColor="text1" w:themeTint="D9"/>
      <w:sz w:val="24"/>
      <w:szCs w:val="24"/>
      <w:lang w:val="en-US" w:eastAsia="zh-CN" w:bidi="ar-SA"/>
    </w:rPr>
  </w:style>
  <w:style w:type="paragraph" w:customStyle="1" w:styleId="FootnoteBlockText">
    <w:name w:val="Footnote Block Text"/>
    <w:basedOn w:val="af1"/>
    <w:next w:val="af1"/>
    <w:uiPriority w:val="9"/>
    <w:unhideWhenUsed/>
    <w:qFormat/>
    <w:pPr>
      <w:widowControl/>
      <w:spacing w:before="100" w:after="100"/>
      <w:ind w:left="480" w:right="480"/>
      <w:jc w:val="left"/>
    </w:pPr>
    <w:rPr>
      <w:rFonts w:asciiTheme="minorHAnsi" w:eastAsiaTheme="minorEastAsia" w:hAnsiTheme="minorHAnsi" w:cstheme="minorBidi"/>
    </w:rPr>
  </w:style>
  <w:style w:type="table" w:customStyle="1" w:styleId="Table">
    <w:name w:val="Table"/>
    <w:semiHidden/>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a"/>
    <w:next w:val="Definition"/>
    <w:qFormat/>
    <w:pPr>
      <w:keepNext/>
      <w:keepLines/>
      <w:widowControl/>
      <w:jc w:val="left"/>
    </w:pPr>
    <w:rPr>
      <w:rFonts w:asciiTheme="minorHAnsi" w:eastAsiaTheme="minorEastAsia" w:hAnsiTheme="minorHAnsi" w:cstheme="minorBidi"/>
      <w:b/>
    </w:rPr>
  </w:style>
  <w:style w:type="paragraph" w:customStyle="1" w:styleId="Definition">
    <w:name w:val="Definition"/>
    <w:basedOn w:val="a"/>
    <w:qFormat/>
    <w:pPr>
      <w:widowControl/>
      <w:spacing w:after="200"/>
      <w:jc w:val="left"/>
    </w:pPr>
    <w:rPr>
      <w:rFonts w:asciiTheme="minorHAnsi" w:eastAsiaTheme="minorEastAsia" w:hAnsiTheme="minorHAnsi" w:cstheme="minorBidi"/>
    </w:rPr>
  </w:style>
  <w:style w:type="paragraph" w:customStyle="1" w:styleId="TableCaption">
    <w:name w:val="Table Caption"/>
    <w:basedOn w:val="a4"/>
    <w:qFormat/>
    <w:pPr>
      <w:keepNext/>
    </w:pPr>
  </w:style>
  <w:style w:type="paragraph" w:customStyle="1" w:styleId="ImageCaption">
    <w:name w:val="Image Caption"/>
    <w:basedOn w:val="a4"/>
    <w:qFormat/>
  </w:style>
  <w:style w:type="paragraph" w:customStyle="1" w:styleId="Figure">
    <w:name w:val="Figure"/>
    <w:basedOn w:val="a"/>
    <w:qFormat/>
    <w:pPr>
      <w:widowControl/>
      <w:spacing w:after="200"/>
      <w:jc w:val="left"/>
    </w:pPr>
    <w:rPr>
      <w:rFonts w:asciiTheme="minorHAnsi" w:eastAsiaTheme="minorEastAsia" w:hAnsiTheme="minorHAnsi" w:cstheme="minorBidi"/>
    </w:rPr>
  </w:style>
  <w:style w:type="paragraph" w:customStyle="1" w:styleId="CaptionedFigure">
    <w:name w:val="Captioned Figure"/>
    <w:basedOn w:val="Figure"/>
    <w:qFormat/>
    <w:pPr>
      <w:keepNext/>
    </w:pPr>
  </w:style>
  <w:style w:type="character" w:customStyle="1" w:styleId="VerbatimChar">
    <w:name w:val="Verbatim Char"/>
    <w:basedOn w:val="20"/>
    <w:link w:val="SourceCode"/>
    <w:qFormat/>
    <w:rPr>
      <w:rFonts w:asciiTheme="minorHAnsi" w:eastAsiaTheme="minorEastAsia" w:hAnsiTheme="minorHAnsi" w:cstheme="minorBidi"/>
      <w:sz w:val="24"/>
      <w:szCs w:val="24"/>
      <w:lang w:val="en-US" w:eastAsia="zh-CN" w:bidi="ar-SA"/>
    </w:rPr>
  </w:style>
  <w:style w:type="paragraph" w:customStyle="1" w:styleId="SourceCode">
    <w:name w:val="Source Code"/>
    <w:basedOn w:val="a"/>
    <w:link w:val="VerbatimChar"/>
    <w:qFormat/>
    <w:pPr>
      <w:widowControl/>
      <w:shd w:val="clear" w:color="auto" w:fill="F8F8F8"/>
      <w:wordWrap w:val="0"/>
      <w:spacing w:after="200"/>
      <w:jc w:val="left"/>
    </w:pPr>
    <w:rPr>
      <w:rFonts w:asciiTheme="minorHAnsi" w:eastAsiaTheme="minorEastAsia" w:hAnsiTheme="minorHAnsi" w:cstheme="minorBidi"/>
    </w:rPr>
  </w:style>
  <w:style w:type="character" w:customStyle="1" w:styleId="SectionNumber">
    <w:name w:val="Section Number"/>
    <w:basedOn w:val="20"/>
    <w:qFormat/>
    <w:rPr>
      <w:rFonts w:asciiTheme="minorHAnsi" w:eastAsiaTheme="minorEastAsia" w:hAnsiTheme="minorHAnsi" w:cstheme="minorBidi"/>
      <w:sz w:val="24"/>
      <w:szCs w:val="24"/>
      <w:lang w:val="en-US" w:eastAsia="zh-CN" w:bidi="ar-SA"/>
    </w:rPr>
  </w:style>
  <w:style w:type="paragraph" w:customStyle="1" w:styleId="TOC1">
    <w:name w:val="TOC 标题1"/>
    <w:basedOn w:val="1"/>
    <w:next w:val="a0"/>
    <w:uiPriority w:val="39"/>
    <w:unhideWhenUsed/>
    <w:qFormat/>
    <w:pPr>
      <w:keepNext/>
      <w:keepLines/>
      <w:widowControl/>
      <w:spacing w:before="240" w:after="80" w:line="259" w:lineRule="auto"/>
      <w:jc w:val="left"/>
      <w:outlineLvl w:val="9"/>
    </w:pPr>
    <w:rPr>
      <w:rFonts w:asciiTheme="majorHAnsi" w:eastAsiaTheme="majorEastAsia" w:hAnsiTheme="majorHAnsi" w:cstheme="majorBidi"/>
      <w:b w:val="0"/>
      <w:bCs w:val="0"/>
      <w:color w:val="365F91" w:themeColor="accent1" w:themeShade="BF"/>
      <w:sz w:val="40"/>
      <w:szCs w:val="40"/>
    </w:rPr>
  </w:style>
  <w:style w:type="character" w:customStyle="1" w:styleId="KeywordTok">
    <w:name w:val="KeywordTok"/>
    <w:basedOn w:val="VerbatimChar"/>
    <w:qFormat/>
    <w:rPr>
      <w:rFonts w:asciiTheme="minorHAnsi" w:eastAsiaTheme="minorEastAsia" w:hAnsiTheme="minorHAnsi" w:cstheme="minorBidi"/>
      <w:b/>
      <w:color w:val="204A87"/>
      <w:sz w:val="24"/>
      <w:szCs w:val="24"/>
      <w:shd w:val="clear" w:color="auto" w:fill="F8F8F8"/>
      <w:lang w:val="en-US" w:eastAsia="zh-CN" w:bidi="ar-SA"/>
    </w:rPr>
  </w:style>
  <w:style w:type="character" w:customStyle="1" w:styleId="DataTypeTok">
    <w:name w:val="DataTypeTok"/>
    <w:basedOn w:val="VerbatimChar"/>
    <w:qFormat/>
    <w:rPr>
      <w:rFonts w:asciiTheme="minorHAnsi" w:eastAsiaTheme="minorEastAsia" w:hAnsiTheme="minorHAnsi" w:cstheme="minorBidi"/>
      <w:color w:val="204A87"/>
      <w:sz w:val="24"/>
      <w:szCs w:val="24"/>
      <w:shd w:val="clear" w:color="auto" w:fill="F8F8F8"/>
      <w:lang w:val="en-US" w:eastAsia="zh-CN" w:bidi="ar-SA"/>
    </w:rPr>
  </w:style>
  <w:style w:type="character" w:customStyle="1" w:styleId="DecValTok">
    <w:name w:val="DecValTok"/>
    <w:basedOn w:val="VerbatimChar"/>
    <w:qFormat/>
    <w:rPr>
      <w:rFonts w:asciiTheme="minorHAnsi" w:eastAsiaTheme="minorEastAsia" w:hAnsiTheme="minorHAnsi" w:cstheme="minorBidi"/>
      <w:color w:val="0000CF"/>
      <w:sz w:val="24"/>
      <w:szCs w:val="24"/>
      <w:shd w:val="clear" w:color="auto" w:fill="F8F8F8"/>
      <w:lang w:val="en-US" w:eastAsia="zh-CN" w:bidi="ar-SA"/>
    </w:rPr>
  </w:style>
  <w:style w:type="character" w:customStyle="1" w:styleId="BaseNTok">
    <w:name w:val="BaseNTok"/>
    <w:basedOn w:val="VerbatimChar"/>
    <w:qFormat/>
    <w:rPr>
      <w:rFonts w:asciiTheme="minorHAnsi" w:eastAsiaTheme="minorEastAsia" w:hAnsiTheme="minorHAnsi" w:cstheme="minorBidi"/>
      <w:color w:val="0000CF"/>
      <w:sz w:val="24"/>
      <w:szCs w:val="24"/>
      <w:shd w:val="clear" w:color="auto" w:fill="F8F8F8"/>
      <w:lang w:val="en-US" w:eastAsia="zh-CN" w:bidi="ar-SA"/>
    </w:rPr>
  </w:style>
  <w:style w:type="character" w:customStyle="1" w:styleId="FloatTok">
    <w:name w:val="FloatTok"/>
    <w:basedOn w:val="VerbatimChar"/>
    <w:qFormat/>
    <w:rPr>
      <w:rFonts w:asciiTheme="minorHAnsi" w:eastAsiaTheme="minorEastAsia" w:hAnsiTheme="minorHAnsi" w:cstheme="minorBidi"/>
      <w:color w:val="0000CF"/>
      <w:sz w:val="24"/>
      <w:szCs w:val="24"/>
      <w:shd w:val="clear" w:color="auto" w:fill="F8F8F8"/>
      <w:lang w:val="en-US" w:eastAsia="zh-CN" w:bidi="ar-SA"/>
    </w:rPr>
  </w:style>
  <w:style w:type="character" w:customStyle="1" w:styleId="ConstantTok">
    <w:name w:val="ConstantTok"/>
    <w:basedOn w:val="VerbatimChar"/>
    <w:qFormat/>
    <w:rPr>
      <w:rFonts w:asciiTheme="minorHAnsi" w:eastAsiaTheme="minorEastAsia" w:hAnsiTheme="minorHAnsi" w:cstheme="minorBidi"/>
      <w:color w:val="8F5902"/>
      <w:sz w:val="24"/>
      <w:szCs w:val="24"/>
      <w:shd w:val="clear" w:color="auto" w:fill="F8F8F8"/>
      <w:lang w:val="en-US" w:eastAsia="zh-CN" w:bidi="ar-SA"/>
    </w:rPr>
  </w:style>
  <w:style w:type="character" w:customStyle="1" w:styleId="CharTok">
    <w:name w:val="CharTok"/>
    <w:basedOn w:val="VerbatimChar"/>
    <w:qFormat/>
    <w:rPr>
      <w:rFonts w:asciiTheme="minorHAnsi" w:eastAsiaTheme="minorEastAsia" w:hAnsiTheme="minorHAnsi" w:cstheme="minorBidi"/>
      <w:color w:val="4E9A06"/>
      <w:sz w:val="24"/>
      <w:szCs w:val="24"/>
      <w:shd w:val="clear" w:color="auto" w:fill="F8F8F8"/>
      <w:lang w:val="en-US" w:eastAsia="zh-CN" w:bidi="ar-SA"/>
    </w:rPr>
  </w:style>
  <w:style w:type="character" w:customStyle="1" w:styleId="SpecialCharTok">
    <w:name w:val="SpecialCharTok"/>
    <w:basedOn w:val="VerbatimChar"/>
    <w:qFormat/>
    <w:rPr>
      <w:rFonts w:asciiTheme="minorHAnsi" w:eastAsiaTheme="minorEastAsia" w:hAnsiTheme="minorHAnsi" w:cstheme="minorBidi"/>
      <w:b/>
      <w:color w:val="CE5C00"/>
      <w:sz w:val="24"/>
      <w:szCs w:val="24"/>
      <w:shd w:val="clear" w:color="auto" w:fill="F8F8F8"/>
      <w:lang w:val="en-US" w:eastAsia="zh-CN" w:bidi="ar-SA"/>
    </w:rPr>
  </w:style>
  <w:style w:type="character" w:customStyle="1" w:styleId="StringTok">
    <w:name w:val="StringTok"/>
    <w:basedOn w:val="VerbatimChar"/>
    <w:qFormat/>
    <w:rPr>
      <w:rFonts w:asciiTheme="minorHAnsi" w:eastAsiaTheme="minorEastAsia" w:hAnsiTheme="minorHAnsi" w:cstheme="minorBidi"/>
      <w:color w:val="4E9A06"/>
      <w:sz w:val="24"/>
      <w:szCs w:val="24"/>
      <w:shd w:val="clear" w:color="auto" w:fill="F8F8F8"/>
      <w:lang w:val="en-US" w:eastAsia="zh-CN" w:bidi="ar-SA"/>
    </w:rPr>
  </w:style>
  <w:style w:type="character" w:customStyle="1" w:styleId="VerbatimStringTok">
    <w:name w:val="VerbatimStringTok"/>
    <w:basedOn w:val="VerbatimChar"/>
    <w:qFormat/>
    <w:rPr>
      <w:rFonts w:asciiTheme="minorHAnsi" w:eastAsiaTheme="minorEastAsia" w:hAnsiTheme="minorHAnsi" w:cstheme="minorBidi"/>
      <w:color w:val="4E9A06"/>
      <w:sz w:val="24"/>
      <w:szCs w:val="24"/>
      <w:shd w:val="clear" w:color="auto" w:fill="F8F8F8"/>
      <w:lang w:val="en-US" w:eastAsia="zh-CN" w:bidi="ar-SA"/>
    </w:rPr>
  </w:style>
  <w:style w:type="character" w:customStyle="1" w:styleId="SpecialStringTok">
    <w:name w:val="SpecialStringTok"/>
    <w:basedOn w:val="VerbatimChar"/>
    <w:qFormat/>
    <w:rPr>
      <w:rFonts w:asciiTheme="minorHAnsi" w:eastAsiaTheme="minorEastAsia" w:hAnsiTheme="minorHAnsi" w:cstheme="minorBidi"/>
      <w:color w:val="4E9A06"/>
      <w:sz w:val="24"/>
      <w:szCs w:val="24"/>
      <w:shd w:val="clear" w:color="auto" w:fill="F8F8F8"/>
      <w:lang w:val="en-US" w:eastAsia="zh-CN" w:bidi="ar-SA"/>
    </w:rPr>
  </w:style>
  <w:style w:type="character" w:customStyle="1" w:styleId="ImportTok">
    <w:name w:val="ImportTok"/>
    <w:basedOn w:val="VerbatimChar"/>
    <w:qFormat/>
    <w:rPr>
      <w:rFonts w:asciiTheme="minorHAnsi" w:eastAsiaTheme="minorEastAsia" w:hAnsiTheme="minorHAnsi" w:cstheme="minorBidi"/>
      <w:sz w:val="24"/>
      <w:szCs w:val="24"/>
      <w:shd w:val="clear" w:color="auto" w:fill="F8F8F8"/>
      <w:lang w:val="en-US" w:eastAsia="zh-CN" w:bidi="ar-SA"/>
    </w:rPr>
  </w:style>
  <w:style w:type="character" w:customStyle="1" w:styleId="CommentTok">
    <w:name w:val="CommentTok"/>
    <w:basedOn w:val="VerbatimChar"/>
    <w:qFormat/>
    <w:rPr>
      <w:rFonts w:asciiTheme="minorHAnsi" w:eastAsiaTheme="minorEastAsia" w:hAnsiTheme="minorHAnsi" w:cstheme="minorBidi"/>
      <w:i/>
      <w:color w:val="8F5902"/>
      <w:sz w:val="24"/>
      <w:szCs w:val="24"/>
      <w:shd w:val="clear" w:color="auto" w:fill="F8F8F8"/>
      <w:lang w:val="en-US" w:eastAsia="zh-CN" w:bidi="ar-SA"/>
    </w:rPr>
  </w:style>
  <w:style w:type="character" w:customStyle="1" w:styleId="DocumentationTok">
    <w:name w:val="DocumentationTok"/>
    <w:basedOn w:val="VerbatimChar"/>
    <w:qFormat/>
    <w:rPr>
      <w:rFonts w:asciiTheme="minorHAnsi" w:eastAsiaTheme="minorEastAsia" w:hAnsiTheme="minorHAnsi" w:cstheme="minorBidi"/>
      <w:b/>
      <w:i/>
      <w:color w:val="8F5902"/>
      <w:sz w:val="24"/>
      <w:szCs w:val="24"/>
      <w:shd w:val="clear" w:color="auto" w:fill="F8F8F8"/>
      <w:lang w:val="en-US" w:eastAsia="zh-CN" w:bidi="ar-SA"/>
    </w:rPr>
  </w:style>
  <w:style w:type="character" w:customStyle="1" w:styleId="AnnotationTok">
    <w:name w:val="AnnotationTok"/>
    <w:basedOn w:val="VerbatimChar"/>
    <w:qFormat/>
    <w:rPr>
      <w:rFonts w:asciiTheme="minorHAnsi" w:eastAsiaTheme="minorEastAsia" w:hAnsiTheme="minorHAnsi" w:cstheme="minorBidi"/>
      <w:b/>
      <w:i/>
      <w:color w:val="8F5902"/>
      <w:sz w:val="24"/>
      <w:szCs w:val="24"/>
      <w:shd w:val="clear" w:color="auto" w:fill="F8F8F8"/>
      <w:lang w:val="en-US" w:eastAsia="zh-CN" w:bidi="ar-SA"/>
    </w:rPr>
  </w:style>
  <w:style w:type="character" w:customStyle="1" w:styleId="CommentVarTok">
    <w:name w:val="CommentVarTok"/>
    <w:basedOn w:val="VerbatimChar"/>
    <w:qFormat/>
    <w:rPr>
      <w:rFonts w:asciiTheme="minorHAnsi" w:eastAsiaTheme="minorEastAsia" w:hAnsiTheme="minorHAnsi" w:cstheme="minorBidi"/>
      <w:b/>
      <w:i/>
      <w:color w:val="8F5902"/>
      <w:sz w:val="24"/>
      <w:szCs w:val="24"/>
      <w:shd w:val="clear" w:color="auto" w:fill="F8F8F8"/>
      <w:lang w:val="en-US" w:eastAsia="zh-CN" w:bidi="ar-SA"/>
    </w:rPr>
  </w:style>
  <w:style w:type="character" w:customStyle="1" w:styleId="OtherTok">
    <w:name w:val="OtherTok"/>
    <w:basedOn w:val="VerbatimChar"/>
    <w:qFormat/>
    <w:rPr>
      <w:rFonts w:asciiTheme="minorHAnsi" w:eastAsiaTheme="minorEastAsia" w:hAnsiTheme="minorHAnsi" w:cstheme="minorBidi"/>
      <w:color w:val="8F5902"/>
      <w:sz w:val="24"/>
      <w:szCs w:val="24"/>
      <w:shd w:val="clear" w:color="auto" w:fill="F8F8F8"/>
      <w:lang w:val="en-US" w:eastAsia="zh-CN" w:bidi="ar-SA"/>
    </w:rPr>
  </w:style>
  <w:style w:type="character" w:customStyle="1" w:styleId="FunctionTok">
    <w:name w:val="FunctionTok"/>
    <w:basedOn w:val="VerbatimChar"/>
    <w:qFormat/>
    <w:rPr>
      <w:rFonts w:asciiTheme="minorHAnsi" w:eastAsiaTheme="minorEastAsia" w:hAnsiTheme="minorHAnsi" w:cstheme="minorBidi"/>
      <w:b/>
      <w:color w:val="204A87"/>
      <w:sz w:val="24"/>
      <w:szCs w:val="24"/>
      <w:shd w:val="clear" w:color="auto" w:fill="F8F8F8"/>
      <w:lang w:val="en-US" w:eastAsia="zh-CN" w:bidi="ar-SA"/>
    </w:rPr>
  </w:style>
  <w:style w:type="character" w:customStyle="1" w:styleId="VariableTok">
    <w:name w:val="VariableTok"/>
    <w:basedOn w:val="VerbatimChar"/>
    <w:qFormat/>
    <w:rPr>
      <w:rFonts w:asciiTheme="minorHAnsi" w:eastAsiaTheme="minorEastAsia" w:hAnsiTheme="minorHAnsi" w:cstheme="minorBidi"/>
      <w:color w:val="000000"/>
      <w:sz w:val="24"/>
      <w:szCs w:val="24"/>
      <w:shd w:val="clear" w:color="auto" w:fill="F8F8F8"/>
      <w:lang w:val="en-US" w:eastAsia="zh-CN" w:bidi="ar-SA"/>
    </w:rPr>
  </w:style>
  <w:style w:type="character" w:customStyle="1" w:styleId="ControlFlowTok">
    <w:name w:val="ControlFlowTok"/>
    <w:basedOn w:val="VerbatimChar"/>
    <w:qFormat/>
    <w:rPr>
      <w:rFonts w:asciiTheme="minorHAnsi" w:eastAsiaTheme="minorEastAsia" w:hAnsiTheme="minorHAnsi" w:cstheme="minorBidi"/>
      <w:b/>
      <w:color w:val="204A87"/>
      <w:sz w:val="24"/>
      <w:szCs w:val="24"/>
      <w:shd w:val="clear" w:color="auto" w:fill="F8F8F8"/>
      <w:lang w:val="en-US" w:eastAsia="zh-CN" w:bidi="ar-SA"/>
    </w:rPr>
  </w:style>
  <w:style w:type="character" w:customStyle="1" w:styleId="OperatorTok">
    <w:name w:val="OperatorTok"/>
    <w:basedOn w:val="VerbatimChar"/>
    <w:qFormat/>
    <w:rPr>
      <w:rFonts w:asciiTheme="minorHAnsi" w:eastAsiaTheme="minorEastAsia" w:hAnsiTheme="minorHAnsi" w:cstheme="minorBidi"/>
      <w:b/>
      <w:color w:val="CE5C00"/>
      <w:sz w:val="24"/>
      <w:szCs w:val="24"/>
      <w:shd w:val="clear" w:color="auto" w:fill="F8F8F8"/>
      <w:lang w:val="en-US" w:eastAsia="zh-CN" w:bidi="ar-SA"/>
    </w:rPr>
  </w:style>
  <w:style w:type="character" w:customStyle="1" w:styleId="BuiltInTok">
    <w:name w:val="BuiltInTok"/>
    <w:basedOn w:val="VerbatimChar"/>
    <w:qFormat/>
    <w:rPr>
      <w:rFonts w:asciiTheme="minorHAnsi" w:eastAsiaTheme="minorEastAsia" w:hAnsiTheme="minorHAnsi" w:cstheme="minorBidi"/>
      <w:sz w:val="24"/>
      <w:szCs w:val="24"/>
      <w:shd w:val="clear" w:color="auto" w:fill="F8F8F8"/>
      <w:lang w:val="en-US" w:eastAsia="zh-CN" w:bidi="ar-SA"/>
    </w:rPr>
  </w:style>
  <w:style w:type="character" w:customStyle="1" w:styleId="ExtensionTok">
    <w:name w:val="ExtensionTok"/>
    <w:basedOn w:val="VerbatimChar"/>
    <w:qFormat/>
    <w:rPr>
      <w:rFonts w:asciiTheme="minorHAnsi" w:eastAsiaTheme="minorEastAsia" w:hAnsiTheme="minorHAnsi" w:cstheme="minorBidi"/>
      <w:sz w:val="24"/>
      <w:szCs w:val="24"/>
      <w:shd w:val="clear" w:color="auto" w:fill="F8F8F8"/>
      <w:lang w:val="en-US" w:eastAsia="zh-CN" w:bidi="ar-SA"/>
    </w:rPr>
  </w:style>
  <w:style w:type="character" w:customStyle="1" w:styleId="PreprocessorTok">
    <w:name w:val="PreprocessorTok"/>
    <w:basedOn w:val="VerbatimChar"/>
    <w:qFormat/>
    <w:rPr>
      <w:rFonts w:asciiTheme="minorHAnsi" w:eastAsiaTheme="minorEastAsia" w:hAnsiTheme="minorHAnsi" w:cstheme="minorBidi"/>
      <w:i/>
      <w:color w:val="8F5902"/>
      <w:sz w:val="24"/>
      <w:szCs w:val="24"/>
      <w:shd w:val="clear" w:color="auto" w:fill="F8F8F8"/>
      <w:lang w:val="en-US" w:eastAsia="zh-CN" w:bidi="ar-SA"/>
    </w:rPr>
  </w:style>
  <w:style w:type="character" w:customStyle="1" w:styleId="AttributeTok">
    <w:name w:val="AttributeTok"/>
    <w:basedOn w:val="VerbatimChar"/>
    <w:qFormat/>
    <w:rPr>
      <w:rFonts w:asciiTheme="minorHAnsi" w:eastAsiaTheme="minorEastAsia" w:hAnsiTheme="minorHAnsi" w:cstheme="minorBidi"/>
      <w:color w:val="204A87"/>
      <w:sz w:val="24"/>
      <w:szCs w:val="24"/>
      <w:shd w:val="clear" w:color="auto" w:fill="F8F8F8"/>
      <w:lang w:val="en-US" w:eastAsia="zh-CN" w:bidi="ar-SA"/>
    </w:rPr>
  </w:style>
  <w:style w:type="character" w:customStyle="1" w:styleId="RegionMarkerTok">
    <w:name w:val="RegionMarkerTok"/>
    <w:basedOn w:val="VerbatimChar"/>
    <w:qFormat/>
    <w:rPr>
      <w:rFonts w:asciiTheme="minorHAnsi" w:eastAsiaTheme="minorEastAsia" w:hAnsiTheme="minorHAnsi" w:cstheme="minorBidi"/>
      <w:sz w:val="24"/>
      <w:szCs w:val="24"/>
      <w:shd w:val="clear" w:color="auto" w:fill="F8F8F8"/>
      <w:lang w:val="en-US" w:eastAsia="zh-CN" w:bidi="ar-SA"/>
    </w:rPr>
  </w:style>
  <w:style w:type="character" w:customStyle="1" w:styleId="InformationTok">
    <w:name w:val="InformationTok"/>
    <w:basedOn w:val="VerbatimChar"/>
    <w:qFormat/>
    <w:rPr>
      <w:rFonts w:asciiTheme="minorHAnsi" w:eastAsiaTheme="minorEastAsia" w:hAnsiTheme="minorHAnsi" w:cstheme="minorBidi"/>
      <w:b/>
      <w:i/>
      <w:color w:val="8F5902"/>
      <w:sz w:val="24"/>
      <w:szCs w:val="24"/>
      <w:shd w:val="clear" w:color="auto" w:fill="F8F8F8"/>
      <w:lang w:val="en-US" w:eastAsia="zh-CN" w:bidi="ar-SA"/>
    </w:rPr>
  </w:style>
  <w:style w:type="character" w:customStyle="1" w:styleId="WarningTok">
    <w:name w:val="WarningTok"/>
    <w:basedOn w:val="VerbatimChar"/>
    <w:qFormat/>
    <w:rPr>
      <w:rFonts w:asciiTheme="minorHAnsi" w:eastAsiaTheme="minorEastAsia" w:hAnsiTheme="minorHAnsi" w:cstheme="minorBidi"/>
      <w:b/>
      <w:i/>
      <w:color w:val="8F5902"/>
      <w:sz w:val="24"/>
      <w:szCs w:val="24"/>
      <w:shd w:val="clear" w:color="auto" w:fill="F8F8F8"/>
      <w:lang w:val="en-US" w:eastAsia="zh-CN" w:bidi="ar-SA"/>
    </w:rPr>
  </w:style>
  <w:style w:type="character" w:customStyle="1" w:styleId="AlertTok">
    <w:name w:val="AlertTok"/>
    <w:basedOn w:val="VerbatimChar"/>
    <w:qFormat/>
    <w:rPr>
      <w:rFonts w:asciiTheme="minorHAnsi" w:eastAsiaTheme="minorEastAsia" w:hAnsiTheme="minorHAnsi" w:cstheme="minorBidi"/>
      <w:color w:val="EF2929"/>
      <w:sz w:val="24"/>
      <w:szCs w:val="24"/>
      <w:shd w:val="clear" w:color="auto" w:fill="F8F8F8"/>
      <w:lang w:val="en-US" w:eastAsia="zh-CN" w:bidi="ar-SA"/>
    </w:rPr>
  </w:style>
  <w:style w:type="character" w:customStyle="1" w:styleId="ErrorTok">
    <w:name w:val="ErrorTok"/>
    <w:basedOn w:val="VerbatimChar"/>
    <w:qFormat/>
    <w:rPr>
      <w:rFonts w:asciiTheme="minorHAnsi" w:eastAsiaTheme="minorEastAsia" w:hAnsiTheme="minorHAnsi" w:cstheme="minorBidi"/>
      <w:b/>
      <w:color w:val="A40000"/>
      <w:sz w:val="24"/>
      <w:szCs w:val="24"/>
      <w:shd w:val="clear" w:color="auto" w:fill="F8F8F8"/>
      <w:lang w:val="en-US" w:eastAsia="zh-CN" w:bidi="ar-SA"/>
    </w:rPr>
  </w:style>
  <w:style w:type="character" w:customStyle="1" w:styleId="NormalTok">
    <w:name w:val="NormalTok"/>
    <w:basedOn w:val="VerbatimChar"/>
    <w:qFormat/>
    <w:rPr>
      <w:rFonts w:asciiTheme="minorHAnsi" w:eastAsiaTheme="minorEastAsia" w:hAnsiTheme="minorHAnsi" w:cstheme="minorBidi"/>
      <w:sz w:val="24"/>
      <w:szCs w:val="24"/>
      <w:shd w:val="clear" w:color="auto" w:fill="F8F8F8"/>
      <w:lang w:val="en-US" w:eastAsia="zh-CN" w:bidi="ar-SA"/>
    </w:rPr>
  </w:style>
  <w:style w:type="character" w:customStyle="1" w:styleId="15">
    <w:name w:val="标题 字符1"/>
    <w:basedOn w:val="a1"/>
    <w:uiPriority w:val="10"/>
    <w:qFormat/>
    <w:rPr>
      <w:rFonts w:asciiTheme="majorHAnsi" w:eastAsiaTheme="majorEastAsia" w:hAnsiTheme="majorHAnsi" w:cstheme="majorBidi"/>
      <w:sz w:val="56"/>
      <w:szCs w:val="56"/>
      <w:lang w:val="en-US" w:eastAsia="zh-CN" w:bidi="ar-SA"/>
    </w:rPr>
  </w:style>
  <w:style w:type="character" w:customStyle="1" w:styleId="16">
    <w:name w:val="副标题 字符1"/>
    <w:basedOn w:val="a1"/>
    <w:uiPriority w:val="11"/>
    <w:qFormat/>
    <w:rPr>
      <w:rFonts w:asciiTheme="minorHAnsi" w:eastAsiaTheme="majorEastAsia" w:hAnsiTheme="minorHAnsi" w:cstheme="majorBidi"/>
      <w:color w:val="595959" w:themeColor="text1" w:themeTint="A6"/>
      <w:spacing w:val="15"/>
      <w:sz w:val="28"/>
      <w:szCs w:val="28"/>
      <w:lang w:val="en-US" w:eastAsia="zh-CN" w:bidi="ar-SA"/>
    </w:rPr>
  </w:style>
  <w:style w:type="paragraph" w:customStyle="1" w:styleId="22">
    <w:name w:val="书目2"/>
    <w:basedOn w:val="a"/>
    <w:qFormat/>
    <w:pPr>
      <w:widowControl/>
      <w:spacing w:after="200"/>
      <w:jc w:val="left"/>
    </w:pPr>
    <w:rPr>
      <w:rFonts w:asciiTheme="minorHAnsi" w:eastAsiaTheme="minorEastAsia" w:hAnsiTheme="minorHAnsi" w:cstheme="minorBidi"/>
    </w:rPr>
  </w:style>
  <w:style w:type="character" w:customStyle="1" w:styleId="110">
    <w:name w:val="标题 1 字符1"/>
    <w:basedOn w:val="a1"/>
    <w:uiPriority w:val="9"/>
    <w:qFormat/>
    <w:rPr>
      <w:rFonts w:asciiTheme="majorHAnsi" w:eastAsiaTheme="majorEastAsia" w:hAnsiTheme="majorHAnsi" w:cstheme="majorBidi"/>
      <w:color w:val="365F91" w:themeColor="accent1" w:themeShade="BF"/>
      <w:sz w:val="40"/>
      <w:szCs w:val="40"/>
      <w:lang w:val="en-US" w:eastAsia="zh-CN" w:bidi="ar-SA"/>
    </w:rPr>
  </w:style>
  <w:style w:type="character" w:customStyle="1" w:styleId="210">
    <w:name w:val="标题 2 字符1"/>
    <w:basedOn w:val="a1"/>
    <w:uiPriority w:val="9"/>
    <w:semiHidden/>
    <w:qFormat/>
    <w:rPr>
      <w:rFonts w:asciiTheme="majorHAnsi" w:eastAsiaTheme="majorEastAsia" w:hAnsiTheme="majorHAnsi" w:cstheme="majorBidi"/>
      <w:color w:val="365F91" w:themeColor="accent1" w:themeShade="BF"/>
      <w:sz w:val="32"/>
      <w:szCs w:val="32"/>
      <w:lang w:val="en-US" w:eastAsia="zh-CN" w:bidi="ar-SA"/>
    </w:rPr>
  </w:style>
  <w:style w:type="character" w:customStyle="1" w:styleId="310">
    <w:name w:val="标题 3 字符1"/>
    <w:basedOn w:val="a1"/>
    <w:uiPriority w:val="9"/>
    <w:semiHidden/>
    <w:qFormat/>
    <w:rPr>
      <w:rFonts w:asciiTheme="minorHAnsi" w:eastAsiaTheme="majorEastAsia" w:hAnsiTheme="minorHAnsi" w:cstheme="majorBidi"/>
      <w:color w:val="365F91" w:themeColor="accent1" w:themeShade="BF"/>
      <w:sz w:val="28"/>
      <w:szCs w:val="28"/>
      <w:lang w:val="en-US" w:eastAsia="zh-CN" w:bidi="ar-SA"/>
    </w:rPr>
  </w:style>
  <w:style w:type="character" w:customStyle="1" w:styleId="41">
    <w:name w:val="标题 4 字符1"/>
    <w:basedOn w:val="a1"/>
    <w:uiPriority w:val="9"/>
    <w:semiHidden/>
    <w:qFormat/>
    <w:rPr>
      <w:rFonts w:asciiTheme="minorHAnsi" w:eastAsiaTheme="majorEastAsia" w:hAnsiTheme="minorHAnsi" w:cstheme="majorBidi"/>
      <w:i/>
      <w:iCs/>
      <w:color w:val="365F91" w:themeColor="accent1" w:themeShade="BF"/>
      <w:sz w:val="24"/>
      <w:szCs w:val="24"/>
      <w:lang w:val="en-US" w:eastAsia="zh-CN" w:bidi="ar-SA"/>
    </w:rPr>
  </w:style>
  <w:style w:type="character" w:customStyle="1" w:styleId="51">
    <w:name w:val="标题 5 字符1"/>
    <w:basedOn w:val="a1"/>
    <w:uiPriority w:val="9"/>
    <w:semiHidden/>
    <w:qFormat/>
    <w:rPr>
      <w:rFonts w:asciiTheme="minorHAnsi" w:eastAsiaTheme="majorEastAsia" w:hAnsiTheme="minorHAnsi" w:cstheme="majorBidi"/>
      <w:color w:val="365F91" w:themeColor="accent1" w:themeShade="BF"/>
      <w:sz w:val="24"/>
      <w:szCs w:val="24"/>
      <w:lang w:val="en-US" w:eastAsia="zh-CN" w:bidi="ar-SA"/>
    </w:rPr>
  </w:style>
  <w:style w:type="character" w:customStyle="1" w:styleId="61">
    <w:name w:val="标题 6 字符1"/>
    <w:basedOn w:val="a1"/>
    <w:uiPriority w:val="9"/>
    <w:semiHidden/>
    <w:qFormat/>
    <w:rPr>
      <w:rFonts w:asciiTheme="minorHAnsi" w:eastAsiaTheme="majorEastAsia" w:hAnsiTheme="minorHAnsi" w:cstheme="majorBidi"/>
      <w:i/>
      <w:iCs/>
      <w:color w:val="595959" w:themeColor="text1" w:themeTint="A6"/>
      <w:sz w:val="24"/>
      <w:szCs w:val="24"/>
      <w:lang w:val="en-US" w:eastAsia="zh-CN" w:bidi="ar-SA"/>
    </w:rPr>
  </w:style>
  <w:style w:type="character" w:customStyle="1" w:styleId="71">
    <w:name w:val="标题 7 字符1"/>
    <w:basedOn w:val="a1"/>
    <w:uiPriority w:val="9"/>
    <w:semiHidden/>
    <w:qFormat/>
    <w:rPr>
      <w:rFonts w:asciiTheme="minorHAnsi" w:eastAsiaTheme="majorEastAsia" w:hAnsiTheme="minorHAnsi" w:cstheme="majorBidi"/>
      <w:color w:val="595959" w:themeColor="text1" w:themeTint="A6"/>
      <w:sz w:val="24"/>
      <w:szCs w:val="24"/>
      <w:lang w:val="en-US" w:eastAsia="zh-CN" w:bidi="ar-SA"/>
    </w:rPr>
  </w:style>
  <w:style w:type="character" w:customStyle="1" w:styleId="81">
    <w:name w:val="标题 8 字符1"/>
    <w:basedOn w:val="a1"/>
    <w:uiPriority w:val="9"/>
    <w:semiHidden/>
    <w:qFormat/>
    <w:rPr>
      <w:rFonts w:asciiTheme="minorHAnsi" w:eastAsiaTheme="majorEastAsia" w:hAnsiTheme="minorHAnsi" w:cstheme="majorBidi"/>
      <w:i/>
      <w:iCs/>
      <w:color w:val="262626" w:themeColor="text1" w:themeTint="D9"/>
      <w:sz w:val="24"/>
      <w:szCs w:val="24"/>
      <w:lang w:val="en-US" w:eastAsia="zh-CN" w:bidi="ar-SA"/>
    </w:rPr>
  </w:style>
  <w:style w:type="character" w:customStyle="1" w:styleId="91">
    <w:name w:val="标题 9 字符1"/>
    <w:basedOn w:val="a1"/>
    <w:uiPriority w:val="9"/>
    <w:semiHidden/>
    <w:qFormat/>
    <w:rPr>
      <w:rFonts w:asciiTheme="minorHAnsi" w:eastAsiaTheme="majorEastAsia" w:hAnsiTheme="minorHAnsi" w:cstheme="majorBidi"/>
      <w:color w:val="262626" w:themeColor="text1" w:themeTint="D9"/>
      <w:sz w:val="24"/>
      <w:szCs w:val="24"/>
      <w:lang w:val="en-US" w:eastAsia="zh-CN" w:bidi="ar-SA"/>
    </w:rPr>
  </w:style>
  <w:style w:type="paragraph" w:customStyle="1" w:styleId="TOC2">
    <w:name w:val="TOC 标题2"/>
    <w:basedOn w:val="1"/>
    <w:next w:val="a0"/>
    <w:uiPriority w:val="39"/>
    <w:unhideWhenUsed/>
    <w:qFormat/>
    <w:pPr>
      <w:keepNext/>
      <w:keepLines/>
      <w:widowControl/>
      <w:spacing w:before="240" w:after="80" w:line="259" w:lineRule="auto"/>
      <w:jc w:val="left"/>
      <w:outlineLvl w:val="9"/>
    </w:pPr>
    <w:rPr>
      <w:rFonts w:asciiTheme="majorHAnsi" w:eastAsiaTheme="majorEastAsia" w:hAnsiTheme="majorHAnsi" w:cstheme="majorBidi"/>
      <w:b w:val="0"/>
      <w:bCs w:val="0"/>
      <w:color w:val="365F91" w:themeColor="accent1" w:themeShade="BF"/>
      <w:sz w:val="40"/>
      <w:szCs w:val="40"/>
    </w:rPr>
  </w:style>
  <w:style w:type="character" w:customStyle="1" w:styleId="17">
    <w:name w:val="未处理的提及1"/>
    <w:basedOn w:val="a1"/>
    <w:uiPriority w:val="99"/>
    <w:semiHidden/>
    <w:unhideWhenUsed/>
    <w:qFormat/>
    <w:rPr>
      <w:color w:val="605E5C"/>
      <w:shd w:val="clear" w:color="auto" w:fill="E1DFDD"/>
    </w:rPr>
  </w:style>
  <w:style w:type="character" w:customStyle="1" w:styleId="24">
    <w:name w:val="标题 字符2"/>
    <w:basedOn w:val="a1"/>
    <w:uiPriority w:val="10"/>
    <w:qFormat/>
    <w:rPr>
      <w:rFonts w:asciiTheme="majorHAnsi" w:eastAsiaTheme="majorEastAsia" w:hAnsiTheme="majorHAnsi" w:cstheme="majorBidi"/>
      <w:sz w:val="56"/>
      <w:szCs w:val="56"/>
      <w:lang w:val="en-US" w:eastAsia="zh-CN" w:bidi="ar-SA"/>
    </w:rPr>
  </w:style>
  <w:style w:type="character" w:customStyle="1" w:styleId="25">
    <w:name w:val="副标题 字符2"/>
    <w:basedOn w:val="a1"/>
    <w:uiPriority w:val="11"/>
    <w:qFormat/>
    <w:rPr>
      <w:rFonts w:asciiTheme="minorHAnsi" w:eastAsiaTheme="majorEastAsia" w:hAnsiTheme="minorHAnsi" w:cstheme="majorBidi"/>
      <w:color w:val="595959" w:themeColor="text1" w:themeTint="A6"/>
      <w:spacing w:val="15"/>
      <w:sz w:val="28"/>
      <w:szCs w:val="28"/>
      <w:lang w:val="en-US" w:eastAsia="zh-CN" w:bidi="ar-SA"/>
    </w:rPr>
  </w:style>
  <w:style w:type="paragraph" w:customStyle="1" w:styleId="34">
    <w:name w:val="书目3"/>
    <w:basedOn w:val="a"/>
    <w:qFormat/>
    <w:pPr>
      <w:widowControl/>
      <w:spacing w:after="200"/>
      <w:jc w:val="left"/>
    </w:pPr>
    <w:rPr>
      <w:rFonts w:asciiTheme="minorHAnsi" w:eastAsiaTheme="minorEastAsia" w:hAnsiTheme="minorHAnsi" w:cstheme="minorBidi"/>
    </w:rPr>
  </w:style>
  <w:style w:type="character" w:customStyle="1" w:styleId="120">
    <w:name w:val="标题 1 字符2"/>
    <w:basedOn w:val="a1"/>
    <w:uiPriority w:val="9"/>
    <w:qFormat/>
    <w:rPr>
      <w:rFonts w:asciiTheme="majorHAnsi" w:eastAsiaTheme="majorEastAsia" w:hAnsiTheme="majorHAnsi" w:cstheme="majorBidi"/>
      <w:color w:val="365F91" w:themeColor="accent1" w:themeShade="BF"/>
      <w:sz w:val="40"/>
      <w:szCs w:val="40"/>
      <w:lang w:val="en-US" w:eastAsia="zh-CN" w:bidi="ar-SA"/>
    </w:rPr>
  </w:style>
  <w:style w:type="character" w:customStyle="1" w:styleId="220">
    <w:name w:val="标题 2 字符2"/>
    <w:basedOn w:val="a1"/>
    <w:uiPriority w:val="9"/>
    <w:semiHidden/>
    <w:qFormat/>
    <w:rPr>
      <w:rFonts w:asciiTheme="majorHAnsi" w:eastAsiaTheme="majorEastAsia" w:hAnsiTheme="majorHAnsi" w:cstheme="majorBidi"/>
      <w:color w:val="365F91" w:themeColor="accent1" w:themeShade="BF"/>
      <w:sz w:val="32"/>
      <w:szCs w:val="32"/>
      <w:lang w:val="en-US" w:eastAsia="zh-CN" w:bidi="ar-SA"/>
    </w:rPr>
  </w:style>
  <w:style w:type="character" w:customStyle="1" w:styleId="320">
    <w:name w:val="标题 3 字符2"/>
    <w:basedOn w:val="a1"/>
    <w:uiPriority w:val="9"/>
    <w:semiHidden/>
    <w:qFormat/>
    <w:rPr>
      <w:rFonts w:asciiTheme="minorHAnsi" w:eastAsiaTheme="majorEastAsia" w:hAnsiTheme="minorHAnsi" w:cstheme="majorBidi"/>
      <w:color w:val="365F91" w:themeColor="accent1" w:themeShade="BF"/>
      <w:sz w:val="28"/>
      <w:szCs w:val="28"/>
      <w:lang w:val="en-US" w:eastAsia="zh-CN" w:bidi="ar-SA"/>
    </w:rPr>
  </w:style>
  <w:style w:type="character" w:customStyle="1" w:styleId="42">
    <w:name w:val="标题 4 字符2"/>
    <w:basedOn w:val="a1"/>
    <w:uiPriority w:val="9"/>
    <w:semiHidden/>
    <w:qFormat/>
    <w:rPr>
      <w:rFonts w:asciiTheme="minorHAnsi" w:eastAsiaTheme="majorEastAsia" w:hAnsiTheme="minorHAnsi" w:cstheme="majorBidi"/>
      <w:i/>
      <w:iCs/>
      <w:color w:val="365F91" w:themeColor="accent1" w:themeShade="BF"/>
      <w:sz w:val="24"/>
      <w:szCs w:val="24"/>
      <w:lang w:val="en-US" w:eastAsia="zh-CN" w:bidi="ar-SA"/>
    </w:rPr>
  </w:style>
  <w:style w:type="character" w:customStyle="1" w:styleId="52">
    <w:name w:val="标题 5 字符2"/>
    <w:basedOn w:val="a1"/>
    <w:uiPriority w:val="9"/>
    <w:semiHidden/>
    <w:qFormat/>
    <w:rPr>
      <w:rFonts w:asciiTheme="minorHAnsi" w:eastAsiaTheme="majorEastAsia" w:hAnsiTheme="minorHAnsi" w:cstheme="majorBidi"/>
      <w:color w:val="365F91" w:themeColor="accent1" w:themeShade="BF"/>
      <w:sz w:val="24"/>
      <w:szCs w:val="24"/>
      <w:lang w:val="en-US" w:eastAsia="zh-CN" w:bidi="ar-SA"/>
    </w:rPr>
  </w:style>
  <w:style w:type="character" w:customStyle="1" w:styleId="62">
    <w:name w:val="标题 6 字符2"/>
    <w:basedOn w:val="a1"/>
    <w:uiPriority w:val="9"/>
    <w:semiHidden/>
    <w:qFormat/>
    <w:rPr>
      <w:rFonts w:asciiTheme="minorHAnsi" w:eastAsiaTheme="majorEastAsia" w:hAnsiTheme="minorHAnsi" w:cstheme="majorBidi"/>
      <w:i/>
      <w:iCs/>
      <w:color w:val="595959" w:themeColor="text1" w:themeTint="A6"/>
      <w:sz w:val="24"/>
      <w:szCs w:val="24"/>
      <w:lang w:val="en-US" w:eastAsia="zh-CN" w:bidi="ar-SA"/>
    </w:rPr>
  </w:style>
  <w:style w:type="character" w:customStyle="1" w:styleId="72">
    <w:name w:val="标题 7 字符2"/>
    <w:basedOn w:val="a1"/>
    <w:uiPriority w:val="9"/>
    <w:semiHidden/>
    <w:qFormat/>
    <w:rPr>
      <w:rFonts w:asciiTheme="minorHAnsi" w:eastAsiaTheme="majorEastAsia" w:hAnsiTheme="minorHAnsi" w:cstheme="majorBidi"/>
      <w:color w:val="595959" w:themeColor="text1" w:themeTint="A6"/>
      <w:sz w:val="24"/>
      <w:szCs w:val="24"/>
      <w:lang w:val="en-US" w:eastAsia="zh-CN" w:bidi="ar-SA"/>
    </w:rPr>
  </w:style>
  <w:style w:type="character" w:customStyle="1" w:styleId="82">
    <w:name w:val="标题 8 字符2"/>
    <w:basedOn w:val="a1"/>
    <w:uiPriority w:val="9"/>
    <w:semiHidden/>
    <w:qFormat/>
    <w:rPr>
      <w:rFonts w:asciiTheme="minorHAnsi" w:eastAsiaTheme="majorEastAsia" w:hAnsiTheme="minorHAnsi" w:cstheme="majorBidi"/>
      <w:i/>
      <w:iCs/>
      <w:color w:val="262626" w:themeColor="text1" w:themeTint="D9"/>
      <w:sz w:val="24"/>
      <w:szCs w:val="24"/>
      <w:lang w:val="en-US" w:eastAsia="zh-CN" w:bidi="ar-SA"/>
    </w:rPr>
  </w:style>
  <w:style w:type="character" w:customStyle="1" w:styleId="92">
    <w:name w:val="标题 9 字符2"/>
    <w:basedOn w:val="a1"/>
    <w:uiPriority w:val="9"/>
    <w:semiHidden/>
    <w:qFormat/>
    <w:rPr>
      <w:rFonts w:asciiTheme="minorHAnsi" w:eastAsiaTheme="majorEastAsia" w:hAnsiTheme="minorHAnsi" w:cstheme="majorBidi"/>
      <w:color w:val="262626" w:themeColor="text1" w:themeTint="D9"/>
      <w:sz w:val="24"/>
      <w:szCs w:val="24"/>
      <w:lang w:val="en-US" w:eastAsia="zh-CN" w:bidi="ar-SA"/>
    </w:rPr>
  </w:style>
  <w:style w:type="paragraph" w:customStyle="1" w:styleId="TOC3">
    <w:name w:val="TOC 标题3"/>
    <w:basedOn w:val="1"/>
    <w:next w:val="a0"/>
    <w:uiPriority w:val="39"/>
    <w:unhideWhenUsed/>
    <w:qFormat/>
    <w:pPr>
      <w:keepNext/>
      <w:keepLines/>
      <w:widowControl/>
      <w:spacing w:before="240" w:after="80" w:line="259" w:lineRule="auto"/>
      <w:jc w:val="left"/>
      <w:outlineLvl w:val="9"/>
    </w:pPr>
    <w:rPr>
      <w:rFonts w:asciiTheme="majorHAnsi" w:eastAsiaTheme="majorEastAsia" w:hAnsiTheme="majorHAnsi" w:cstheme="majorBidi"/>
      <w:b w:val="0"/>
      <w:bCs w:val="0"/>
      <w:color w:val="365F91" w:themeColor="accent1" w:themeShade="BF"/>
      <w:sz w:val="40"/>
      <w:szCs w:val="40"/>
    </w:rPr>
  </w:style>
  <w:style w:type="paragraph" w:customStyle="1" w:styleId="26">
    <w:name w:val="修订2"/>
    <w:hidden/>
    <w:uiPriority w:val="99"/>
    <w:unhideWhenUsed/>
    <w:qFormat/>
    <w:rPr>
      <w:rFonts w:eastAsia="Times New Roman"/>
      <w:sz w:val="24"/>
      <w:szCs w:val="24"/>
    </w:rPr>
  </w:style>
  <w:style w:type="character" w:customStyle="1" w:styleId="katex-mathml">
    <w:name w:val="katex-mathml"/>
    <w:basedOn w:val="a1"/>
    <w:qFormat/>
  </w:style>
  <w:style w:type="character" w:customStyle="1" w:styleId="mord">
    <w:name w:val="mord"/>
    <w:basedOn w:val="a1"/>
    <w:qFormat/>
  </w:style>
  <w:style w:type="character" w:customStyle="1" w:styleId="vlist-s">
    <w:name w:val="vlist-s"/>
    <w:basedOn w:val="a1"/>
    <w:qFormat/>
  </w:style>
  <w:style w:type="character" w:customStyle="1" w:styleId="30">
    <w:name w:val="标题 字符3"/>
    <w:basedOn w:val="a1"/>
    <w:link w:val="a9"/>
    <w:uiPriority w:val="10"/>
    <w:qFormat/>
    <w:rPr>
      <w:rFonts w:asciiTheme="majorHAnsi" w:eastAsiaTheme="majorEastAsia" w:hAnsiTheme="majorHAnsi" w:cstheme="majorBidi"/>
      <w:sz w:val="56"/>
      <w:szCs w:val="56"/>
      <w:lang w:val="en-US" w:eastAsia="zh-CN" w:bidi="ar-SA"/>
    </w:rPr>
  </w:style>
  <w:style w:type="character" w:customStyle="1" w:styleId="31">
    <w:name w:val="副标题 字符3"/>
    <w:basedOn w:val="a1"/>
    <w:link w:val="af0"/>
    <w:uiPriority w:val="11"/>
    <w:qFormat/>
    <w:rPr>
      <w:rFonts w:asciiTheme="minorHAnsi" w:eastAsiaTheme="majorEastAsia" w:hAnsiTheme="minorHAnsi" w:cstheme="majorBidi"/>
      <w:color w:val="595959" w:themeColor="text1" w:themeTint="A6"/>
      <w:spacing w:val="15"/>
      <w:sz w:val="28"/>
      <w:szCs w:val="28"/>
      <w:lang w:val="en-US" w:eastAsia="zh-CN" w:bidi="ar-SA"/>
    </w:rPr>
  </w:style>
  <w:style w:type="paragraph" w:customStyle="1" w:styleId="44">
    <w:name w:val="书目4"/>
    <w:basedOn w:val="a"/>
    <w:qFormat/>
    <w:pPr>
      <w:widowControl/>
      <w:spacing w:after="200"/>
      <w:jc w:val="left"/>
    </w:pPr>
    <w:rPr>
      <w:rFonts w:asciiTheme="minorHAnsi" w:eastAsiaTheme="minorEastAsia" w:hAnsiTheme="minorHAnsi" w:cstheme="minorBidi"/>
    </w:rPr>
  </w:style>
  <w:style w:type="character" w:customStyle="1" w:styleId="13">
    <w:name w:val="标题 1 字符3"/>
    <w:basedOn w:val="a1"/>
    <w:link w:val="1"/>
    <w:uiPriority w:val="9"/>
    <w:qFormat/>
    <w:rPr>
      <w:rFonts w:asciiTheme="majorHAnsi" w:eastAsiaTheme="majorEastAsia" w:hAnsiTheme="majorHAnsi" w:cstheme="majorBidi"/>
      <w:color w:val="365F91" w:themeColor="accent1" w:themeShade="BF"/>
      <w:sz w:val="40"/>
      <w:szCs w:val="40"/>
      <w:lang w:val="en-US" w:eastAsia="zh-CN" w:bidi="ar-SA"/>
    </w:rPr>
  </w:style>
  <w:style w:type="character" w:customStyle="1" w:styleId="23">
    <w:name w:val="标题 2 字符3"/>
    <w:basedOn w:val="a1"/>
    <w:link w:val="2"/>
    <w:uiPriority w:val="9"/>
    <w:semiHidden/>
    <w:qFormat/>
    <w:rPr>
      <w:rFonts w:asciiTheme="majorHAnsi" w:eastAsiaTheme="majorEastAsia" w:hAnsiTheme="majorHAnsi" w:cstheme="majorBidi"/>
      <w:color w:val="365F91" w:themeColor="accent1" w:themeShade="BF"/>
      <w:sz w:val="32"/>
      <w:szCs w:val="32"/>
      <w:lang w:val="en-US" w:eastAsia="zh-CN" w:bidi="ar-SA"/>
    </w:rPr>
  </w:style>
  <w:style w:type="character" w:customStyle="1" w:styleId="33">
    <w:name w:val="标题 3 字符3"/>
    <w:basedOn w:val="a1"/>
    <w:link w:val="3"/>
    <w:uiPriority w:val="9"/>
    <w:semiHidden/>
    <w:qFormat/>
    <w:rPr>
      <w:rFonts w:asciiTheme="minorHAnsi" w:eastAsiaTheme="majorEastAsia" w:hAnsiTheme="minorHAnsi" w:cstheme="majorBidi"/>
      <w:color w:val="365F91" w:themeColor="accent1" w:themeShade="BF"/>
      <w:sz w:val="28"/>
      <w:szCs w:val="28"/>
      <w:lang w:val="en-US" w:eastAsia="zh-CN" w:bidi="ar-SA"/>
    </w:rPr>
  </w:style>
  <w:style w:type="character" w:customStyle="1" w:styleId="43">
    <w:name w:val="标题 4 字符3"/>
    <w:basedOn w:val="a1"/>
    <w:link w:val="4"/>
    <w:uiPriority w:val="9"/>
    <w:semiHidden/>
    <w:qFormat/>
    <w:rPr>
      <w:rFonts w:asciiTheme="minorHAnsi" w:eastAsiaTheme="majorEastAsia" w:hAnsiTheme="minorHAnsi" w:cstheme="majorBidi"/>
      <w:i/>
      <w:iCs/>
      <w:color w:val="365F91" w:themeColor="accent1" w:themeShade="BF"/>
      <w:sz w:val="24"/>
      <w:szCs w:val="24"/>
      <w:lang w:val="en-US" w:eastAsia="zh-CN" w:bidi="ar-SA"/>
    </w:rPr>
  </w:style>
  <w:style w:type="character" w:customStyle="1" w:styleId="53">
    <w:name w:val="标题 5 字符3"/>
    <w:basedOn w:val="a1"/>
    <w:link w:val="5"/>
    <w:uiPriority w:val="9"/>
    <w:semiHidden/>
    <w:qFormat/>
    <w:rPr>
      <w:rFonts w:asciiTheme="minorHAnsi" w:eastAsiaTheme="majorEastAsia" w:hAnsiTheme="minorHAnsi" w:cstheme="majorBidi"/>
      <w:color w:val="365F91" w:themeColor="accent1" w:themeShade="BF"/>
      <w:sz w:val="24"/>
      <w:szCs w:val="24"/>
      <w:lang w:val="en-US" w:eastAsia="zh-CN" w:bidi="ar-SA"/>
    </w:rPr>
  </w:style>
  <w:style w:type="character" w:customStyle="1" w:styleId="63">
    <w:name w:val="标题 6 字符3"/>
    <w:basedOn w:val="a1"/>
    <w:link w:val="6"/>
    <w:uiPriority w:val="9"/>
    <w:semiHidden/>
    <w:qFormat/>
    <w:rPr>
      <w:rFonts w:asciiTheme="minorHAnsi" w:eastAsiaTheme="majorEastAsia" w:hAnsiTheme="minorHAnsi" w:cstheme="majorBidi"/>
      <w:i/>
      <w:iCs/>
      <w:color w:val="595959" w:themeColor="text1" w:themeTint="A6"/>
      <w:sz w:val="24"/>
      <w:szCs w:val="24"/>
      <w:lang w:val="en-US" w:eastAsia="zh-CN" w:bidi="ar-SA"/>
    </w:rPr>
  </w:style>
  <w:style w:type="character" w:customStyle="1" w:styleId="73">
    <w:name w:val="标题 7 字符3"/>
    <w:basedOn w:val="a1"/>
    <w:link w:val="7"/>
    <w:uiPriority w:val="9"/>
    <w:semiHidden/>
    <w:qFormat/>
    <w:rPr>
      <w:rFonts w:asciiTheme="minorHAnsi" w:eastAsiaTheme="majorEastAsia" w:hAnsiTheme="minorHAnsi" w:cstheme="majorBidi"/>
      <w:color w:val="595959" w:themeColor="text1" w:themeTint="A6"/>
      <w:sz w:val="24"/>
      <w:szCs w:val="24"/>
      <w:lang w:val="en-US" w:eastAsia="zh-CN" w:bidi="ar-SA"/>
    </w:rPr>
  </w:style>
  <w:style w:type="character" w:customStyle="1" w:styleId="83">
    <w:name w:val="标题 8 字符3"/>
    <w:basedOn w:val="a1"/>
    <w:link w:val="8"/>
    <w:uiPriority w:val="9"/>
    <w:semiHidden/>
    <w:qFormat/>
    <w:rPr>
      <w:rFonts w:asciiTheme="minorHAnsi" w:eastAsiaTheme="majorEastAsia" w:hAnsiTheme="minorHAnsi" w:cstheme="majorBidi"/>
      <w:i/>
      <w:iCs/>
      <w:color w:val="262626" w:themeColor="text1" w:themeTint="D9"/>
      <w:sz w:val="24"/>
      <w:szCs w:val="24"/>
      <w:lang w:val="en-US" w:eastAsia="zh-CN" w:bidi="ar-SA"/>
    </w:rPr>
  </w:style>
  <w:style w:type="character" w:customStyle="1" w:styleId="93">
    <w:name w:val="标题 9 字符3"/>
    <w:basedOn w:val="a1"/>
    <w:link w:val="9"/>
    <w:uiPriority w:val="9"/>
    <w:semiHidden/>
    <w:qFormat/>
    <w:rPr>
      <w:rFonts w:asciiTheme="minorHAnsi" w:eastAsiaTheme="majorEastAsia" w:hAnsiTheme="minorHAnsi" w:cstheme="majorBidi"/>
      <w:color w:val="262626" w:themeColor="text1" w:themeTint="D9"/>
      <w:sz w:val="24"/>
      <w:szCs w:val="24"/>
      <w:lang w:val="en-US" w:eastAsia="zh-CN" w:bidi="ar-SA"/>
    </w:rPr>
  </w:style>
  <w:style w:type="paragraph" w:customStyle="1" w:styleId="TOC4">
    <w:name w:val="TOC 标题4"/>
    <w:basedOn w:val="1"/>
    <w:next w:val="a0"/>
    <w:uiPriority w:val="39"/>
    <w:unhideWhenUsed/>
    <w:qFormat/>
    <w:pPr>
      <w:keepNext/>
      <w:keepLines/>
      <w:widowControl/>
      <w:spacing w:before="240" w:after="80" w:line="259" w:lineRule="auto"/>
      <w:jc w:val="left"/>
      <w:outlineLvl w:val="9"/>
    </w:pPr>
    <w:rPr>
      <w:rFonts w:asciiTheme="majorHAnsi" w:eastAsiaTheme="majorEastAsia" w:hAnsiTheme="majorHAnsi" w:cstheme="majorBidi"/>
      <w:b w:val="0"/>
      <w:bCs w:val="0"/>
      <w:color w:val="365F9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F9C77B-13D8-429A-A0B0-EE491B6E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5496</Words>
  <Characters>31329</Characters>
  <Application>Microsoft Office Word</Application>
  <DocSecurity>0</DocSecurity>
  <Lines>261</Lines>
  <Paragraphs>73</Paragraphs>
  <ScaleCrop>false</ScaleCrop>
  <Company/>
  <LinksUpToDate>false</LinksUpToDate>
  <CharactersWithSpaces>36752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yufeng</dc:creator>
  <cp:lastModifiedBy>羽丰 王</cp:lastModifiedBy>
  <cp:revision>17</cp:revision>
  <dcterms:created xsi:type="dcterms:W3CDTF">2026-02-12T02:14:00Z</dcterms:created>
  <dcterms:modified xsi:type="dcterms:W3CDTF">2026-02-14T04:46:00Z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eyJoZGlkIjoiNjA3ZGUwMTI1ZjMwMGM1ZGQ3ZWMwZjExODJkZGFmY2QiLCJ1c2VySWQiOiI2MTE4NTM4NTEifQ==</vt:lpwstr>
  </property>
  <property fmtid="{D5CDD505-2E9C-101B-9397-08002B2CF9AE}" pid="3" name="KSOProductBuildVer">
    <vt:lpwstr>2052-12.1.0.25225</vt:lpwstr>
  </property>
  <property fmtid="{D5CDD505-2E9C-101B-9397-08002B2CF9AE}" pid="4" name="ICV">
    <vt:lpwstr>7F4566EE0F4940B09A9251CA1425F84C_13</vt:lpwstr>
  </property>
</Properties>
</file>