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C5685" w14:textId="77777777" w:rsidR="007D1EFB" w:rsidRPr="007D1EFB" w:rsidRDefault="007D1EFB" w:rsidP="007D1EFB">
      <w:pPr>
        <w:rPr>
          <w:lang w:val="en-GB"/>
        </w:rPr>
      </w:pPr>
      <w:r w:rsidRPr="007D1EFB">
        <w:rPr>
          <w:lang w:val="en-GB"/>
        </w:rPr>
        <w:t>Extended Data figure legends</w:t>
      </w:r>
    </w:p>
    <w:p w14:paraId="5F3FF692" w14:textId="77777777" w:rsidR="007D1EFB" w:rsidRPr="007D1EFB" w:rsidRDefault="007D1EFB" w:rsidP="007D1EFB">
      <w:pPr>
        <w:rPr>
          <w:b/>
          <w:bCs/>
          <w:lang w:val="en-CA"/>
        </w:rPr>
      </w:pPr>
    </w:p>
    <w:p w14:paraId="33E3191B" w14:textId="77777777" w:rsidR="007D1EFB" w:rsidRPr="007D1EFB" w:rsidRDefault="007D1EFB" w:rsidP="007D1EFB">
      <w:pPr>
        <w:rPr>
          <w:lang w:val="en-CA"/>
        </w:rPr>
      </w:pPr>
      <w:r w:rsidRPr="007D1EFB">
        <w:rPr>
          <w:b/>
          <w:bCs/>
          <w:lang w:val="en-CA"/>
        </w:rPr>
        <w:t xml:space="preserve">Extended Data Fig. 1 | </w:t>
      </w:r>
      <w:r w:rsidRPr="007D1EFB">
        <w:rPr>
          <w:lang w:val="en-CA"/>
        </w:rPr>
        <w:t>Long COVID is associated with sex-stratified microbiome alterations that persist to 12 months after infection</w:t>
      </w:r>
    </w:p>
    <w:p w14:paraId="2A46E106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/>
          <w:lang w:val="en-CA"/>
        </w:rPr>
        <w:t>a</w:t>
      </w:r>
      <w:r w:rsidRPr="007D1EFB">
        <w:rPr>
          <w:bCs/>
          <w:lang w:val="en-CA"/>
        </w:rPr>
        <w:t xml:space="preserve">, Alpha diversity in females (left) and males (right) measured by Simpson and Pielou indices in COVID-negative individuals (COVIDNEG; females, n=3; males, n=5) and in long COVID (LC) participants at 3-6 months (females, n=45; males, n=22) and 12 months (females, n=37; males, n=15) after infection. Violin plots show the distribution; centre lines denote medians and boxes indicate interquartile ranges. </w:t>
      </w:r>
      <w:r w:rsidRPr="007D1EFB">
        <w:rPr>
          <w:b/>
          <w:lang w:val="en-CA"/>
        </w:rPr>
        <w:t>b</w:t>
      </w:r>
      <w:r w:rsidRPr="007D1EFB">
        <w:rPr>
          <w:bCs/>
          <w:lang w:val="en-CA"/>
        </w:rPr>
        <w:t xml:space="preserve">, Principal coordinates analysis (PCoA) of Bray-Curtis dissimilarity computed from Hellinger-transformed genus-level relative abundance profiles, shown separately for females (left) and males (right). Marginal boxplots summarize the distribution along each principal coordinate. The table reports </w:t>
      </w:r>
      <w:r w:rsidRPr="007D1EFB">
        <w:rPr>
          <w:bCs/>
          <w:i/>
          <w:iCs/>
          <w:lang w:val="en-CA"/>
        </w:rPr>
        <w:t>P</w:t>
      </w:r>
      <w:r w:rsidRPr="007D1EFB">
        <w:rPr>
          <w:bCs/>
          <w:lang w:val="en-CA"/>
        </w:rPr>
        <w:t xml:space="preserve"> values from permutational multivariate analysis of variance (PERMANOVA; Adonis) for pairwise group comparisons. </w:t>
      </w:r>
      <w:r w:rsidRPr="007D1EFB">
        <w:rPr>
          <w:b/>
          <w:lang w:val="en-CA"/>
        </w:rPr>
        <w:t>c</w:t>
      </w:r>
      <w:r w:rsidRPr="007D1EFB">
        <w:rPr>
          <w:bCs/>
          <w:lang w:val="en-CA"/>
        </w:rPr>
        <w:t>,</w:t>
      </w:r>
      <w:r w:rsidRPr="007D1EFB">
        <w:rPr>
          <w:b/>
          <w:lang w:val="en-CA"/>
        </w:rPr>
        <w:t>d</w:t>
      </w:r>
      <w:r w:rsidRPr="007D1EFB">
        <w:rPr>
          <w:bCs/>
          <w:lang w:val="en-CA"/>
        </w:rPr>
        <w:t>, Random Forest feature-importance plots identifying discriminatory microbial taxa at the family (</w:t>
      </w:r>
      <w:r w:rsidRPr="007D1EFB">
        <w:rPr>
          <w:b/>
          <w:lang w:val="en-CA"/>
        </w:rPr>
        <w:t>c</w:t>
      </w:r>
      <w:r w:rsidRPr="007D1EFB">
        <w:rPr>
          <w:bCs/>
          <w:lang w:val="en-CA"/>
        </w:rPr>
        <w:t>) and genus (</w:t>
      </w:r>
      <w:r w:rsidRPr="007D1EFB">
        <w:rPr>
          <w:b/>
          <w:lang w:val="en-CA"/>
        </w:rPr>
        <w:t>d</w:t>
      </w:r>
      <w:r w:rsidRPr="007D1EFB">
        <w:rPr>
          <w:bCs/>
          <w:lang w:val="en-CA"/>
        </w:rPr>
        <w:t>) levels for the indicated comparisons in females (left) and males (right). Points denote variable importance (mean decrease in accuracy). Heatmaps summarize relative abundance patterns across groups (red, higher abundance; blue, lower abundance).</w:t>
      </w:r>
    </w:p>
    <w:p w14:paraId="7C337034" w14:textId="77777777" w:rsidR="007D1EFB" w:rsidRPr="007D1EFB" w:rsidRDefault="007D1EFB" w:rsidP="007D1EFB">
      <w:pPr>
        <w:rPr>
          <w:b/>
          <w:bCs/>
          <w:lang w:val="en-CA"/>
        </w:rPr>
      </w:pPr>
    </w:p>
    <w:p w14:paraId="5C64709A" w14:textId="77777777" w:rsidR="007D1EFB" w:rsidRPr="007D1EFB" w:rsidRDefault="007D1EFB" w:rsidP="007D1EFB">
      <w:pPr>
        <w:rPr>
          <w:b/>
          <w:bCs/>
          <w:lang w:val="en-CA"/>
        </w:rPr>
      </w:pPr>
    </w:p>
    <w:p w14:paraId="1440AB93" w14:textId="77777777" w:rsidR="007D1EFB" w:rsidRPr="007D1EFB" w:rsidRDefault="007D1EFB" w:rsidP="007D1EFB">
      <w:pPr>
        <w:rPr>
          <w:lang w:val="en-CA"/>
        </w:rPr>
      </w:pPr>
      <w:r w:rsidRPr="007D1EFB">
        <w:rPr>
          <w:b/>
          <w:bCs/>
          <w:lang w:val="en-CA"/>
        </w:rPr>
        <w:t xml:space="preserve">Extended Data Fig. 2 | </w:t>
      </w:r>
      <w:r w:rsidRPr="007D1EFB">
        <w:rPr>
          <w:lang w:val="en-CA"/>
        </w:rPr>
        <w:t>Neurological symptom burden in long COVID associates with altered alpha and beta diversity in a sex-stratified manner</w:t>
      </w:r>
    </w:p>
    <w:p w14:paraId="1002E1E6" w14:textId="77777777" w:rsidR="007D1EFB" w:rsidRPr="007D1EFB" w:rsidRDefault="007D1EFB" w:rsidP="007D1EFB">
      <w:pPr>
        <w:rPr>
          <w:lang w:val="en-CA"/>
        </w:rPr>
      </w:pPr>
      <w:r w:rsidRPr="007D1EFB">
        <w:rPr>
          <w:b/>
          <w:bCs/>
          <w:lang w:val="en-CA"/>
        </w:rPr>
        <w:t>a</w:t>
      </w:r>
      <w:r w:rsidRPr="007D1EFB">
        <w:rPr>
          <w:lang w:val="en-CA"/>
        </w:rPr>
        <w:t>,</w:t>
      </w:r>
      <w:r w:rsidRPr="007D1EFB">
        <w:rPr>
          <w:b/>
          <w:bCs/>
          <w:lang w:val="en-CA"/>
        </w:rPr>
        <w:t xml:space="preserve">c, </w:t>
      </w:r>
      <w:r w:rsidRPr="007D1EFB">
        <w:rPr>
          <w:lang w:val="en-CA"/>
        </w:rPr>
        <w:t>Alpha diversity in female (</w:t>
      </w:r>
      <w:r w:rsidRPr="007D1EFB">
        <w:rPr>
          <w:b/>
          <w:bCs/>
          <w:lang w:val="en-CA"/>
        </w:rPr>
        <w:t>a</w:t>
      </w:r>
      <w:r w:rsidRPr="007D1EFB">
        <w:rPr>
          <w:lang w:val="en-CA"/>
        </w:rPr>
        <w:t>) and male (</w:t>
      </w:r>
      <w:r w:rsidRPr="007D1EFB">
        <w:rPr>
          <w:b/>
          <w:bCs/>
          <w:lang w:val="en-CA"/>
        </w:rPr>
        <w:t>c</w:t>
      </w:r>
      <w:r w:rsidRPr="007D1EFB">
        <w:rPr>
          <w:lang w:val="en-CA"/>
        </w:rPr>
        <w:t xml:space="preserve">) long COVID (LC) participants stratified by neurological symptom burden (No-Neuro, Mild Neuro, Severe Neuro) at 3-6 months and 12 months after infection, quantified by the Simpson and Pielou indices. Group sizes are: 1) females: No-Neuro (3-6 months, n=6; 12 months, n=10), Mild Neuro (3-6 months, n=22; 12 months, n=19), Severe Neuro (3-6 months, n=17; 12 months, n=8); 2) males: No-Neuro (3-6 months, n=4; 12 months, n=10), Mild Neuro (3-6 months, n=13; 12 months, n=8), Severe Neuro (3-6 months, n=4; 12 months, n=3). Violin plots show the distribution; boxes indicate medians and interquartile ranges. </w:t>
      </w:r>
      <w:r w:rsidRPr="007D1EFB">
        <w:rPr>
          <w:i/>
          <w:iCs/>
          <w:lang w:val="en-CA"/>
        </w:rPr>
        <w:t xml:space="preserve">P </w:t>
      </w:r>
      <w:r w:rsidRPr="007D1EFB">
        <w:rPr>
          <w:lang w:val="en-CA"/>
        </w:rPr>
        <w:t xml:space="preserve">values for indicated comparisons are shown. </w:t>
      </w:r>
      <w:r w:rsidRPr="007D1EFB">
        <w:rPr>
          <w:b/>
          <w:bCs/>
          <w:lang w:val="en-CA"/>
        </w:rPr>
        <w:t>b</w:t>
      </w:r>
      <w:r w:rsidRPr="007D1EFB">
        <w:rPr>
          <w:lang w:val="en-CA"/>
        </w:rPr>
        <w:t>,</w:t>
      </w:r>
      <w:r w:rsidRPr="007D1EFB">
        <w:rPr>
          <w:b/>
          <w:bCs/>
          <w:lang w:val="en-CA"/>
        </w:rPr>
        <w:t>d</w:t>
      </w:r>
      <w:r w:rsidRPr="007D1EFB">
        <w:rPr>
          <w:lang w:val="en-CA"/>
        </w:rPr>
        <w:t>, Principal coordinates analysis (PCoA) of Bray-Curtis dissimilarity for females (</w:t>
      </w:r>
      <w:r w:rsidRPr="007D1EFB">
        <w:rPr>
          <w:b/>
          <w:bCs/>
          <w:lang w:val="en-CA"/>
        </w:rPr>
        <w:t>b</w:t>
      </w:r>
      <w:r w:rsidRPr="007D1EFB">
        <w:rPr>
          <w:lang w:val="en-CA"/>
        </w:rPr>
        <w:t>) and males (</w:t>
      </w:r>
      <w:r w:rsidRPr="007D1EFB">
        <w:rPr>
          <w:b/>
          <w:bCs/>
          <w:lang w:val="en-CA"/>
        </w:rPr>
        <w:t>d</w:t>
      </w:r>
      <w:r w:rsidRPr="007D1EFB">
        <w:rPr>
          <w:lang w:val="en-CA"/>
        </w:rPr>
        <w:t xml:space="preserve">), with points coloured by neurological symptom group and time point; ellipses indicate group dispersion. The inset table reports </w:t>
      </w:r>
      <w:r w:rsidRPr="007D1EFB">
        <w:rPr>
          <w:i/>
          <w:iCs/>
          <w:lang w:val="en-CA"/>
        </w:rPr>
        <w:t>P</w:t>
      </w:r>
      <w:r w:rsidRPr="007D1EFB">
        <w:rPr>
          <w:lang w:val="en-CA"/>
        </w:rPr>
        <w:t xml:space="preserve"> values from permutational multivariate analysis of variance (PERMANOVA; Adonis) for the indicated pairwise comparisons.</w:t>
      </w:r>
    </w:p>
    <w:p w14:paraId="59A0F092" w14:textId="77777777" w:rsidR="007D1EFB" w:rsidRPr="007D1EFB" w:rsidRDefault="007D1EFB" w:rsidP="007D1EFB">
      <w:pPr>
        <w:rPr>
          <w:b/>
          <w:bCs/>
          <w:lang w:val="en-CA"/>
        </w:rPr>
      </w:pPr>
    </w:p>
    <w:p w14:paraId="0E39FDD7" w14:textId="77777777" w:rsidR="007D1EFB" w:rsidRPr="007D1EFB" w:rsidRDefault="007D1EFB" w:rsidP="007D1EFB">
      <w:pPr>
        <w:rPr>
          <w:b/>
          <w:bCs/>
          <w:lang w:val="en-CA"/>
        </w:rPr>
      </w:pPr>
    </w:p>
    <w:p w14:paraId="61CBCAB0" w14:textId="77777777" w:rsidR="007D1EFB" w:rsidRPr="007D1EFB" w:rsidRDefault="007D1EFB" w:rsidP="007D1EFB">
      <w:pPr>
        <w:rPr>
          <w:lang w:val="en-CA"/>
        </w:rPr>
      </w:pPr>
      <w:r w:rsidRPr="007D1EFB">
        <w:rPr>
          <w:b/>
          <w:bCs/>
          <w:lang w:val="en-CA"/>
        </w:rPr>
        <w:t xml:space="preserve">Extended Data Fig. 3 | </w:t>
      </w:r>
      <w:r w:rsidRPr="007D1EFB">
        <w:rPr>
          <w:lang w:val="en-CA"/>
        </w:rPr>
        <w:t>Factor analysis of mixed data links symptom dimensions to microbiome variation in long COVID, with stronger and more persistent associations in females</w:t>
      </w:r>
    </w:p>
    <w:p w14:paraId="622BBADF" w14:textId="77777777" w:rsidR="007D1EFB" w:rsidRPr="007D1EFB" w:rsidRDefault="007D1EFB" w:rsidP="007D1EFB">
      <w:pPr>
        <w:rPr>
          <w:lang w:val="en-CA"/>
        </w:rPr>
      </w:pPr>
      <w:r w:rsidRPr="007D1EFB">
        <w:rPr>
          <w:lang w:val="en-CA"/>
        </w:rPr>
        <w:t xml:space="preserve">Factor analysis of mixed data (FAMD) was performed using 49 symptom variables spanning neurocognitive/neuropsychiatric, sensorimotor/vestibular, gastrointestinal, chemosensory and cardiopulmonary domains in LC participants at 3-6 months and 12 months after infection. Biplots show variable loadings across the first two dimensions (Dim.1 versus Dim.2) for </w:t>
      </w:r>
      <w:r w:rsidRPr="007D1EFB">
        <w:rPr>
          <w:b/>
          <w:bCs/>
          <w:lang w:val="en-CA"/>
        </w:rPr>
        <w:t>a</w:t>
      </w:r>
      <w:r w:rsidRPr="007D1EFB">
        <w:rPr>
          <w:lang w:val="en-CA"/>
        </w:rPr>
        <w:t xml:space="preserve">, all participants, </w:t>
      </w:r>
      <w:r w:rsidRPr="007D1EFB">
        <w:rPr>
          <w:b/>
          <w:bCs/>
          <w:lang w:val="en-CA"/>
        </w:rPr>
        <w:t>b</w:t>
      </w:r>
      <w:r w:rsidRPr="007D1EFB">
        <w:rPr>
          <w:lang w:val="en-CA"/>
        </w:rPr>
        <w:t xml:space="preserve">, females and </w:t>
      </w:r>
      <w:r w:rsidRPr="007D1EFB">
        <w:rPr>
          <w:b/>
          <w:bCs/>
          <w:lang w:val="en-CA"/>
        </w:rPr>
        <w:t>c</w:t>
      </w:r>
      <w:r w:rsidRPr="007D1EFB">
        <w:rPr>
          <w:lang w:val="en-CA"/>
        </w:rPr>
        <w:t>, males. Analyses included participants with complete symptom data (females, n=88: 3-6 months, n=50; 12 months, n=38; males, n=38: 3-6 months, n=23; 12 months, n=15). Vectors represent symptom variable contributions to each dimension; colour indicates the squared cosine (cos²), with higher cos² values indicating variables better represented by the first 2 dimensions.</w:t>
      </w:r>
    </w:p>
    <w:p w14:paraId="42ACDD4B" w14:textId="77777777" w:rsidR="007D1EFB" w:rsidRPr="007D1EFB" w:rsidRDefault="007D1EFB" w:rsidP="007D1EFB">
      <w:pPr>
        <w:rPr>
          <w:b/>
          <w:bCs/>
          <w:lang w:val="en-CA"/>
        </w:rPr>
      </w:pPr>
    </w:p>
    <w:p w14:paraId="7CB26FBE" w14:textId="77777777" w:rsidR="007D1EFB" w:rsidRPr="007D1EFB" w:rsidRDefault="007D1EFB" w:rsidP="007D1EFB">
      <w:pPr>
        <w:rPr>
          <w:b/>
          <w:bCs/>
          <w:lang w:val="en-CA"/>
        </w:rPr>
      </w:pPr>
    </w:p>
    <w:p w14:paraId="6475C2A2" w14:textId="77777777" w:rsidR="007D1EFB" w:rsidRPr="007D1EFB" w:rsidRDefault="007D1EFB" w:rsidP="007D1EFB">
      <w:pPr>
        <w:rPr>
          <w:lang w:val="en-CA"/>
        </w:rPr>
      </w:pPr>
      <w:r w:rsidRPr="007D1EFB">
        <w:rPr>
          <w:b/>
          <w:bCs/>
          <w:lang w:val="en-CA"/>
        </w:rPr>
        <w:t xml:space="preserve">Extended Data Fig. 4 | </w:t>
      </w:r>
      <w:r w:rsidRPr="007D1EFB">
        <w:rPr>
          <w:lang w:val="en-CA"/>
        </w:rPr>
        <w:t>Microbiota from donors with long COVID and neurological symptoms is associated with altered open-field metrics and reduced colonic ZO-1 staining in gnotobiotic mice</w:t>
      </w:r>
    </w:p>
    <w:p w14:paraId="14B8AF60" w14:textId="77777777" w:rsidR="007D1EFB" w:rsidRPr="007D1EFB" w:rsidRDefault="007D1EFB" w:rsidP="007D1EFB">
      <w:pPr>
        <w:rPr>
          <w:lang w:val="en-CA"/>
        </w:rPr>
      </w:pPr>
      <w:r w:rsidRPr="007D1EFB">
        <w:rPr>
          <w:b/>
          <w:bCs/>
          <w:lang w:val="en-CA"/>
        </w:rPr>
        <w:t xml:space="preserve">a, </w:t>
      </w:r>
      <w:r w:rsidRPr="007D1EFB">
        <w:rPr>
          <w:lang w:val="en-CA"/>
        </w:rPr>
        <w:t xml:space="preserve">Open-field test in germ-free (GF) mice colonised with microbiota from female long COVID (LC) donors without neurological symptoms (No-Neuro; n=4 donors) or with neurological symptoms (Neuro; n=4 donors). Mice were colonised with microbiota from individual donors (n=5 mice per donor), for a total of n=20 mice per group. Plots show centre and border entry frequency (left) and time spent in the centre (percentage; right). Each dot represents one mouse; violin plots show the distribution. </w:t>
      </w:r>
      <w:r w:rsidRPr="007D1EFB">
        <w:rPr>
          <w:i/>
          <w:iCs/>
          <w:lang w:val="en-CA"/>
        </w:rPr>
        <w:t xml:space="preserve">P </w:t>
      </w:r>
      <w:r w:rsidRPr="007D1EFB">
        <w:rPr>
          <w:lang w:val="en-CA"/>
        </w:rPr>
        <w:t xml:space="preserve">values are shown (two-sided tests as indicated in Methods). </w:t>
      </w:r>
      <w:r w:rsidRPr="007D1EFB">
        <w:rPr>
          <w:b/>
          <w:bCs/>
          <w:lang w:val="en-CA"/>
        </w:rPr>
        <w:t>b</w:t>
      </w:r>
      <w:r w:rsidRPr="007D1EFB">
        <w:rPr>
          <w:lang w:val="en-CA"/>
        </w:rPr>
        <w:t>, Representative immunofluorescence images of zonula occludens 1 (ZO-1) in colonic tissue from GF mice colonised with No-Neuro or Neuro donor microbiota; nuclei are counterstained with DAPI. Dashed boxes indicate regions shown at higher magnification (40</w:t>
      </w:r>
      <w:r w:rsidRPr="007D1EFB">
        <w:rPr>
          <w:lang w:val="en-CA"/>
        </w:rPr>
        <w:sym w:font="Symbol" w:char="F0B4"/>
      </w:r>
      <w:r w:rsidRPr="007D1EFB">
        <w:rPr>
          <w:lang w:val="en-CA"/>
        </w:rPr>
        <w:t>) in the insets. Representative images are shown from n=3 mice per group. Scale bar, 100 µm.</w:t>
      </w:r>
    </w:p>
    <w:p w14:paraId="0C2CA648" w14:textId="77777777" w:rsidR="007D1EFB" w:rsidRPr="007D1EFB" w:rsidRDefault="007D1EFB" w:rsidP="007D1EFB">
      <w:pPr>
        <w:rPr>
          <w:lang w:val="en-CA"/>
        </w:rPr>
      </w:pPr>
    </w:p>
    <w:p w14:paraId="27F3D8AC" w14:textId="77777777" w:rsidR="007D1EFB" w:rsidRPr="007D1EFB" w:rsidRDefault="007D1EFB" w:rsidP="007D1EFB">
      <w:pPr>
        <w:rPr>
          <w:b/>
          <w:bCs/>
          <w:lang w:val="en-CA"/>
        </w:rPr>
      </w:pPr>
    </w:p>
    <w:p w14:paraId="50CC0105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/>
          <w:bCs/>
          <w:lang w:val="en-CA"/>
        </w:rPr>
        <w:t>Extended</w:t>
      </w:r>
      <w:r w:rsidRPr="007D1EFB">
        <w:rPr>
          <w:b/>
          <w:lang w:val="en-CA"/>
        </w:rPr>
        <w:t xml:space="preserve"> Data Fig. 5 | </w:t>
      </w:r>
      <w:r w:rsidRPr="007D1EFB">
        <w:rPr>
          <w:bCs/>
          <w:lang w:val="en-CA"/>
        </w:rPr>
        <w:t>Biophysical</w:t>
      </w:r>
      <w:r w:rsidRPr="007D1EFB">
        <w:rPr>
          <w:b/>
          <w:lang w:val="en-CA"/>
        </w:rPr>
        <w:t xml:space="preserve"> </w:t>
      </w:r>
      <w:r w:rsidRPr="007D1EFB">
        <w:rPr>
          <w:bCs/>
          <w:lang w:val="en-CA"/>
        </w:rPr>
        <w:t xml:space="preserve">characterization of gut microbiota-derived extracellular vesicles </w:t>
      </w:r>
    </w:p>
    <w:p w14:paraId="3D50020C" w14:textId="77777777" w:rsidR="007D1EFB" w:rsidRPr="007D1EFB" w:rsidRDefault="007D1EFB" w:rsidP="007D1EFB">
      <w:pPr>
        <w:rPr>
          <w:lang w:val="en-CA"/>
        </w:rPr>
      </w:pPr>
      <w:r w:rsidRPr="007D1EFB">
        <w:rPr>
          <w:lang w:val="en-CA"/>
        </w:rPr>
        <w:t xml:space="preserve">Gut microbiota–derived extracellular vesicles (GMEVs) were isolated from stool by size-exclusion chromatography from pandemic controls (PC; n=6 donors), long COVID (LC) </w:t>
      </w:r>
      <w:r w:rsidRPr="007D1EFB">
        <w:rPr>
          <w:lang w:val="en-CA"/>
        </w:rPr>
        <w:lastRenderedPageBreak/>
        <w:t xml:space="preserve">donors without neurological symptoms (LC No-Neuro; n=10 donors) and LC donors with neurological symptoms (LC Neuro; n=15 donors). </w:t>
      </w:r>
      <w:r w:rsidRPr="007D1EFB">
        <w:rPr>
          <w:b/>
          <w:bCs/>
          <w:lang w:val="en-CA"/>
        </w:rPr>
        <w:t>a</w:t>
      </w:r>
      <w:r w:rsidRPr="007D1EFB">
        <w:rPr>
          <w:lang w:val="en-CA"/>
        </w:rPr>
        <w:t xml:space="preserve">, Representative nanoparticle tracking analysis (NTA) size-distribution profiles for each donor group. </w:t>
      </w:r>
      <w:r w:rsidRPr="007D1EFB">
        <w:rPr>
          <w:b/>
          <w:bCs/>
          <w:lang w:val="en-CA"/>
        </w:rPr>
        <w:t>b</w:t>
      </w:r>
      <w:r w:rsidRPr="007D1EFB">
        <w:rPr>
          <w:lang w:val="en-CA"/>
        </w:rPr>
        <w:t xml:space="preserve">, Representative transmission electron microscopy (TEM) images showing vesicular morphology; boxed regions are shown at higher magnification in the insets. </w:t>
      </w:r>
      <w:r w:rsidRPr="007D1EFB">
        <w:rPr>
          <w:b/>
          <w:bCs/>
          <w:lang w:val="en-CA"/>
        </w:rPr>
        <w:t>c</w:t>
      </w:r>
      <w:r w:rsidRPr="007D1EFB">
        <w:rPr>
          <w:lang w:val="en-CA"/>
        </w:rPr>
        <w:t>, Summary of GMEV properties across donor groups, including median particle size, mode particle size, particle concentration and protein concentration. Each dot represents one donor-derived GMEV preparation; centre lines indicate medians and boxes indicate interquartile ranges.</w:t>
      </w:r>
    </w:p>
    <w:p w14:paraId="416B490C" w14:textId="77777777" w:rsidR="007D1EFB" w:rsidRPr="007D1EFB" w:rsidRDefault="007D1EFB" w:rsidP="007D1EFB">
      <w:pPr>
        <w:rPr>
          <w:b/>
          <w:lang w:val="en-CA"/>
        </w:rPr>
      </w:pPr>
    </w:p>
    <w:p w14:paraId="4BDE1E29" w14:textId="77777777" w:rsidR="007D1EFB" w:rsidRPr="007D1EFB" w:rsidRDefault="007D1EFB" w:rsidP="007D1EFB">
      <w:pPr>
        <w:rPr>
          <w:b/>
          <w:lang w:val="en-CA"/>
        </w:rPr>
      </w:pPr>
    </w:p>
    <w:p w14:paraId="2337EBB4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/>
          <w:lang w:val="en-CA"/>
        </w:rPr>
        <w:t xml:space="preserve">Extended Data Fig. 6 | </w:t>
      </w:r>
      <w:r w:rsidRPr="007D1EFB">
        <w:rPr>
          <w:bCs/>
          <w:lang w:val="en-CA"/>
        </w:rPr>
        <w:t xml:space="preserve">Long COVID-derived gut microbiota-derived extracellular vesicles </w:t>
      </w:r>
    </w:p>
    <w:p w14:paraId="335A25F1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Cs/>
          <w:lang w:val="en-CA"/>
        </w:rPr>
        <w:t>promote coordinated inflammatory programmes in THP-1-derived macrophages</w:t>
      </w:r>
    </w:p>
    <w:p w14:paraId="246E6851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Cs/>
          <w:lang w:val="en-CA"/>
        </w:rPr>
        <w:t xml:space="preserve">THP-1-derived macrophages were stimulated with donor-derived gut microbiota-derived extracellular vesicles (GMEVs) from pandemic controls (PC; n=6), long COVID (LC) No-Neuro donors (n=10) or LC Neuro donors (n=15), or with vehicle (PBS). </w:t>
      </w:r>
      <w:r w:rsidRPr="007D1EFB">
        <w:rPr>
          <w:b/>
          <w:lang w:val="en-CA"/>
        </w:rPr>
        <w:t>a–c</w:t>
      </w:r>
      <w:r w:rsidRPr="007D1EFB">
        <w:rPr>
          <w:bCs/>
          <w:lang w:val="en-CA"/>
        </w:rPr>
        <w:t xml:space="preserve">, Within-group relationships between macrophage </w:t>
      </w:r>
      <w:r w:rsidRPr="007D1EFB">
        <w:rPr>
          <w:bCs/>
          <w:i/>
          <w:iCs/>
          <w:lang w:val="en-CA"/>
        </w:rPr>
        <w:t>TNFSF13B</w:t>
      </w:r>
      <w:r w:rsidRPr="007D1EFB">
        <w:rPr>
          <w:bCs/>
          <w:lang w:val="en-CA"/>
        </w:rPr>
        <w:t xml:space="preserve"> induction and inflammatory gene responses following GMEV stimulation, shown separately for </w:t>
      </w:r>
      <w:r w:rsidRPr="007D1EFB">
        <w:rPr>
          <w:b/>
          <w:lang w:val="en-CA"/>
        </w:rPr>
        <w:t>a</w:t>
      </w:r>
      <w:r w:rsidRPr="007D1EFB">
        <w:rPr>
          <w:bCs/>
          <w:lang w:val="en-CA"/>
        </w:rPr>
        <w:t xml:space="preserve">, PC, b, LC No-Neuro and </w:t>
      </w:r>
      <w:r w:rsidRPr="007D1EFB">
        <w:rPr>
          <w:b/>
          <w:lang w:val="en-CA"/>
        </w:rPr>
        <w:t>c</w:t>
      </w:r>
      <w:r w:rsidRPr="007D1EFB">
        <w:rPr>
          <w:bCs/>
          <w:lang w:val="en-CA"/>
        </w:rPr>
        <w:t xml:space="preserve">, LC Neuro conditions. Each dot represents one donor-derived GMEV preparation; correlations were assessed by Spearman’s rank test (r and </w:t>
      </w:r>
      <w:r w:rsidRPr="007D1EFB">
        <w:rPr>
          <w:bCs/>
          <w:i/>
          <w:iCs/>
          <w:lang w:val="en-CA"/>
        </w:rPr>
        <w:t>P</w:t>
      </w:r>
      <w:r w:rsidRPr="007D1EFB">
        <w:rPr>
          <w:bCs/>
          <w:lang w:val="en-CA"/>
        </w:rPr>
        <w:t xml:space="preserve"> values are shown in each plot). </w:t>
      </w:r>
      <w:r w:rsidRPr="007D1EFB">
        <w:rPr>
          <w:b/>
          <w:lang w:val="en-CA"/>
        </w:rPr>
        <w:t>d</w:t>
      </w:r>
      <w:r w:rsidRPr="007D1EFB">
        <w:rPr>
          <w:bCs/>
          <w:lang w:val="en-CA"/>
        </w:rPr>
        <w:t>, Mean fluorescence intensity (MFI) of intracellular interleukin-1β (IL-1β), tumor necrosis factor (TNF) and B-cell activating factor (BAFF) in THP-1-derived macrophages following GMEV stimulation, quantified by flow cytometry. Centre lines indicate medians and boxes indicate interquartile ranges.</w:t>
      </w:r>
    </w:p>
    <w:p w14:paraId="3AA4B621" w14:textId="77777777" w:rsidR="007D1EFB" w:rsidRPr="007D1EFB" w:rsidRDefault="007D1EFB" w:rsidP="007D1EFB">
      <w:pPr>
        <w:rPr>
          <w:b/>
          <w:lang w:val="en-CA"/>
        </w:rPr>
      </w:pPr>
    </w:p>
    <w:p w14:paraId="5BEBED7F" w14:textId="77777777" w:rsidR="007D1EFB" w:rsidRPr="007D1EFB" w:rsidRDefault="007D1EFB" w:rsidP="007D1EFB">
      <w:pPr>
        <w:rPr>
          <w:b/>
          <w:lang w:val="en-CA"/>
        </w:rPr>
      </w:pPr>
    </w:p>
    <w:p w14:paraId="0503155B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/>
          <w:lang w:val="en-CA"/>
        </w:rPr>
        <w:t xml:space="preserve">Extended Data Fig. 7 | </w:t>
      </w:r>
      <w:r w:rsidRPr="007D1EFB">
        <w:rPr>
          <w:bCs/>
          <w:lang w:val="en-CA"/>
        </w:rPr>
        <w:t>Functional enrichment analyses of transcriptional responses in induced pluripotent stem cell-derived microglia exposed to gut microbiota-derived extracellular vesicles from individuals with long COVID</w:t>
      </w:r>
    </w:p>
    <w:p w14:paraId="6256ECF8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Cs/>
          <w:lang w:val="en-CA"/>
        </w:rPr>
        <w:t xml:space="preserve">Induced pluripotent stem cell–derived microglia (iMGLs) were treated for 16h with gut microbiota-derived extra cellular vesicles (GMEVs; 1 µg/mL) from long COVID donors (LC; n=10), pandemic controls (PC; n=4) or vehicle (PBS; n=3), followed by bulk RNA sequencing. </w:t>
      </w:r>
      <w:r w:rsidRPr="007D1EFB">
        <w:rPr>
          <w:b/>
          <w:lang w:val="en-CA"/>
        </w:rPr>
        <w:t>a</w:t>
      </w:r>
      <w:r w:rsidRPr="007D1EFB">
        <w:rPr>
          <w:bCs/>
          <w:lang w:val="en-CA"/>
        </w:rPr>
        <w:t xml:space="preserve">, Bubble plots of significantly enriched Gene Ontology (GO) terms (adjusted </w:t>
      </w:r>
      <w:r w:rsidRPr="007D1EFB">
        <w:rPr>
          <w:bCs/>
          <w:i/>
          <w:iCs/>
          <w:lang w:val="en-CA"/>
        </w:rPr>
        <w:t>P</w:t>
      </w:r>
      <w:r w:rsidRPr="007D1EFB">
        <w:rPr>
          <w:bCs/>
          <w:lang w:val="en-CA"/>
        </w:rPr>
        <w:t xml:space="preserve"> &lt; 0.05) across Biological Process, Cellular Component and Molecular Function categories. Bubble size corresponds to the number of differentially expressed genes within each term; colour denotes statistical significance. </w:t>
      </w:r>
      <w:r w:rsidRPr="007D1EFB">
        <w:rPr>
          <w:b/>
          <w:lang w:val="en-CA"/>
        </w:rPr>
        <w:t>b</w:t>
      </w:r>
      <w:r w:rsidRPr="007D1EFB">
        <w:rPr>
          <w:bCs/>
          <w:lang w:val="en-CA"/>
        </w:rPr>
        <w:t xml:space="preserve">, KEGG pathway enrichment analysis of differentially expressed genes. Bubble size indicates gene count </w:t>
      </w:r>
      <w:r w:rsidRPr="007D1EFB">
        <w:rPr>
          <w:bCs/>
          <w:lang w:val="en-CA"/>
        </w:rPr>
        <w:lastRenderedPageBreak/>
        <w:t xml:space="preserve">and colour indicates adjusted </w:t>
      </w:r>
      <w:r w:rsidRPr="007D1EFB">
        <w:rPr>
          <w:bCs/>
          <w:i/>
          <w:iCs/>
          <w:lang w:val="en-CA"/>
        </w:rPr>
        <w:t>P</w:t>
      </w:r>
      <w:r w:rsidRPr="007D1EFB">
        <w:rPr>
          <w:bCs/>
          <w:lang w:val="en-CA"/>
        </w:rPr>
        <w:t xml:space="preserve"> value. </w:t>
      </w:r>
      <w:r w:rsidRPr="007D1EFB">
        <w:rPr>
          <w:b/>
          <w:lang w:val="en-CA"/>
        </w:rPr>
        <w:t>c</w:t>
      </w:r>
      <w:r w:rsidRPr="007D1EFB">
        <w:rPr>
          <w:bCs/>
          <w:lang w:val="en-CA"/>
        </w:rPr>
        <w:t>, Heatmap of genes within the KEGG “Coronavirus disease–COVID-19” pathway (hsa05171). Rows represent genes and columns represent samples; red indicates upregulation and blue indicates downregulation (Z-score scaled).</w:t>
      </w:r>
    </w:p>
    <w:p w14:paraId="3BCDC6AD" w14:textId="77777777" w:rsidR="007D1EFB" w:rsidRPr="007D1EFB" w:rsidRDefault="007D1EFB" w:rsidP="007D1EFB">
      <w:pPr>
        <w:rPr>
          <w:lang w:val="en-CA"/>
        </w:rPr>
      </w:pPr>
    </w:p>
    <w:p w14:paraId="604BB9DB" w14:textId="77777777" w:rsidR="007D1EFB" w:rsidRPr="007D1EFB" w:rsidRDefault="007D1EFB" w:rsidP="007D1EFB">
      <w:pPr>
        <w:rPr>
          <w:b/>
          <w:lang w:val="en-CA"/>
        </w:rPr>
      </w:pPr>
    </w:p>
    <w:p w14:paraId="5425ECAF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/>
          <w:lang w:val="en-CA"/>
        </w:rPr>
        <w:t xml:space="preserve">Extended Data Fig. 8 | </w:t>
      </w:r>
      <w:r w:rsidRPr="007D1EFB">
        <w:rPr>
          <w:bCs/>
          <w:lang w:val="en-CA"/>
        </w:rPr>
        <w:t>Network and targeted validation of long COVID-induced transcriptional programmes in induced pluripotent stem cell-derived microglia</w:t>
      </w:r>
    </w:p>
    <w:p w14:paraId="4DF5E584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/>
          <w:lang w:val="en-CA"/>
        </w:rPr>
        <w:t>a</w:t>
      </w:r>
      <w:r w:rsidRPr="007D1EFB">
        <w:rPr>
          <w:bCs/>
          <w:lang w:val="en-CA"/>
        </w:rPr>
        <w:t xml:space="preserve">, Protein–protein interaction network of selected differentially expressed genes constructed using STRING. Nodes represent proteins; edges represent predicted functional associations. Edge colours denote evidence types (fusion, neighbourhood, co-occurrence, experimental, text mining, database and coexpression evidence). The table summarizes selected enriched functional categories and false discovery rates. </w:t>
      </w:r>
      <w:r w:rsidRPr="007D1EFB">
        <w:rPr>
          <w:b/>
          <w:lang w:val="en-CA"/>
        </w:rPr>
        <w:t>b</w:t>
      </w:r>
      <w:r w:rsidRPr="007D1EFB">
        <w:rPr>
          <w:bCs/>
          <w:lang w:val="en-CA"/>
        </w:rPr>
        <w:t xml:space="preserve">, Quantitative RT–PCR validation of selected genes identified by RNA sequencing in induced pluripotent stem cell–derived microglia (iMGLs) treated with vehicle (PBS), pandemic control (PC)-derived GMEVs (n=4) or long COVID (LC)-derived GMEVs (n=10). Expression is shown relative to vehicle. Each dot represents one donor-derived GMEV preparation; centre lines indicate medians and boxes indicate interquartile ranges. </w:t>
      </w:r>
      <w:r w:rsidRPr="007D1EFB">
        <w:rPr>
          <w:b/>
          <w:lang w:val="en-CA"/>
        </w:rPr>
        <w:t>c</w:t>
      </w:r>
      <w:r w:rsidRPr="007D1EFB">
        <w:rPr>
          <w:bCs/>
          <w:lang w:val="en-CA"/>
        </w:rPr>
        <w:t>, Heatmap of genes associated with KEGG “Inflammatory bowel disease” (hsa05321) pathway. Rows represent genes and columns represent samples; red indicates upregulation and blue indicates downregulation (Z-score scaled).</w:t>
      </w:r>
    </w:p>
    <w:p w14:paraId="6D72E107" w14:textId="77777777" w:rsidR="007D1EFB" w:rsidRPr="007D1EFB" w:rsidRDefault="007D1EFB" w:rsidP="007D1EFB">
      <w:pPr>
        <w:rPr>
          <w:lang w:val="en-CA"/>
        </w:rPr>
      </w:pPr>
    </w:p>
    <w:p w14:paraId="6B2FAED8" w14:textId="77777777" w:rsidR="007D1EFB" w:rsidRPr="007D1EFB" w:rsidRDefault="007D1EFB" w:rsidP="007D1EFB">
      <w:pPr>
        <w:rPr>
          <w:b/>
          <w:lang w:val="en-CA"/>
        </w:rPr>
      </w:pPr>
    </w:p>
    <w:p w14:paraId="1F53847D" w14:textId="77777777" w:rsidR="007D1EFB" w:rsidRPr="007D1EFB" w:rsidRDefault="007D1EFB" w:rsidP="007D1EFB">
      <w:pPr>
        <w:rPr>
          <w:bCs/>
          <w:lang w:val="en-CA"/>
        </w:rPr>
      </w:pPr>
      <w:r w:rsidRPr="007D1EFB">
        <w:rPr>
          <w:b/>
          <w:lang w:val="en-CA"/>
        </w:rPr>
        <w:t xml:space="preserve">Extended Data Fig. 9 | </w:t>
      </w:r>
      <w:r w:rsidRPr="007D1EFB">
        <w:rPr>
          <w:bCs/>
          <w:lang w:val="en-CA"/>
        </w:rPr>
        <w:t>Biodistribution of orally administered bacterial extracellular vesicles in wild-type mice</w:t>
      </w:r>
    </w:p>
    <w:p w14:paraId="37EE2D4F" w14:textId="620E782A" w:rsidR="00767E38" w:rsidRDefault="007D1EFB" w:rsidP="007D1EFB">
      <w:r w:rsidRPr="007D1EFB">
        <w:rPr>
          <w:bCs/>
          <w:lang w:val="en-CA"/>
        </w:rPr>
        <w:t xml:space="preserve">Wild-type BALB/c mice (6-8 weeks old) were orally gavaged with DiD-labelled </w:t>
      </w:r>
      <w:r w:rsidRPr="007D1EFB">
        <w:rPr>
          <w:bCs/>
          <w:i/>
          <w:iCs/>
          <w:lang w:val="en-CA"/>
        </w:rPr>
        <w:t>Escherichia coli</w:t>
      </w:r>
      <w:r w:rsidRPr="007D1EFB">
        <w:rPr>
          <w:bCs/>
          <w:lang w:val="en-CA"/>
        </w:rPr>
        <w:t xml:space="preserve"> extracellular vesicles (10µg) or vehicle (PBS). </w:t>
      </w:r>
      <w:r w:rsidRPr="007D1EFB">
        <w:rPr>
          <w:b/>
          <w:lang w:val="en-CA"/>
        </w:rPr>
        <w:t>a</w:t>
      </w:r>
      <w:r w:rsidRPr="007D1EFB">
        <w:rPr>
          <w:bCs/>
          <w:lang w:val="en-CA"/>
        </w:rPr>
        <w:t xml:space="preserve">, </w:t>
      </w:r>
      <w:r w:rsidRPr="007D1EFB">
        <w:rPr>
          <w:bCs/>
          <w:i/>
          <w:iCs/>
          <w:lang w:val="en-CA"/>
        </w:rPr>
        <w:t>Ex vivo</w:t>
      </w:r>
      <w:r w:rsidRPr="007D1EFB">
        <w:rPr>
          <w:bCs/>
          <w:lang w:val="en-CA"/>
        </w:rPr>
        <w:t xml:space="preserve"> fluorescence imaging 8h after gavage showing signal in the gastrointestinal tract and peripheral organs (liver, kidney and spleen) and in brain tissue. n=5 mice per group. Epi-fluorescence intensity scale</w:t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EFB"/>
    <w:rsid w:val="004B5B54"/>
    <w:rsid w:val="00767E38"/>
    <w:rsid w:val="007D1EFB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C17C3"/>
  <w15:chartTrackingRefBased/>
  <w15:docId w15:val="{4572F78F-FAC7-44AB-8849-A1D299C15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1E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1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1E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1E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1E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1E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1E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1E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1E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E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1E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1E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1E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1E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1E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1E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1E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1E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1E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1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1E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1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1E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1E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1E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1E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1E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1E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1E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1402</Words>
  <Characters>7996</Characters>
  <Application>Microsoft Office Word</Application>
  <DocSecurity>0</DocSecurity>
  <Lines>66</Lines>
  <Paragraphs>18</Paragraphs>
  <ScaleCrop>false</ScaleCrop>
  <Company/>
  <LinksUpToDate>false</LinksUpToDate>
  <CharactersWithSpaces>9380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2026-03-27T07:29:00Z</dcterms:created>
  <dcterms:modified xsi:type="dcterms:W3CDTF">2026-03-27T07:30:00Z</dcterms:modified>
</cp:coreProperties>
</file>