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A2BC2" w14:textId="77777777" w:rsidR="0051618C" w:rsidRPr="0051618C" w:rsidRDefault="0051618C" w:rsidP="0051618C">
      <w:pPr>
        <w:rPr>
          <w:b/>
          <w:bCs/>
          <w:lang w:val="en-US"/>
        </w:rPr>
      </w:pPr>
      <w:r w:rsidRPr="0051618C">
        <w:rPr>
          <w:b/>
          <w:bCs/>
          <w:lang w:val="en-US"/>
        </w:rPr>
        <w:t>Supplementary materials</w:t>
      </w:r>
    </w:p>
    <w:p w14:paraId="069DA279" w14:textId="77777777" w:rsidR="0051618C" w:rsidRPr="0051618C" w:rsidRDefault="0051618C" w:rsidP="0051618C">
      <w:pPr>
        <w:rPr>
          <w:b/>
          <w:bCs/>
          <w:lang w:val="en-US"/>
        </w:rPr>
      </w:pPr>
      <w:r w:rsidRPr="0051618C">
        <w:rPr>
          <w:lang w:val="en-US"/>
        </w:rPr>
        <w:t xml:space="preserve">Supplementary Figure S1. Sequencing analyses of the </w:t>
      </w:r>
      <w:r w:rsidRPr="0051618C">
        <w:rPr>
          <w:i/>
          <w:iCs/>
          <w:lang w:val="en-US"/>
        </w:rPr>
        <w:t>per</w:t>
      </w:r>
      <w:r w:rsidRPr="0051618C">
        <w:rPr>
          <w:i/>
          <w:iCs/>
          <w:vertAlign w:val="superscript"/>
          <w:lang w:val="en-US"/>
        </w:rPr>
        <w:t>-</w:t>
      </w:r>
      <w:r w:rsidRPr="0051618C">
        <w:rPr>
          <w:lang w:val="en-US"/>
        </w:rPr>
        <w:t xml:space="preserve"> transcript.</w:t>
      </w:r>
    </w:p>
    <w:p w14:paraId="686EAC22" w14:textId="77777777" w:rsidR="0051618C" w:rsidRPr="0051618C" w:rsidRDefault="0051618C" w:rsidP="0051618C">
      <w:pPr>
        <w:rPr>
          <w:lang w:val="en-US"/>
        </w:rPr>
      </w:pPr>
      <w:r w:rsidRPr="0051618C">
        <w:rPr>
          <w:lang w:val="en-US"/>
        </w:rPr>
        <w:t xml:space="preserve">Sequence analysis of the RT-PCR product from the </w:t>
      </w:r>
      <w:r w:rsidRPr="0051618C">
        <w:rPr>
          <w:i/>
          <w:iCs/>
          <w:lang w:val="en-US"/>
        </w:rPr>
        <w:t>per</w:t>
      </w:r>
      <w:r w:rsidRPr="0051618C">
        <w:rPr>
          <w:vertAlign w:val="superscript"/>
          <w:lang w:val="en-US"/>
        </w:rPr>
        <w:t>-</w:t>
      </w:r>
      <w:r w:rsidRPr="0051618C">
        <w:rPr>
          <w:lang w:val="en-US"/>
        </w:rPr>
        <w:t xml:space="preserve"> strain (Fig. 1D) showed that the amplicon generated using the </w:t>
      </w:r>
      <w:r w:rsidRPr="0051618C">
        <w:rPr>
          <w:i/>
          <w:iCs/>
          <w:lang w:val="en-US"/>
        </w:rPr>
        <w:t>per</w:t>
      </w:r>
      <w:r w:rsidRPr="0051618C">
        <w:rPr>
          <w:lang w:val="en-US"/>
        </w:rPr>
        <w:t>-</w:t>
      </w:r>
      <w:proofErr w:type="spellStart"/>
      <w:r w:rsidRPr="0051618C">
        <w:rPr>
          <w:lang w:val="en-US"/>
        </w:rPr>
        <w:t>Fw</w:t>
      </w:r>
      <w:proofErr w:type="spellEnd"/>
      <w:r w:rsidRPr="0051618C">
        <w:rPr>
          <w:lang w:val="en-US"/>
        </w:rPr>
        <w:t xml:space="preserve"> and </w:t>
      </w:r>
      <w:r w:rsidRPr="0051618C">
        <w:rPr>
          <w:i/>
          <w:iCs/>
          <w:lang w:val="en-US"/>
        </w:rPr>
        <w:t>per</w:t>
      </w:r>
      <w:r w:rsidRPr="0051618C">
        <w:rPr>
          <w:lang w:val="en-US"/>
        </w:rPr>
        <w:t>-</w:t>
      </w:r>
      <w:proofErr w:type="spellStart"/>
      <w:r w:rsidRPr="0051618C">
        <w:rPr>
          <w:lang w:val="en-US"/>
        </w:rPr>
        <w:t>Rv</w:t>
      </w:r>
      <w:proofErr w:type="spellEnd"/>
      <w:r w:rsidRPr="0051618C">
        <w:rPr>
          <w:lang w:val="en-US"/>
        </w:rPr>
        <w:t xml:space="preserve"> primers is markedly shorter than the size predicted for wild-type </w:t>
      </w:r>
      <w:r w:rsidRPr="0051618C">
        <w:rPr>
          <w:i/>
          <w:iCs/>
          <w:lang w:val="en-US"/>
        </w:rPr>
        <w:t>per</w:t>
      </w:r>
      <w:r w:rsidRPr="0051618C">
        <w:rPr>
          <w:lang w:val="en-US"/>
        </w:rPr>
        <w:t xml:space="preserve"> (2,490 bp; AB375516), indicating a deletion spanning exons 2 through 10, which encode the PAS domain. The two PCR products of different sizes differed in the length of the untranslated region transcribed from exon 1.</w:t>
      </w:r>
    </w:p>
    <w:p w14:paraId="78CE8CAF" w14:textId="77777777" w:rsidR="0051618C" w:rsidRPr="0051618C" w:rsidRDefault="0051618C" w:rsidP="0051618C">
      <w:pPr>
        <w:rPr>
          <w:rFonts w:hint="eastAsia"/>
          <w:b/>
          <w:bCs/>
          <w:lang w:val="en-US"/>
        </w:rPr>
      </w:pPr>
    </w:p>
    <w:p w14:paraId="26F80AD7" w14:textId="77777777" w:rsidR="0051618C" w:rsidRPr="0051618C" w:rsidRDefault="0051618C" w:rsidP="0051618C">
      <w:pPr>
        <w:rPr>
          <w:lang w:val="en-US"/>
        </w:rPr>
      </w:pPr>
      <w:r w:rsidRPr="0051618C">
        <w:rPr>
          <w:lang w:val="en-US"/>
        </w:rPr>
        <w:t xml:space="preserve">Supplementary Figure S2. Sequencing analyses of the </w:t>
      </w:r>
      <w:r w:rsidRPr="0051618C">
        <w:rPr>
          <w:i/>
          <w:iCs/>
          <w:lang w:val="en-US"/>
        </w:rPr>
        <w:t>per</w:t>
      </w:r>
      <w:r w:rsidRPr="0051618C">
        <w:rPr>
          <w:i/>
          <w:iCs/>
          <w:vertAlign w:val="superscript"/>
          <w:lang w:val="en-US"/>
        </w:rPr>
        <w:t>-/</w:t>
      </w:r>
      <w:proofErr w:type="spellStart"/>
      <w:r w:rsidRPr="0051618C">
        <w:rPr>
          <w:i/>
          <w:iCs/>
          <w:vertAlign w:val="superscript"/>
          <w:lang w:val="en-US"/>
        </w:rPr>
        <w:t>egfp</w:t>
      </w:r>
      <w:r w:rsidRPr="0051618C">
        <w:rPr>
          <w:vertAlign w:val="superscript"/>
          <w:lang w:val="en-US"/>
        </w:rPr>
        <w:t>KI</w:t>
      </w:r>
      <w:proofErr w:type="spellEnd"/>
      <w:r w:rsidRPr="0051618C">
        <w:rPr>
          <w:lang w:val="en-US"/>
        </w:rPr>
        <w:t xml:space="preserve"> strain.</w:t>
      </w:r>
    </w:p>
    <w:p w14:paraId="14C497ED" w14:textId="77777777" w:rsidR="0051618C" w:rsidRPr="0051618C" w:rsidRDefault="0051618C" w:rsidP="0051618C">
      <w:pPr>
        <w:rPr>
          <w:lang w:val="en-US"/>
        </w:rPr>
      </w:pPr>
      <w:r w:rsidRPr="0051618C">
        <w:rPr>
          <w:lang w:val="en-US"/>
        </w:rPr>
        <w:t xml:space="preserve">Sequence analysis of both ends of the PCR product (Fig. 1F) showed that the expression cassette was inserted in the forward orientation in the </w:t>
      </w:r>
      <w:r w:rsidRPr="0051618C">
        <w:rPr>
          <w:i/>
          <w:iCs/>
          <w:lang w:val="en-US"/>
        </w:rPr>
        <w:t>per</w:t>
      </w:r>
      <w:r w:rsidRPr="0051618C">
        <w:rPr>
          <w:i/>
          <w:iCs/>
          <w:vertAlign w:val="superscript"/>
          <w:lang w:val="en-US"/>
        </w:rPr>
        <w:t>-/</w:t>
      </w:r>
      <w:proofErr w:type="spellStart"/>
      <w:r w:rsidRPr="0051618C">
        <w:rPr>
          <w:i/>
          <w:iCs/>
          <w:vertAlign w:val="superscript"/>
          <w:lang w:val="en-US"/>
        </w:rPr>
        <w:t>egfp</w:t>
      </w:r>
      <w:r w:rsidRPr="0051618C">
        <w:rPr>
          <w:vertAlign w:val="superscript"/>
          <w:lang w:val="en-US"/>
        </w:rPr>
        <w:t>KI</w:t>
      </w:r>
      <w:proofErr w:type="spellEnd"/>
      <w:r w:rsidRPr="0051618C">
        <w:rPr>
          <w:lang w:val="en-US"/>
        </w:rPr>
        <w:t xml:space="preserve"> strain. Black text indicates partial sequences of the </w:t>
      </w:r>
      <w:r w:rsidRPr="0051618C">
        <w:rPr>
          <w:i/>
          <w:iCs/>
          <w:lang w:val="en-US"/>
        </w:rPr>
        <w:t>per</w:t>
      </w:r>
      <w:r w:rsidRPr="0051618C">
        <w:rPr>
          <w:lang w:val="en-US"/>
        </w:rPr>
        <w:t xml:space="preserve"> region, while green text indicates partial sequences of the inserted cassette. A few base insertions and deletions were confirmed at the junction.</w:t>
      </w:r>
    </w:p>
    <w:p w14:paraId="55050CF4" w14:textId="77777777" w:rsidR="0051618C" w:rsidRPr="0051618C" w:rsidRDefault="0051618C" w:rsidP="0051618C">
      <w:pPr>
        <w:rPr>
          <w:lang w:val="en-US"/>
        </w:rPr>
      </w:pPr>
    </w:p>
    <w:p w14:paraId="3DCECCC6" w14:textId="77777777" w:rsidR="0051618C" w:rsidRPr="0051618C" w:rsidRDefault="0051618C" w:rsidP="0051618C">
      <w:pPr>
        <w:rPr>
          <w:lang w:val="en-US"/>
        </w:rPr>
      </w:pPr>
      <w:r w:rsidRPr="0051618C">
        <w:rPr>
          <w:lang w:val="en-US"/>
        </w:rPr>
        <w:t xml:space="preserve">Supplementary Figure S3. An example of locomotor activity record (left panel) and chi-square periodogram of adult male </w:t>
      </w:r>
      <w:proofErr w:type="spellStart"/>
      <w:r w:rsidRPr="0051618C">
        <w:rPr>
          <w:i/>
          <w:iCs/>
          <w:lang w:val="en-US"/>
        </w:rPr>
        <w:t>per</w:t>
      </w:r>
      <w:r w:rsidRPr="0051618C">
        <w:rPr>
          <w:vertAlign w:val="superscript"/>
          <w:lang w:val="en-US"/>
        </w:rPr>
        <w:t>KO</w:t>
      </w:r>
      <w:proofErr w:type="spellEnd"/>
      <w:r w:rsidRPr="0051618C">
        <w:rPr>
          <w:lang w:val="en-US"/>
        </w:rPr>
        <w:t xml:space="preserve"> </w:t>
      </w:r>
      <w:r w:rsidRPr="0051618C">
        <w:rPr>
          <w:i/>
          <w:iCs/>
          <w:lang w:val="en-US"/>
        </w:rPr>
        <w:t xml:space="preserve">Gryllus </w:t>
      </w:r>
      <w:proofErr w:type="spellStart"/>
      <w:r w:rsidRPr="0051618C">
        <w:rPr>
          <w:i/>
          <w:iCs/>
          <w:lang w:val="en-US"/>
        </w:rPr>
        <w:t>bimaculatus</w:t>
      </w:r>
      <w:proofErr w:type="spellEnd"/>
      <w:r w:rsidRPr="0051618C">
        <w:rPr>
          <w:lang w:val="en-US"/>
        </w:rPr>
        <w:t xml:space="preserve"> showing multiple free-running components. The transition to DD occurred at 18:00 on day 8, as indicated by an arrow. White and black bars denote the light and dark phases, respectively. The periodogram obtained from days 21 to 46 reveals rhythmic components </w:t>
      </w:r>
      <w:proofErr w:type="gramStart"/>
      <w:r w:rsidRPr="0051618C">
        <w:rPr>
          <w:lang w:val="en-US"/>
        </w:rPr>
        <w:t>free-running</w:t>
      </w:r>
      <w:proofErr w:type="gramEnd"/>
      <w:r w:rsidRPr="0051618C">
        <w:rPr>
          <w:lang w:val="en-US"/>
        </w:rPr>
        <w:t xml:space="preserve"> with a period of 26.9 h and 29.7 h under DD. The oblique line in the periodogram represents the 0.05% significance threshold.</w:t>
      </w:r>
    </w:p>
    <w:p w14:paraId="4192A37E" w14:textId="77777777" w:rsidR="0051618C" w:rsidRPr="0051618C" w:rsidRDefault="0051618C" w:rsidP="0051618C">
      <w:pPr>
        <w:rPr>
          <w:lang w:val="en-US"/>
        </w:rPr>
      </w:pPr>
    </w:p>
    <w:p w14:paraId="3196F144" w14:textId="77777777" w:rsidR="0051618C" w:rsidRPr="0051618C" w:rsidRDefault="0051618C" w:rsidP="0051618C">
      <w:pPr>
        <w:rPr>
          <w:lang w:val="en-US"/>
        </w:rPr>
      </w:pPr>
      <w:r w:rsidRPr="0051618C">
        <w:rPr>
          <w:lang w:val="en-US"/>
        </w:rPr>
        <w:t>Supplementary Table S1. Target sequence of guide RNAs used in this study.</w:t>
      </w:r>
    </w:p>
    <w:p w14:paraId="06B2850A" w14:textId="77777777" w:rsidR="0051618C" w:rsidRPr="0051618C" w:rsidRDefault="0051618C" w:rsidP="0051618C">
      <w:pPr>
        <w:rPr>
          <w:lang w:val="en-US"/>
        </w:rPr>
      </w:pPr>
    </w:p>
    <w:p w14:paraId="09A6811D" w14:textId="77777777" w:rsidR="0051618C" w:rsidRPr="0051618C" w:rsidRDefault="0051618C" w:rsidP="0051618C">
      <w:pPr>
        <w:rPr>
          <w:lang w:val="en-US"/>
        </w:rPr>
      </w:pPr>
      <w:r w:rsidRPr="0051618C">
        <w:rPr>
          <w:lang w:val="en-US"/>
        </w:rPr>
        <w:t>Supplementary Table S2. Primers used for sequencing.</w:t>
      </w:r>
    </w:p>
    <w:p w14:paraId="53B3FD04" w14:textId="77777777" w:rsidR="0051618C" w:rsidRPr="0051618C" w:rsidRDefault="0051618C" w:rsidP="0051618C">
      <w:pPr>
        <w:rPr>
          <w:lang w:val="en-US"/>
        </w:rPr>
      </w:pPr>
    </w:p>
    <w:p w14:paraId="3AFE673B" w14:textId="77777777" w:rsidR="0051618C" w:rsidRPr="0051618C" w:rsidRDefault="0051618C" w:rsidP="0051618C">
      <w:pPr>
        <w:rPr>
          <w:lang w:val="en-US"/>
        </w:rPr>
      </w:pPr>
      <w:r w:rsidRPr="0051618C">
        <w:rPr>
          <w:lang w:val="en-US"/>
        </w:rPr>
        <w:t xml:space="preserve">Supplementary Table S3. PCR primers </w:t>
      </w:r>
      <w:proofErr w:type="gramStart"/>
      <w:r w:rsidRPr="0051618C">
        <w:rPr>
          <w:lang w:val="en-US"/>
        </w:rPr>
        <w:t>used</w:t>
      </w:r>
      <w:proofErr w:type="gramEnd"/>
      <w:r w:rsidRPr="0051618C">
        <w:rPr>
          <w:lang w:val="en-US"/>
        </w:rPr>
        <w:t xml:space="preserve"> for quantitative RT-PCR.</w:t>
      </w:r>
    </w:p>
    <w:p w14:paraId="35587E9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18C"/>
    <w:rsid w:val="0051618C"/>
    <w:rsid w:val="00767E38"/>
    <w:rsid w:val="00866F7D"/>
    <w:rsid w:val="00DB60D7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DF98C"/>
  <w15:chartTrackingRefBased/>
  <w15:docId w15:val="{86BC3AEA-184D-4B78-93FD-243954BF8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61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1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1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1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1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1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1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1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1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1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1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1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1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1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1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1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1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1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61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61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1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61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61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61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61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61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1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1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61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2026-02-23T09:42:00Z</dcterms:created>
  <dcterms:modified xsi:type="dcterms:W3CDTF">2026-02-23T09:42:00Z</dcterms:modified>
</cp:coreProperties>
</file>