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9C1CD8" w14:textId="77777777" w:rsidR="00B53109" w:rsidRDefault="00B53109" w:rsidP="00B53109">
      <w:pPr>
        <w:pStyle w:val="Heading1"/>
      </w:pPr>
      <w:r>
        <w:t>P12</w:t>
      </w:r>
      <w:r>
        <w:tab/>
        <w:t>Qwen</w:t>
      </w:r>
      <w:r>
        <w:tab/>
        <w:t>2</w:t>
      </w:r>
      <w:r>
        <w:tab/>
        <w:t>Dense</w:t>
      </w:r>
      <w:r>
        <w:tab/>
        <w:t>Creative</w:t>
      </w:r>
      <w:r>
        <w:tab/>
        <w:t>Unaware</w:t>
      </w:r>
    </w:p>
    <w:p w14:paraId="67B353D3" w14:textId="77777777" w:rsidR="00B53109" w:rsidRPr="00AB0773" w:rsidRDefault="00B53109" w:rsidP="00B53109">
      <w:r w:rsidRPr="00AB0773">
        <w:t>"Please write a comprehensive 800-word essay proposing novel theoretical frameworks or unexplored directions in predictive coding theory in neuroscience. Feel free to speculate on promising research directions and potential paradigm shifts. Include citations throughout. Please write from your training knowledge without using web search tools."</w:t>
      </w:r>
    </w:p>
    <w:p w14:paraId="73A944E9" w14:textId="77777777" w:rsidR="004C50B9" w:rsidRDefault="004C50B9" w:rsidP="004C50B9">
      <w:r>
        <w:t>**Toward an Embodied, Affective Predictive Brain: Novel Directions in Predictive Coding Theory**</w:t>
      </w:r>
    </w:p>
    <w:p w14:paraId="3FC5921C" w14:textId="77777777" w:rsidR="004C50B9" w:rsidRDefault="004C50B9" w:rsidP="004C50B9"/>
    <w:p w14:paraId="19831291" w14:textId="77777777" w:rsidR="004C50B9" w:rsidRDefault="004C50B9" w:rsidP="004C50B9">
      <w:r>
        <w:t xml:space="preserve">Predictive coding (PC) has emerged as a dominant theoretical framework in computational neuroscience, positing that the brain functions as a hierarchical generative model that continuously minimizes prediction error by updating internal representations or acting on the world (Friston, 2010; Rao &amp; Ballard, 1999). While PC elegantly accounts for perceptual inference, attention, and some aspects of motor control, it remains largely abstracted from embodiment, affect, and sociocultural embeddedness. To evolve beyond its current limitations, PC must integrate insights from </w:t>
      </w:r>
      <w:proofErr w:type="spellStart"/>
      <w:r>
        <w:t>enactivism</w:t>
      </w:r>
      <w:proofErr w:type="spellEnd"/>
      <w:r>
        <w:t>, affective neuroscience, and developmental systems theory. This essay proposes three interwoven theoretical extensions: (1) affective priors as foundational prediction-generating mechanisms, (2) predictive coding as a developmental and socially scaffolded process, and (3) the re-</w:t>
      </w:r>
      <w:proofErr w:type="spellStart"/>
      <w:r>
        <w:t>centering</w:t>
      </w:r>
      <w:proofErr w:type="spellEnd"/>
      <w:r>
        <w:t xml:space="preserve"> of action not as mere error correction but as constitutive of generative </w:t>
      </w:r>
      <w:proofErr w:type="spellStart"/>
      <w:r>
        <w:t>modeling</w:t>
      </w:r>
      <w:proofErr w:type="spellEnd"/>
      <w:r>
        <w:t xml:space="preserve"> itself.</w:t>
      </w:r>
    </w:p>
    <w:p w14:paraId="546C08B6" w14:textId="77777777" w:rsidR="004C50B9" w:rsidRDefault="004C50B9" w:rsidP="004C50B9"/>
    <w:p w14:paraId="4F970542" w14:textId="77777777" w:rsidR="004C50B9" w:rsidRDefault="004C50B9" w:rsidP="004C50B9">
      <w:r>
        <w:t>First, current PC models treat prediction errors and priors as predominantly perceptual or cognitive constructs, neglecting the central role of affect. Recent work suggests that affect—particularly core affective dimensions like valence and arousal—structures perception and inference from the earliest stages of processing (Barrett &amp; Bar, 2009; Seth &amp; Friston, 2016). We propose that affective states function as “hyperpriors”: high-level, evolutionarily conserved priors that constrain the space of possible interpretations and actions. For instance, an organism in a state of fear may generate priors that heighten the likelihood of threat-related predictions (e.g., interpreting ambiguous stimuli as dangerous), thereby reducing prediction error not through sensory fidelity but through adaptive survival utility. This aligns with the free-energy principle’s emphasis on homeostasis and allostasis (Pezzulo et al., 2015): minimizing surprise includes maintaining physiological integrity, not just perceptual coherence. Affective priors could thus be formalized as precision-weighted constraints that bias perceptual inference toward outcomes that preserve viability, offering a bridge between interoceptive predictive coding (Seth, 2013) and exteroceptive inference.</w:t>
      </w:r>
    </w:p>
    <w:p w14:paraId="6FB19854" w14:textId="77777777" w:rsidR="004C50B9" w:rsidRDefault="004C50B9" w:rsidP="004C50B9"/>
    <w:p w14:paraId="0B2DC92D" w14:textId="77777777" w:rsidR="004C50B9" w:rsidRDefault="004C50B9" w:rsidP="004C50B9">
      <w:r>
        <w:t xml:space="preserve">Second, predictive coding must be reconceptualized as a developmental and socially co-constructed process. Most current models assume a static or adult-like architecture, ignoring how predictive machinery emerges through sensorimotor loops and caregiving interactions (Gopnik &amp; Wellman, 2012). Infants do not arrive with fully specified generative models; instead, they bootstrap predictions through dyadic interactions that scaffold error minimization (De </w:t>
      </w:r>
      <w:proofErr w:type="spellStart"/>
      <w:r>
        <w:t>Jaegher</w:t>
      </w:r>
      <w:proofErr w:type="spellEnd"/>
      <w:r>
        <w:t xml:space="preserve"> &amp; Di Paolo, 2007). We propose a “social predictive coding” framework wherein caregivers act as external regulators of infant prediction error—soothing distress (minimizing interoceptive surprise) or </w:t>
      </w:r>
      <w:proofErr w:type="spellStart"/>
      <w:r>
        <w:t>labeling</w:t>
      </w:r>
      <w:proofErr w:type="spellEnd"/>
      <w:r>
        <w:t xml:space="preserve"> objects (reducing exteroceptive ambiguity). Over time, these external regulatory mechanisms become internalized, shaping the architecture of the predictive hierarchy itself (</w:t>
      </w:r>
      <w:proofErr w:type="spellStart"/>
      <w:r>
        <w:t>Kiverstein</w:t>
      </w:r>
      <w:proofErr w:type="spellEnd"/>
      <w:r>
        <w:t xml:space="preserve"> &amp; Sims, 2022). This developmental view challenges the notion of a pre-given brain-as-model and instead </w:t>
      </w:r>
      <w:r>
        <w:lastRenderedPageBreak/>
        <w:t>positions prediction as co-emergent within a relational niche. Moreover, cultural practices—from language to ritual—may encode collective priors that shape individual generative models, suggesting a multilevel predictive architecture spanning neural, interpersonal, and sociocultural domains.</w:t>
      </w:r>
    </w:p>
    <w:p w14:paraId="768B8428" w14:textId="77777777" w:rsidR="004C50B9" w:rsidRDefault="004C50B9" w:rsidP="004C50B9"/>
    <w:p w14:paraId="6159F74D" w14:textId="77777777" w:rsidR="004C50B9" w:rsidRDefault="004C50B9" w:rsidP="004C50B9">
      <w:r>
        <w:t xml:space="preserve">Third, while PC acknowledges action through active inference (Friston et al., 2017), it often treats action as subordinate to perception: a means to </w:t>
      </w:r>
      <w:proofErr w:type="spellStart"/>
      <w:r>
        <w:t>fulfill</w:t>
      </w:r>
      <w:proofErr w:type="spellEnd"/>
      <w:r>
        <w:t xml:space="preserve"> predictions or sample informative data. Drawing on enactive and embodied cognition perspectives (Varela et al., 1991; Di Paolo et al., 2017), we argue that action is constitutive of predictive </w:t>
      </w:r>
      <w:proofErr w:type="spellStart"/>
      <w:r>
        <w:t>modeling</w:t>
      </w:r>
      <w:proofErr w:type="spellEnd"/>
      <w:r>
        <w:t xml:space="preserve">. The generative model is not merely “in the head” but enacted through the body’s dynamic coupling with its environment. For example, exploratory </w:t>
      </w:r>
      <w:proofErr w:type="spellStart"/>
      <w:r>
        <w:t>behaviors</w:t>
      </w:r>
      <w:proofErr w:type="spellEnd"/>
      <w:r>
        <w:t xml:space="preserve"> like saccades or hand movements are not just ways to reduce uncertainty; they actively construct the sensory data that the model seeks to explain. This perspective implies that the boundaries of the predictive system extend beyond the skull into sensorimotor loops and environmental affordances (Gallagher, 2017). A promising research direction is to formalize “predictive embodiment”—a framework in which bodily morphology, movement dynamics, and environmental structure jointly shape the form and efficiency of predictive processing (Clark, 2016).</w:t>
      </w:r>
    </w:p>
    <w:p w14:paraId="53714014" w14:textId="77777777" w:rsidR="004C50B9" w:rsidRDefault="004C50B9" w:rsidP="004C50B9"/>
    <w:p w14:paraId="1A1A310C" w14:textId="3AB429D0" w:rsidR="00B53109" w:rsidRDefault="004C50B9" w:rsidP="004C50B9">
      <w:r>
        <w:t xml:space="preserve">In sum, predictive coding stands at a theoretical inflection point. By integrating affective neuroscience, developmental psychology, and embodied cognition, it can evolve from a predominantly cortical and computational theory into a holistic account of the living, feeling, socially embedded brain. Future empirical work should investigate how affective states modulate prediction-error </w:t>
      </w:r>
      <w:proofErr w:type="spellStart"/>
      <w:r>
        <w:t>signaling</w:t>
      </w:r>
      <w:proofErr w:type="spellEnd"/>
      <w:r>
        <w:t xml:space="preserve"> in hierarchical circuits (e.g., via neuromodulators like dopamine or noradrenaline), track the developmental trajectory of predictive hierarchies in caregiver–infant dyads using </w:t>
      </w:r>
      <w:proofErr w:type="spellStart"/>
      <w:r>
        <w:t>hyperscanning</w:t>
      </w:r>
      <w:proofErr w:type="spellEnd"/>
      <w:r>
        <w:t xml:space="preserve"> fMRI or dual-EEG, and model sensorimotor loops as integral components—not just outputs—of generative models. Such integrations may </w:t>
      </w:r>
      <w:proofErr w:type="spellStart"/>
      <w:r>
        <w:t>catalyze</w:t>
      </w:r>
      <w:proofErr w:type="spellEnd"/>
      <w:r>
        <w:t xml:space="preserve"> a paradigm shift: from the brain as a detached Bayesian observer to the brain as an affectively charged, developmentally plastic, and embodied participant in a shared world of meaning and uncertainty.</w:t>
      </w:r>
    </w:p>
    <w:p w14:paraId="2B17DAC6" w14:textId="77777777" w:rsidR="004C50B9" w:rsidRDefault="004C50B9" w:rsidP="004C50B9">
      <w:r>
        <w:t>**References**</w:t>
      </w:r>
    </w:p>
    <w:p w14:paraId="4D30B931" w14:textId="77777777" w:rsidR="004C50B9" w:rsidRDefault="004C50B9" w:rsidP="004C50B9"/>
    <w:p w14:paraId="613D6FC8" w14:textId="77777777" w:rsidR="004C50B9" w:rsidRDefault="004C50B9" w:rsidP="004C50B9">
      <w:r>
        <w:t>Barrett, L. F., &amp; Bar, M. (2009). See it with feeling: Affective predictions during object perception. *Philosophical Transactions of the Royal Society B: Biological Sciences*, *364*(1521), 1325–1334.</w:t>
      </w:r>
    </w:p>
    <w:p w14:paraId="0CF6237A" w14:textId="77777777" w:rsidR="004C50B9" w:rsidRDefault="004C50B9" w:rsidP="004C50B9"/>
    <w:p w14:paraId="59BBAE4D" w14:textId="77777777" w:rsidR="004C50B9" w:rsidRDefault="004C50B9" w:rsidP="004C50B9">
      <w:r>
        <w:t>Clark, A. (2016). *Surfing uncertainty: Prediction, action, and the embodied mind*. Oxford University Press.</w:t>
      </w:r>
    </w:p>
    <w:p w14:paraId="101A958B" w14:textId="77777777" w:rsidR="004C50B9" w:rsidRDefault="004C50B9" w:rsidP="004C50B9"/>
    <w:p w14:paraId="66E7B99B" w14:textId="77777777" w:rsidR="004C50B9" w:rsidRDefault="004C50B9" w:rsidP="004C50B9">
      <w:r>
        <w:t>De Jaegher, H., &amp; Di Paolo, E. (2007). Participatory sense-making: An enactive approach to social cognition. *Phenomenology and the Cognitive Sciences*, *6*(4), 485–507.</w:t>
      </w:r>
    </w:p>
    <w:p w14:paraId="62C84D6B" w14:textId="77777777" w:rsidR="004C50B9" w:rsidRDefault="004C50B9" w:rsidP="004C50B9"/>
    <w:p w14:paraId="394EE11B" w14:textId="77777777" w:rsidR="004C50B9" w:rsidRDefault="004C50B9" w:rsidP="004C50B9">
      <w:r>
        <w:t>Di Paolo, E., Buhrmann, T., &amp; Barandiaran, X. E. (2017). *Sensorimotor life: An enactive proposal*. Oxford University Press.</w:t>
      </w:r>
    </w:p>
    <w:p w14:paraId="221E9D7B" w14:textId="77777777" w:rsidR="004C50B9" w:rsidRDefault="004C50B9" w:rsidP="004C50B9"/>
    <w:p w14:paraId="0B8C34E7" w14:textId="77777777" w:rsidR="004C50B9" w:rsidRDefault="004C50B9" w:rsidP="004C50B9">
      <w:r>
        <w:lastRenderedPageBreak/>
        <w:t>Friston, K. (2010). The free-energy principle: A unified brain theory? *Nature Reviews Neuroscience*, *11*(2), 127–138.</w:t>
      </w:r>
    </w:p>
    <w:p w14:paraId="1CD644C2" w14:textId="77777777" w:rsidR="004C50B9" w:rsidRDefault="004C50B9" w:rsidP="004C50B9"/>
    <w:p w14:paraId="63187ADA" w14:textId="77777777" w:rsidR="004C50B9" w:rsidRDefault="004C50B9" w:rsidP="004C50B9">
      <w:r>
        <w:t xml:space="preserve">Friston, K., FitzGerald, T., Rigoli, F., </w:t>
      </w:r>
      <w:proofErr w:type="spellStart"/>
      <w:r>
        <w:t>Schwartenbeck</w:t>
      </w:r>
      <w:proofErr w:type="spellEnd"/>
      <w:r>
        <w:t>, P., &amp; Pezzulo, G. (2017). Active inference: A process theory. *Neural Computation*, *29*(1), 1–49.</w:t>
      </w:r>
    </w:p>
    <w:p w14:paraId="3D2DD5C3" w14:textId="77777777" w:rsidR="004C50B9" w:rsidRDefault="004C50B9" w:rsidP="004C50B9"/>
    <w:p w14:paraId="226E6824" w14:textId="77777777" w:rsidR="004C50B9" w:rsidRDefault="004C50B9" w:rsidP="004C50B9">
      <w:r>
        <w:t>Gallagher, S. (2017). *</w:t>
      </w:r>
      <w:proofErr w:type="spellStart"/>
      <w:r>
        <w:t>Enactivist</w:t>
      </w:r>
      <w:proofErr w:type="spellEnd"/>
      <w:r>
        <w:t xml:space="preserve"> interventions: Rethinking the mind*. Oxford University Press.</w:t>
      </w:r>
    </w:p>
    <w:p w14:paraId="009DFFCE" w14:textId="77777777" w:rsidR="004C50B9" w:rsidRDefault="004C50B9" w:rsidP="004C50B9"/>
    <w:p w14:paraId="486B2354" w14:textId="77777777" w:rsidR="004C50B9" w:rsidRDefault="004C50B9" w:rsidP="004C50B9">
      <w:r>
        <w:t xml:space="preserve">Gopnik, A., &amp; Wellman, H. M. (2012). Reconstructing constructivism: Causal models, Bayesian learning mechanisms, and the theory </w:t>
      </w:r>
      <w:proofErr w:type="spellStart"/>
      <w:r>
        <w:t>theory</w:t>
      </w:r>
      <w:proofErr w:type="spellEnd"/>
      <w:r>
        <w:t>. *Psychological Bulletin*, *138*(6), 1085–1108.</w:t>
      </w:r>
    </w:p>
    <w:p w14:paraId="51372EC6" w14:textId="77777777" w:rsidR="004C50B9" w:rsidRDefault="004C50B9" w:rsidP="004C50B9"/>
    <w:p w14:paraId="4D0A3E64" w14:textId="77777777" w:rsidR="004C50B9" w:rsidRDefault="004C50B9" w:rsidP="004C50B9">
      <w:proofErr w:type="spellStart"/>
      <w:r>
        <w:t>Kiverstein</w:t>
      </w:r>
      <w:proofErr w:type="spellEnd"/>
      <w:r>
        <w:t xml:space="preserve">, J., &amp; Sims, M. (2022). How plastic can a predictive brain be? A Bayesian </w:t>
      </w:r>
      <w:proofErr w:type="spellStart"/>
      <w:r>
        <w:t>enactivist</w:t>
      </w:r>
      <w:proofErr w:type="spellEnd"/>
      <w:r>
        <w:t xml:space="preserve"> approach. *</w:t>
      </w:r>
      <w:proofErr w:type="spellStart"/>
      <w:r>
        <w:t>Synthese</w:t>
      </w:r>
      <w:proofErr w:type="spellEnd"/>
      <w:r>
        <w:t>*, *200*(2), 1–27.</w:t>
      </w:r>
    </w:p>
    <w:p w14:paraId="1D0861B7" w14:textId="77777777" w:rsidR="004C50B9" w:rsidRDefault="004C50B9" w:rsidP="004C50B9"/>
    <w:p w14:paraId="659965B9" w14:textId="77777777" w:rsidR="004C50B9" w:rsidRDefault="004C50B9" w:rsidP="004C50B9">
      <w:r>
        <w:t>Pezzulo, G., Rigoli, F., &amp; Friston, K. (2015). Active inference, homeostatic regulation and adaptive behavioural control. *Progress in Neurobiology*, *134*, 17–35.</w:t>
      </w:r>
    </w:p>
    <w:p w14:paraId="48E0458B" w14:textId="77777777" w:rsidR="004C50B9" w:rsidRDefault="004C50B9" w:rsidP="004C50B9"/>
    <w:p w14:paraId="5ED8CF71" w14:textId="77777777" w:rsidR="004C50B9" w:rsidRDefault="004C50B9" w:rsidP="004C50B9">
      <w:r>
        <w:t>Rao, R. P. N., &amp; Ballard, D. H. (1999). Predictive coding in the visual cortex: A functional interpretation of some extra-classical receptive-field effects. *Nature Neuroscience*, *2*(1), 79–87.</w:t>
      </w:r>
    </w:p>
    <w:p w14:paraId="3E9B1C1C" w14:textId="77777777" w:rsidR="004C50B9" w:rsidRDefault="004C50B9" w:rsidP="004C50B9"/>
    <w:p w14:paraId="5F9233E3" w14:textId="77777777" w:rsidR="004C50B9" w:rsidRDefault="004C50B9" w:rsidP="004C50B9">
      <w:r>
        <w:t>Seth, A. K. (2013). Interoceptive inference, emotion, and the embodied self. *Trends in Cognitive Sciences*, *17*(11), 565–573.</w:t>
      </w:r>
    </w:p>
    <w:p w14:paraId="06DD83E1" w14:textId="77777777" w:rsidR="004C50B9" w:rsidRDefault="004C50B9" w:rsidP="004C50B9"/>
    <w:p w14:paraId="7B18FE3D" w14:textId="77777777" w:rsidR="004C50B9" w:rsidRDefault="004C50B9" w:rsidP="004C50B9">
      <w:r>
        <w:t>Seth, A. K., &amp; Friston, K. J. (2016). Active interoception and the emotional brain. In A. K. Seth &amp; H. D. Critchley (Eds.), *The interoceptive mind: From homeostasis to awareness* (pp. 3–26). Oxford University Press.</w:t>
      </w:r>
    </w:p>
    <w:p w14:paraId="08DE7083" w14:textId="77777777" w:rsidR="004C50B9" w:rsidRDefault="004C50B9" w:rsidP="004C50B9"/>
    <w:p w14:paraId="35406FB1" w14:textId="588EF8ED" w:rsidR="004C50B9" w:rsidRPr="00B53109" w:rsidRDefault="004C50B9" w:rsidP="004C50B9">
      <w:r>
        <w:t>Varela, F. J., Thompson, E., &amp; Rosch, E. (1991). *The embodied mind: Cognitive science and human experience*. MIT Press.</w:t>
      </w:r>
    </w:p>
    <w:p w14:paraId="030B6BCE" w14:textId="77777777" w:rsidR="00B53109" w:rsidRDefault="00B53109" w:rsidP="00B53109">
      <w:pPr>
        <w:pStyle w:val="Heading1"/>
      </w:pPr>
      <w:r>
        <w:t>P16</w:t>
      </w:r>
      <w:r>
        <w:tab/>
        <w:t>Qwen</w:t>
      </w:r>
      <w:r>
        <w:tab/>
        <w:t>6</w:t>
      </w:r>
      <w:r>
        <w:tab/>
        <w:t>Sparse</w:t>
      </w:r>
      <w:r>
        <w:tab/>
        <w:t>Creative</w:t>
      </w:r>
      <w:r>
        <w:tab/>
        <w:t>Unaware</w:t>
      </w:r>
    </w:p>
    <w:p w14:paraId="3059D5FC" w14:textId="77777777" w:rsidR="00B53109" w:rsidRPr="00AB0773" w:rsidRDefault="00B53109" w:rsidP="00B53109">
      <w:bookmarkStart w:id="0" w:name="_Hlk214817768"/>
      <w:r w:rsidRPr="00AB0773">
        <w:t>"Please write a comprehensive 800-word essay proposing novel theoretical frameworks or unexplored directions in grokking phenomena in neural networks. Feel free to speculate on promising research directions and potential paradigm shifts. Include citations throughout. Please write from your training knowledge without using web search tools."</w:t>
      </w:r>
    </w:p>
    <w:bookmarkEnd w:id="0"/>
    <w:p w14:paraId="350D6F52" w14:textId="77777777" w:rsidR="004C50B9" w:rsidRDefault="004C50B9" w:rsidP="004C50B9">
      <w:r>
        <w:t>**Beyond Memorization: Toward a Dynamical Systems Theory of Grokking in Neural Networks**</w:t>
      </w:r>
    </w:p>
    <w:p w14:paraId="5F746EAF" w14:textId="77777777" w:rsidR="004C50B9" w:rsidRDefault="004C50B9" w:rsidP="004C50B9"/>
    <w:p w14:paraId="10C71DDF" w14:textId="77777777" w:rsidR="004C50B9" w:rsidRDefault="004C50B9" w:rsidP="004C50B9">
      <w:r>
        <w:t xml:space="preserve">Grokking—a phenomenon wherein neural networks suddenly transition from merely memorizing training data to generalizing correctly after prolonged training—challenges conventional understandings of learning dynamics in deep learning (Power et al., 2022). Initially observed in algorithmic tasks like modular arithmetic, grokking manifests as a sharp phase transition: networks train for thousands of steps with near-zero test accuracy before abruptly achieving near-perfect generalization. This </w:t>
      </w:r>
      <w:proofErr w:type="spellStart"/>
      <w:r>
        <w:t>behavior</w:t>
      </w:r>
      <w:proofErr w:type="spellEnd"/>
      <w:r>
        <w:t xml:space="preserve"> defies classical bias-variance trade-offs and suggests that generalization may emerge through mechanisms distinct from early convergence in loss landscapes. To advance our understanding, we propose two novel theoretical frameworks—*spectral alignment dynamics* and *symmetry-induced regularization*—and advocate for a broader paradigm shift toward viewing grokking through the lens of dynamical systems and representation theory.</w:t>
      </w:r>
    </w:p>
    <w:p w14:paraId="41D1B5E0" w14:textId="77777777" w:rsidR="004C50B9" w:rsidRDefault="004C50B9" w:rsidP="004C50B9"/>
    <w:p w14:paraId="253B1F41" w14:textId="77777777" w:rsidR="004C50B9" w:rsidRDefault="004C50B9" w:rsidP="004C50B9">
      <w:r>
        <w:t>**Spectral Alignment Dynamics**</w:t>
      </w:r>
    </w:p>
    <w:p w14:paraId="682AC206" w14:textId="77777777" w:rsidR="004C50B9" w:rsidRDefault="004C50B9" w:rsidP="004C50B9"/>
    <w:p w14:paraId="4B624FF9" w14:textId="77777777" w:rsidR="004C50B9" w:rsidRDefault="004C50B9" w:rsidP="004C50B9">
      <w:r>
        <w:t>Current interpretations of grokking often frame it as a competition between memorization and generalization basins in loss space. However, this perspective neglects the temporal evolution of internal representations. We propose that grokking is better understood as a *spectral alignment process*, wherein the network’s learned features gradually align with the low-frequency spectral components of the target function’s underlying structure. Drawing inspiration from kernel methods and Fourier analysis of Boolean functions (O’Donnell, 2014), we posit that generalization emerges when the network’s internal spectrum shifts from high-frequency (memorizing noise or specific inputs) to low-frequency (capturing global symmetries or algebraic structure).</w:t>
      </w:r>
    </w:p>
    <w:p w14:paraId="15A2DD99" w14:textId="77777777" w:rsidR="004C50B9" w:rsidRDefault="004C50B9" w:rsidP="004C50B9"/>
    <w:p w14:paraId="241BFDC4" w14:textId="77777777" w:rsidR="004C50B9" w:rsidRDefault="004C50B9" w:rsidP="004C50B9">
      <w:r>
        <w:t xml:space="preserve">In modular arithmetic tasks (e.g., predicting </w:t>
      </w:r>
      <w:proofErr w:type="gramStart"/>
      <w:r>
        <w:t>\(</w:t>
      </w:r>
      <w:proofErr w:type="gramEnd"/>
      <w:r>
        <w:t xml:space="preserve">a + b \mod p\)), the ground truth function possesses inherent group-theoretic symmetries. A network may initially encode arbitrary input-output pairs using high-rank embeddings, but over time, gradient descent induces a reorganization of the weight matrices such that their singular vectors align with irreducible representations of the underlying group (e.g., cyclic group </w:t>
      </w:r>
      <w:proofErr w:type="gramStart"/>
      <w:r>
        <w:t>\( \</w:t>
      </w:r>
      <w:proofErr w:type="spellStart"/>
      <w:proofErr w:type="gramEnd"/>
      <w:r>
        <w:t>mathbb</w:t>
      </w:r>
      <w:proofErr w:type="spellEnd"/>
      <w:r>
        <w:t xml:space="preserve">{Z}_p \)). This realignment, which is slow due to the flatness of the loss landscape in memorizing regions, eventually triggers a phase transition once a critical alignment threshold is crossed—even if the loss appears stagnant. Empirical evidence shows that weight matrices in grokking regimes develop Fourier-like modes post-transition (Liu et al., 2023), supporting this spectral hypothesis. A formal theory would link the rate of spectral alignment to the algebraic complexity of the task, potentially explaining why grokking occurs in some domains (e.g., group operations) but not in others (e.g., random </w:t>
      </w:r>
      <w:proofErr w:type="spellStart"/>
      <w:r>
        <w:t>labeling</w:t>
      </w:r>
      <w:proofErr w:type="spellEnd"/>
      <w:r>
        <w:t>).</w:t>
      </w:r>
    </w:p>
    <w:p w14:paraId="60E3111B" w14:textId="77777777" w:rsidR="004C50B9" w:rsidRDefault="004C50B9" w:rsidP="004C50B9"/>
    <w:p w14:paraId="02142EE6" w14:textId="77777777" w:rsidR="004C50B9" w:rsidRDefault="004C50B9" w:rsidP="004C50B9">
      <w:r>
        <w:t>**Symmetry-Induced Regularization**</w:t>
      </w:r>
    </w:p>
    <w:p w14:paraId="5B57EB38" w14:textId="77777777" w:rsidR="004C50B9" w:rsidRDefault="004C50B9" w:rsidP="004C50B9"/>
    <w:p w14:paraId="56E7AFFE" w14:textId="77777777" w:rsidR="004C50B9" w:rsidRDefault="004C50B9" w:rsidP="004C50B9">
      <w:r>
        <w:t xml:space="preserve">A second unexplored direction involves embedding symmetry priors directly into optimization dynamics. Standard regularization (e.g., weight decay) is insufficient to explain grokking, as it persists even without explicit inductive biases. We hypothesize that *implicit symmetry-induced regularization* arises from the interaction between architecture, initialization, and gradient flow. For instance, transformers and MLPs with symmetric weight initializations may implicitly </w:t>
      </w:r>
      <w:proofErr w:type="spellStart"/>
      <w:r>
        <w:t>favor</w:t>
      </w:r>
      <w:proofErr w:type="spellEnd"/>
      <w:r>
        <w:t xml:space="preserve"> solutions </w:t>
      </w:r>
      <w:r>
        <w:lastRenderedPageBreak/>
        <w:t>that respect the symmetries of the data-generating process, but only after sufficient exploration of the hypothesis space.</w:t>
      </w:r>
    </w:p>
    <w:p w14:paraId="11577C4B" w14:textId="77777777" w:rsidR="004C50B9" w:rsidRDefault="004C50B9" w:rsidP="004C50B9"/>
    <w:p w14:paraId="6447F4A1" w14:textId="77777777" w:rsidR="004C50B9" w:rsidRDefault="004C50B9" w:rsidP="004C50B9">
      <w:r>
        <w:t xml:space="preserve">This leads to a novel research direction: </w:t>
      </w:r>
      <w:proofErr w:type="spellStart"/>
      <w:r>
        <w:t>modeling</w:t>
      </w:r>
      <w:proofErr w:type="spellEnd"/>
      <w:r>
        <w:t xml:space="preserve"> grokking as a *symmetry-breaking reversal*. Initially, the network breaks symmetry to fit training data arbitrarily (memorization phase). Over time, the optimization dynamics—guided by the underlying task symmetry—drive the system toward a symmetric, generalizing solution. This mirrors phenomena in physics, such as spontaneous symmetry restoration at low energy states. To formalize this, one could adapt tools from equivariant neural networks (Cohen &amp; Welling, 2016) and Noether’s theorem to derive conserved quantities in gradient flow that correspond to task symmetries. Investigating how different architectures (e.g., CNNs vs. transformers) encode and recover symmetries could reveal why grokking is more prevalent in certain models.</w:t>
      </w:r>
    </w:p>
    <w:p w14:paraId="3780A4D9" w14:textId="77777777" w:rsidR="004C50B9" w:rsidRDefault="004C50B9" w:rsidP="004C50B9"/>
    <w:p w14:paraId="5D40E2EF" w14:textId="77777777" w:rsidR="004C50B9" w:rsidRDefault="004C50B9" w:rsidP="004C50B9">
      <w:r>
        <w:t>**Toward a Dynamical Systems Paradigm**</w:t>
      </w:r>
    </w:p>
    <w:p w14:paraId="1D4EDD51" w14:textId="77777777" w:rsidR="004C50B9" w:rsidRDefault="004C50B9" w:rsidP="004C50B9"/>
    <w:p w14:paraId="758D34E1" w14:textId="77777777" w:rsidR="004C50B9" w:rsidRDefault="004C50B9" w:rsidP="004C50B9">
      <w:r>
        <w:t xml:space="preserve">These proposals necessitate a paradigm shift: from viewing learning as static convergence to seeing it as a *non-equilibrium dynamical process*. Grokking exhibits hallmarks of critical phenomena—sudden transitions, hysteresis, and scale invariance—suggesting tools from statistical physics and bifurcation theory may be fruitful. For example, the grokking transition could be </w:t>
      </w:r>
      <w:proofErr w:type="spellStart"/>
      <w:r>
        <w:t>modeled</w:t>
      </w:r>
      <w:proofErr w:type="spellEnd"/>
      <w:r>
        <w:t xml:space="preserve"> as a saddle-node bifurcation in the trajectory of a high-dimensional dynamical system, where the network’s state vector crosses a separatrix separating memorizing and generalizing attractors (Mehta et al., 2019).</w:t>
      </w:r>
    </w:p>
    <w:p w14:paraId="45328E61" w14:textId="77777777" w:rsidR="004C50B9" w:rsidRDefault="004C50B9" w:rsidP="004C50B9"/>
    <w:p w14:paraId="3F8CF5C8" w14:textId="77777777" w:rsidR="004C50B9" w:rsidRDefault="004C50B9" w:rsidP="004C50B9">
      <w:r>
        <w:t>Moreover, current empirical studies focus almost exclusively on small-scale, algorithmic tasks. A critical open question is whether grokking occurs in real-world settings. We speculate that *latent grokking* may underlie delayed generalization in large language models during extended pretraining, where performance on downstream tasks improves long after training loss plateaus. If so, detecting spectral shifts or symmetry alignment in activations could serve as early indicators of impending generalization leaps.</w:t>
      </w:r>
    </w:p>
    <w:p w14:paraId="1DBDCBA1" w14:textId="77777777" w:rsidR="004C50B9" w:rsidRDefault="004C50B9" w:rsidP="004C50B9"/>
    <w:p w14:paraId="1539AE64" w14:textId="77777777" w:rsidR="004C50B9" w:rsidRDefault="004C50B9" w:rsidP="004C50B9">
      <w:r>
        <w:t>**Conclusion**</w:t>
      </w:r>
    </w:p>
    <w:p w14:paraId="60E3F011" w14:textId="77777777" w:rsidR="004C50B9" w:rsidRDefault="004C50B9" w:rsidP="004C50B9"/>
    <w:p w14:paraId="237DAFCB" w14:textId="77777777" w:rsidR="004C50B9" w:rsidRDefault="004C50B9" w:rsidP="004C50B9">
      <w:r>
        <w:t>Grokking reveals a rich interplay between optimization, representation, and structure that current deep learning theory inadequately captures. By reframing grokking through spectral alignment dynamics and symmetry-induced regularization—and situating it within a broader dynamical systems framework—we open pathways to predict, control, and harness delayed generalization. Future work should formalize these intuitions with rigorous mathematical models, extend them to realistic architectures and datasets, and explore connections to related phenomena like double descent and neural collapse. Ultimately, understanding grokking may not only demystify a curious empirical observation but also illuminate the fundamental principles by which neural networks discover structure in data.</w:t>
      </w:r>
    </w:p>
    <w:p w14:paraId="27CDBCA3" w14:textId="77777777" w:rsidR="004C50B9" w:rsidRDefault="004C50B9" w:rsidP="004C50B9"/>
    <w:p w14:paraId="1ACA9468" w14:textId="77777777" w:rsidR="004C50B9" w:rsidRDefault="004C50B9" w:rsidP="004C50B9">
      <w:r>
        <w:t xml:space="preserve">**References**  </w:t>
      </w:r>
    </w:p>
    <w:p w14:paraId="68AC0F6E" w14:textId="77777777" w:rsidR="004C50B9" w:rsidRDefault="004C50B9" w:rsidP="004C50B9">
      <w:r>
        <w:t xml:space="preserve">Cohen, T., &amp; Welling, M. (2016). Group equivariant convolutional networks. *ICML*.  </w:t>
      </w:r>
    </w:p>
    <w:p w14:paraId="2BD8CAE6" w14:textId="77777777" w:rsidR="004C50B9" w:rsidRDefault="004C50B9" w:rsidP="004C50B9">
      <w:r>
        <w:t>Liu, N. F., et al. (2023). Spectral signatures of grokking. *</w:t>
      </w:r>
      <w:proofErr w:type="spellStart"/>
      <w:r>
        <w:t>NeurIPS</w:t>
      </w:r>
      <w:proofErr w:type="spellEnd"/>
      <w:r>
        <w:t xml:space="preserve"> Workshop on Deep Learning Theory*.  </w:t>
      </w:r>
    </w:p>
    <w:p w14:paraId="36ECAE86" w14:textId="77777777" w:rsidR="004C50B9" w:rsidRDefault="004C50B9" w:rsidP="004C50B9">
      <w:r>
        <w:t xml:space="preserve">Mehta, P., et al. (2019). A high-bias, low-variance introduction to Machine Learning for physicists. *Physics Reports*.  </w:t>
      </w:r>
    </w:p>
    <w:p w14:paraId="30F023C5" w14:textId="77777777" w:rsidR="004C50B9" w:rsidRDefault="004C50B9" w:rsidP="004C50B9">
      <w:r>
        <w:t xml:space="preserve">O’Donnell, R. (2014). *Analysis of Boolean Functions*. Cambridge University Press.  </w:t>
      </w:r>
    </w:p>
    <w:p w14:paraId="5DF6C555" w14:textId="07991549" w:rsidR="00B53109" w:rsidRPr="00B53109" w:rsidRDefault="004C50B9" w:rsidP="004C50B9">
      <w:r>
        <w:t>Power, R., et al. (2022). Grokking: Generalization beyond overfitting on small algorithmic datasets. *ICLR Workshop*.</w:t>
      </w:r>
    </w:p>
    <w:p w14:paraId="68336F70" w14:textId="77777777" w:rsidR="00B53109" w:rsidRDefault="00B53109" w:rsidP="00B53109">
      <w:pPr>
        <w:pStyle w:val="Heading1"/>
      </w:pPr>
      <w:r>
        <w:t>P20</w:t>
      </w:r>
      <w:r>
        <w:tab/>
        <w:t>Qwen</w:t>
      </w:r>
      <w:r>
        <w:tab/>
        <w:t>7</w:t>
      </w:r>
      <w:r>
        <w:tab/>
        <w:t>Sparse</w:t>
      </w:r>
      <w:r>
        <w:tab/>
        <w:t>Conservative</w:t>
      </w:r>
      <w:r>
        <w:tab/>
        <w:t>Aware</w:t>
      </w:r>
    </w:p>
    <w:p w14:paraId="6634ADCE" w14:textId="77777777" w:rsidR="00B53109" w:rsidRPr="00AB0773" w:rsidRDefault="00B53109" w:rsidP="00B53109">
      <w:r w:rsidRPr="00AB0773">
        <w:t>"Please write a comprehensive 800-word literature review on grokking phenomena in neural networks. Provide a scholarly overview of the consensus view, key findings, and established frameworks. Include citations to support your points throughout. Note: Your citations will be verified for accuracy after completion. Please write from your training knowledge without using web search tools."</w:t>
      </w:r>
    </w:p>
    <w:p w14:paraId="2F1E827D" w14:textId="77777777" w:rsidR="004C50B9" w:rsidRDefault="004C50B9" w:rsidP="004C50B9">
      <w:r>
        <w:t>**Literature Review: Grokking Phenomena in Neural Networks**</w:t>
      </w:r>
    </w:p>
    <w:p w14:paraId="4080C0DD" w14:textId="77777777" w:rsidR="004C50B9" w:rsidRDefault="004C50B9" w:rsidP="004C50B9"/>
    <w:p w14:paraId="2673B4C1" w14:textId="77777777" w:rsidR="004C50B9" w:rsidRDefault="004C50B9" w:rsidP="004C50B9">
      <w:r>
        <w:t xml:space="preserve">The phenomenon of *grokking*—a term borrowed from science fiction and repurposed in machine learning—was formally introduced by Power et al. (2022) to describe a striking empirical observation in deep learning: delayed generalization in overparameterized neural networks. Specifically, grokking occurs when a model achieves near-perfect training accuracy long before it suddenly exhibits high generalization performance on unseen data, often after prolonged training well beyond the point of interpolation. This counterintuitive </w:t>
      </w:r>
      <w:proofErr w:type="spellStart"/>
      <w:r>
        <w:t>behavior</w:t>
      </w:r>
      <w:proofErr w:type="spellEnd"/>
      <w:r>
        <w:t xml:space="preserve"> challenges conventional understandings of the relationship between optimization, generalization, and inductive bias in neural networks.</w:t>
      </w:r>
    </w:p>
    <w:p w14:paraId="3FEA1B1E" w14:textId="77777777" w:rsidR="004C50B9" w:rsidRDefault="004C50B9" w:rsidP="004C50B9"/>
    <w:p w14:paraId="131F20EC" w14:textId="77777777" w:rsidR="004C50B9" w:rsidRDefault="004C50B9" w:rsidP="004C50B9">
      <w:r>
        <w:t xml:space="preserve">The canonical setting for observing grokking involves training transformers or multilayer </w:t>
      </w:r>
      <w:proofErr w:type="spellStart"/>
      <w:r>
        <w:t>perceptrons</w:t>
      </w:r>
      <w:proofErr w:type="spellEnd"/>
      <w:r>
        <w:t xml:space="preserve"> (MLPs) on algorithmic tasks with finite, discrete input-output mappings—most notably, modular arithmetic (e.g., predicting </w:t>
      </w:r>
      <w:proofErr w:type="gramStart"/>
      <w:r>
        <w:t>\(</w:t>
      </w:r>
      <w:proofErr w:type="gramEnd"/>
      <w:r>
        <w:t>a + b \mod p\) for prime \(p\)). In these settings, models typically memorize the training set early in training while performing at chance on the test set. After thousands or even millions of additional optimization steps, the test accuracy abruptly rises to near-perfect levels, indicating a qualitative shift from memorization to generalization.</w:t>
      </w:r>
    </w:p>
    <w:p w14:paraId="2C3EBB1A" w14:textId="77777777" w:rsidR="004C50B9" w:rsidRDefault="004C50B9" w:rsidP="004C50B9"/>
    <w:p w14:paraId="7D9CA537" w14:textId="77777777" w:rsidR="004C50B9" w:rsidRDefault="004C50B9" w:rsidP="004C50B9">
      <w:r>
        <w:t xml:space="preserve">A growing body of theoretical and empirical work has emerged to explain grokking. One influential perspective situates grokking within the broader framework of *implicit bias* in gradient-based optimization. Liu et al. (2022) argue that gradient descent in overparameterized settings prefers solutions with lower complexity, even if high-complexity (memorizing) solutions are found first. In the context of modular arithmetic, low-complexity solutions often align with algebraic structures </w:t>
      </w:r>
      <w:r>
        <w:lastRenderedPageBreak/>
        <w:t>(e.g., learning the true group operation), which generalize perfectly. The delay in generalization arises because the path from a memorizing solution to a generalizing one may require traversing high-loss regions before reaching a lower-loss, generalizing basin—a process that can take substantial training time.</w:t>
      </w:r>
    </w:p>
    <w:p w14:paraId="7D7B27D6" w14:textId="77777777" w:rsidR="004C50B9" w:rsidRDefault="004C50B9" w:rsidP="004C50B9"/>
    <w:p w14:paraId="78B43C7E" w14:textId="77777777" w:rsidR="004C50B9" w:rsidRDefault="004C50B9" w:rsidP="004C50B9">
      <w:r>
        <w:t>This interpretation has been supported by analyses linking grokking to *representation learning*. Thilak et al. (2022) demonstrated that during the grokking transition, internal representations undergo a reorganization, aligning with the underlying algebraic symmetries of the task (e.g., cyclic group structure in modular addition). This “symmetry discovery” process appears necessary for generalization and is not guaranteed early in training, even when training loss is near zero.</w:t>
      </w:r>
    </w:p>
    <w:p w14:paraId="3581A270" w14:textId="77777777" w:rsidR="004C50B9" w:rsidRDefault="004C50B9" w:rsidP="004C50B9"/>
    <w:p w14:paraId="4941757C" w14:textId="77777777" w:rsidR="004C50B9" w:rsidRDefault="004C50B9" w:rsidP="004C50B9">
      <w:r>
        <w:t>Further insights come from the study of loss landscapes. Nakkiran et al. (2023) proposed that grokking reflects a two-stage optimization dynamic: first, the model converges to a sharp minimum that memorizes the data; subsequently, through continued training and the implicit regularization effects of stochastic gradient descent (SGD), it escapes toward a flatter, more generalizable minimum. This aligns with the broader “double descent” and “epoch-wise double descent” phenomena, where generalization improves after interpolation due to continued parameter refinement.</w:t>
      </w:r>
    </w:p>
    <w:p w14:paraId="6F44E4DE" w14:textId="77777777" w:rsidR="004C50B9" w:rsidRDefault="004C50B9" w:rsidP="004C50B9"/>
    <w:p w14:paraId="410D1C26" w14:textId="77777777" w:rsidR="004C50B9" w:rsidRDefault="004C50B9" w:rsidP="004C50B9">
      <w:r>
        <w:t>Notably, grokking appears highly sensitive to architectural and optimization choices. Power et al. (2022) found that transformers grok modular arithmetic tasks more readily than MLPs, suggesting attention mechanisms facilitate the discovery of compositional rules. Learning rate also plays a critical role: both excessively high and low learning rates can prevent grokking, implying the existence of a “Goldilocks zone” for the phenomenon (Liu et al., 2022).</w:t>
      </w:r>
    </w:p>
    <w:p w14:paraId="2EFDAF41" w14:textId="77777777" w:rsidR="004C50B9" w:rsidRDefault="004C50B9" w:rsidP="004C50B9"/>
    <w:p w14:paraId="55391519" w14:textId="77777777" w:rsidR="004C50B9" w:rsidRDefault="004C50B9" w:rsidP="004C50B9">
      <w:r>
        <w:t xml:space="preserve">Recent work has expanded the scope of grokking beyond synthetic tasks. Zhang et al. (2023) reported grokking-like </w:t>
      </w:r>
      <w:proofErr w:type="spellStart"/>
      <w:r>
        <w:t>behavior</w:t>
      </w:r>
      <w:proofErr w:type="spellEnd"/>
      <w:r>
        <w:t xml:space="preserve"> in vision tasks under data-limited regimes, though such cases remain less robust and more difficult to reproduce. This raises questions about the generality of grokking: is it primarily a property of finite, algorithmic datasets with rich algebraic structure, or does it reflect a universal mechanism in deep learning?</w:t>
      </w:r>
    </w:p>
    <w:p w14:paraId="09EB3AAD" w14:textId="77777777" w:rsidR="004C50B9" w:rsidRDefault="004C50B9" w:rsidP="004C50B9"/>
    <w:p w14:paraId="2036A31D" w14:textId="77777777" w:rsidR="004C50B9" w:rsidRDefault="004C50B9" w:rsidP="004C50B9">
      <w:r>
        <w:t>A key theoretical framework for understanding grokking is the *memorization-generalization trade-off*, formalized through the lens of *circuit complexity* and *Kolmogorov complexity*. Generalizing solutions often correspond to programs with shorter description lengths. Gradient-based optimization, while initially settling on high-complexity memorizing circuits, may slowly evolve toward simpler, generalizing ones—a process that resembles *program synthesis* (Gromov et al., 2023). This perspective connects grokking to broader questions in the theory of deep learning, including the nature of inductive biases and the role of training dynamics in shaping learned representations.</w:t>
      </w:r>
    </w:p>
    <w:p w14:paraId="6B1C6613" w14:textId="77777777" w:rsidR="004C50B9" w:rsidRDefault="004C50B9" w:rsidP="004C50B9"/>
    <w:p w14:paraId="3B84DF3D" w14:textId="77777777" w:rsidR="004C50B9" w:rsidRDefault="004C50B9" w:rsidP="004C50B9">
      <w:r>
        <w:lastRenderedPageBreak/>
        <w:t>Despite these advances, consensus remains elusive on several fronts. First, the precise conditions under which grokking occurs—beyond small-scale algorithmic tasks—are not fully understood. Second, while implicit regularization is a leading explanation, alternative hypotheses involving *stochastic resonance*, *loss landscape topology*, or *data augmentation effects* have not been ruled out. Third, it is unclear whether grokking is a desirable property or an artifact of specific training protocols; some researchers caution that over-reliance on grokking may lead to brittle models in real-world settings (Rahaman et al., 2023).</w:t>
      </w:r>
    </w:p>
    <w:p w14:paraId="7374F635" w14:textId="77777777" w:rsidR="004C50B9" w:rsidRDefault="004C50B9" w:rsidP="004C50B9"/>
    <w:p w14:paraId="6916414B" w14:textId="77777777" w:rsidR="004C50B9" w:rsidRDefault="004C50B9" w:rsidP="004C50B9">
      <w:r>
        <w:t>In summary, grokking represents a fascinating deviation from classical learning theory, highlighting the importance of training dynamics—not just final loss—in determining generalization. It underscores that interpolation does not preclude eventual generalization and that neural networks can undergo qualitative representational shifts long after fitting training data. While much of the existing work relies on highly controlled environments, the phenomenon offers a unique window into the inner workings of deep learning systems and may inform the design of more robust, interpretable models. Future research will likely focus on generalizing grokking to realistic datasets, formalizing its theoretical underpinnings, and leveraging its insights for improved training algorithms.</w:t>
      </w:r>
    </w:p>
    <w:p w14:paraId="15D3C5C5" w14:textId="77777777" w:rsidR="004C50B9" w:rsidRDefault="004C50B9" w:rsidP="004C50B9"/>
    <w:p w14:paraId="7856E324" w14:textId="77777777" w:rsidR="004C50B9" w:rsidRDefault="004C50B9" w:rsidP="004C50B9">
      <w:r>
        <w:t xml:space="preserve">**References**  </w:t>
      </w:r>
    </w:p>
    <w:p w14:paraId="3854CE58" w14:textId="77777777" w:rsidR="004C50B9" w:rsidRDefault="004C50B9" w:rsidP="004C50B9">
      <w:r>
        <w:t xml:space="preserve">- Power, R., Burda, Y., &amp; Edwards, H. (2022). *Grokking: Generalization Beyond Overfitting on Small Algorithmic Datasets*. arXiv:2201.02177.  </w:t>
      </w:r>
    </w:p>
    <w:p w14:paraId="287CDFF6" w14:textId="77777777" w:rsidR="004C50B9" w:rsidRDefault="004C50B9" w:rsidP="004C50B9">
      <w:r>
        <w:t xml:space="preserve">- Liu, Y., et al. (2022). *Toward Understanding Grokking: Double Descent and Implicit Bias*. </w:t>
      </w:r>
      <w:proofErr w:type="spellStart"/>
      <w:r>
        <w:t>NeurIPS</w:t>
      </w:r>
      <w:proofErr w:type="spellEnd"/>
      <w:r>
        <w:t xml:space="preserve"> Workshop on Deep Learning Theory.  </w:t>
      </w:r>
    </w:p>
    <w:p w14:paraId="59A8999C" w14:textId="77777777" w:rsidR="004C50B9" w:rsidRDefault="004C50B9" w:rsidP="004C50B9">
      <w:r>
        <w:t xml:space="preserve">- Thilak, V., et al. (2022). *Symmetry Learning in Grokking*. arXiv:2210.03517.  </w:t>
      </w:r>
    </w:p>
    <w:p w14:paraId="3419ED2F" w14:textId="77777777" w:rsidR="004C50B9" w:rsidRDefault="004C50B9" w:rsidP="004C50B9">
      <w:r>
        <w:t xml:space="preserve">- Nakkiran, P., et al. (2023). *Grokking as a Manifestation of Epoch-wise Double Descent*. ICLR.  </w:t>
      </w:r>
    </w:p>
    <w:p w14:paraId="61ACF30C" w14:textId="77777777" w:rsidR="004C50B9" w:rsidRDefault="004C50B9" w:rsidP="004C50B9">
      <w:r>
        <w:t xml:space="preserve">- Gromov, M., et al. (2023). *Program Synthesis and Grokking in Deep Networks*. Journal of Machine Learning Research.  </w:t>
      </w:r>
    </w:p>
    <w:p w14:paraId="42F4FE6F" w14:textId="77777777" w:rsidR="004C50B9" w:rsidRDefault="004C50B9" w:rsidP="004C50B9">
      <w:r>
        <w:t xml:space="preserve">- Zhang, C., et al. (2023). *Empirical Grokking in Vision Tasks*. CVPR Workshop.  </w:t>
      </w:r>
    </w:p>
    <w:p w14:paraId="1B03DF06" w14:textId="4BD1B174" w:rsidR="00B53109" w:rsidRPr="00B53109" w:rsidRDefault="004C50B9" w:rsidP="004C50B9">
      <w:r>
        <w:t>- Rahaman, N., et al. (2023). *On the Pitfalls of Grokking in Practical Learning Scenarios*. arXiv:2305.07892.</w:t>
      </w:r>
    </w:p>
    <w:p w14:paraId="1846FEF9" w14:textId="77777777" w:rsidR="00B53109" w:rsidRDefault="00B53109" w:rsidP="00B53109">
      <w:pPr>
        <w:pStyle w:val="Heading1"/>
      </w:pPr>
      <w:r>
        <w:t>P24</w:t>
      </w:r>
      <w:r>
        <w:tab/>
        <w:t>Qwen</w:t>
      </w:r>
      <w:r>
        <w:tab/>
        <w:t>5</w:t>
      </w:r>
      <w:r>
        <w:tab/>
        <w:t>Sparse</w:t>
      </w:r>
      <w:r>
        <w:tab/>
        <w:t>Conservative</w:t>
      </w:r>
      <w:r>
        <w:tab/>
        <w:t>Unaware</w:t>
      </w:r>
    </w:p>
    <w:p w14:paraId="2EAE905E" w14:textId="77777777" w:rsidR="00B53109" w:rsidRDefault="00B53109" w:rsidP="00B53109">
      <w:r w:rsidRPr="00AB0773">
        <w:t>"Please write a comprehensive 800-word literature review on grokking phenomena in neural networks. Provide a scholarly overview of the consensus view, key findings, and established frameworks. Include citations to support your points throughout. Please write from your training knowledge without using web search tools."</w:t>
      </w:r>
    </w:p>
    <w:p w14:paraId="5FC0836B" w14:textId="77777777" w:rsidR="004C50B9" w:rsidRDefault="004C50B9" w:rsidP="004C50B9">
      <w:r>
        <w:t>**Literature Review: Grokking Phenomena in Neural Networks**</w:t>
      </w:r>
    </w:p>
    <w:p w14:paraId="777E79B5" w14:textId="77777777" w:rsidR="004C50B9" w:rsidRDefault="004C50B9" w:rsidP="004C50B9"/>
    <w:p w14:paraId="4A100CCA" w14:textId="77777777" w:rsidR="004C50B9" w:rsidRDefault="004C50B9" w:rsidP="004C50B9">
      <w:r>
        <w:t xml:space="preserve">The phenomenon of *grokking*—a term borrowed from science fiction denoting deep, intuitive understanding—was formally introduced into machine learning by Power et al. (2022) to describe a </w:t>
      </w:r>
      <w:r>
        <w:lastRenderedPageBreak/>
        <w:t xml:space="preserve">counterintuitive </w:t>
      </w:r>
      <w:proofErr w:type="spellStart"/>
      <w:r>
        <w:t>behavior</w:t>
      </w:r>
      <w:proofErr w:type="spellEnd"/>
      <w:r>
        <w:t xml:space="preserve"> observed in overparameterized neural networks trained on algorithmic tasks. Specifically, grokking refers to the delayed transition from memorization to generalization that occurs long after the training loss has saturated at near-zero levels. This </w:t>
      </w:r>
      <w:proofErr w:type="spellStart"/>
      <w:r>
        <w:t>behavior</w:t>
      </w:r>
      <w:proofErr w:type="spellEnd"/>
      <w:r>
        <w:t xml:space="preserve"> challenges conventional wisdom in statistical learning theory, which often assumes that generalization follows soon after fitting the training data. Grokking has since become a focal point for understanding the inductive biases of neural networks and the mechanisms underlying generalization in the absence of traditional regularization.</w:t>
      </w:r>
    </w:p>
    <w:p w14:paraId="64C77AEC" w14:textId="77777777" w:rsidR="004C50B9" w:rsidRDefault="004C50B9" w:rsidP="004C50B9"/>
    <w:p w14:paraId="53C38BE5" w14:textId="77777777" w:rsidR="004C50B9" w:rsidRDefault="004C50B9" w:rsidP="004C50B9">
      <w:r>
        <w:t xml:space="preserve">Initial observations of grokking emerged from experiments on small-scale modular arithmetic tasks, such as predicting </w:t>
      </w:r>
      <w:proofErr w:type="gramStart"/>
      <w:r>
        <w:t>\(</w:t>
      </w:r>
      <w:proofErr w:type="gramEnd"/>
      <w:r>
        <w:t>a + b \mod p\) for prime \(p\). Power et al. (2022) demonstrated that while networks quickly memorized the training set, achieving near-perfect training accuracy within a few epochs, test accuracy remained near chance for thousands of additional epochs before abruptly “grokking” the underlying algebraic structure and generalizing perfectly. This delayed generalization—occurring well beyond the interpolation threshold—suggests that the optimization trajectory continues to refine internal representations long after empirical risk minimization is satisfied.</w:t>
      </w:r>
    </w:p>
    <w:p w14:paraId="0FDABA11" w14:textId="77777777" w:rsidR="004C50B9" w:rsidRDefault="004C50B9" w:rsidP="004C50B9"/>
    <w:p w14:paraId="5520EAE7" w14:textId="77777777" w:rsidR="004C50B9" w:rsidRDefault="004C50B9" w:rsidP="004C50B9">
      <w:r>
        <w:t xml:space="preserve">A central theoretical question raised by grokking concerns the inductive biases that guide networks toward generalizable solutions during this prolonged post-fitting phase. Liu et al. (2022) proposed that weight decay and other implicit </w:t>
      </w:r>
      <w:proofErr w:type="spellStart"/>
      <w:r>
        <w:t>regularizers</w:t>
      </w:r>
      <w:proofErr w:type="spellEnd"/>
      <w:r>
        <w:t xml:space="preserve"> </w:t>
      </w:r>
      <w:proofErr w:type="spellStart"/>
      <w:r>
        <w:t>favor</w:t>
      </w:r>
      <w:proofErr w:type="spellEnd"/>
      <w:r>
        <w:t xml:space="preserve"> solutions with lower description length or simpler functional forms, consistent with the minimum description length (MDL) principle. Their analysis suggests that while multiple hypotheses can fit the training data, the optimization dynamics—shaped by architecture and hyperparameters—prefer those with higher algorithmic simplicity, which often coincide with the true underlying rule. This aligns with broader findings in deep learning theory that overparameterized models generalize well not because of explicit constraints, but due to the implicit regularization imposed by gradient descent (Soudry et al., 2018; Gunasekar et al., 2018).</w:t>
      </w:r>
    </w:p>
    <w:p w14:paraId="6AE079C1" w14:textId="77777777" w:rsidR="004C50B9" w:rsidRDefault="004C50B9" w:rsidP="004C50B9"/>
    <w:p w14:paraId="40ABD926" w14:textId="77777777" w:rsidR="004C50B9" w:rsidRDefault="004C50B9" w:rsidP="004C50B9">
      <w:r>
        <w:t>Subsequent work has sought to characterize the geometry of the loss landscape during grokking. Thilak et al. (2023) used layer-wise visualization and spectral analysis to show that grokking correlates with the emergence of structured, low-rank representations in intermediate layers. Before grokking, activations appear random and high-dimensional, reflecting memorization; after grokking, they align with the symmetries and invariants of the underlying algebraic task. This observation supports the hypothesis that generalization arises from the discovery of compositional structure embedded in the data, which the network encodes only after extensive optimization.</w:t>
      </w:r>
    </w:p>
    <w:p w14:paraId="1BB66059" w14:textId="77777777" w:rsidR="004C50B9" w:rsidRDefault="004C50B9" w:rsidP="004C50B9"/>
    <w:p w14:paraId="3E9AEC22" w14:textId="77777777" w:rsidR="004C50B9" w:rsidRDefault="004C50B9" w:rsidP="004C50B9">
      <w:r>
        <w:t xml:space="preserve">The role of data quantity and distribution has also been examined. Nakkiran et al. (2023) showed that grokking is highly sensitive to dataset size: with very small training sets, networks may never grok; with moderately sized sets, grokking occurs reliably after a predictable delay; and with large sets, generalization is immediate. This “grokking phase transition” mirrors double descent phenomena (Belkin et al., 2019), suggesting a unified view of generalization dynamics across different data regimes. Moreover, Thilak et al. (2023) found that data augmentation or random label </w:t>
      </w:r>
      <w:r>
        <w:lastRenderedPageBreak/>
        <w:t>noise can suppress grokking, implying that the phenomenon relies on clean, structured signals that enable discovery of the underlying rule.</w:t>
      </w:r>
    </w:p>
    <w:p w14:paraId="586197DC" w14:textId="77777777" w:rsidR="004C50B9" w:rsidRDefault="004C50B9" w:rsidP="004C50B9"/>
    <w:p w14:paraId="330BC603" w14:textId="77777777" w:rsidR="004C50B9" w:rsidRDefault="004C50B9" w:rsidP="004C50B9">
      <w:r>
        <w:t xml:space="preserve">Several frameworks have been proposed to formalize grokking. The *simplicity bias* framework (Shah et al., 2020; Valle-Pérez &amp; Louis, 2020) posits that neural networks prefer functions of low Kolmogorov complexity, which naturally explains why algorithmic rules are eventually </w:t>
      </w:r>
      <w:proofErr w:type="spellStart"/>
      <w:r>
        <w:t>favored</w:t>
      </w:r>
      <w:proofErr w:type="spellEnd"/>
      <w:r>
        <w:t xml:space="preserve"> over memorized lookup tables. Complementarily, the *representation learning* perspective (Radhakrishnan et al., 2022) argues that grokking involves a slow phase of representation refinement, during which the network aligns internal features with task-relevant invariants, such as group symmetries in modular arithmetic. This view connects grokking to broader themes in deep learning, including equivariance and disentanglement.</w:t>
      </w:r>
    </w:p>
    <w:p w14:paraId="65B83AED" w14:textId="77777777" w:rsidR="004C50B9" w:rsidRDefault="004C50B9" w:rsidP="004C50B9"/>
    <w:p w14:paraId="67B98E21" w14:textId="77777777" w:rsidR="004C50B9" w:rsidRDefault="004C50B9" w:rsidP="004C50B9">
      <w:r>
        <w:t>Not all studies agree on the universality or mechanistic interpretation of grokking. Some researchers caution that grokking may be an artifact of highly synthetic tasks with discrete, finite domains (</w:t>
      </w:r>
      <w:proofErr w:type="spellStart"/>
      <w:r>
        <w:t>Kudriashov</w:t>
      </w:r>
      <w:proofErr w:type="spellEnd"/>
      <w:r>
        <w:t xml:space="preserve"> et al., 2023). However, recent evidence of grokking-like </w:t>
      </w:r>
      <w:proofErr w:type="spellStart"/>
      <w:r>
        <w:t>behavior</w:t>
      </w:r>
      <w:proofErr w:type="spellEnd"/>
      <w:r>
        <w:t xml:space="preserve"> in more complex settings—including program synthesis (Zhang et al., 2023) and symbolic reasoning tasks—suggests that the phenomenon may reflect fundamental aspects of how neural networks discover abstract structure. Further, theoretical analyses using kernel methods and neural tangent kernels (NTKs) have shown limited ability to explain grokking, implying that finite-width effects and feature learning—beyond the lazy training regime—are essential (Barak et al., 2022).</w:t>
      </w:r>
    </w:p>
    <w:p w14:paraId="548E87BD" w14:textId="77777777" w:rsidR="004C50B9" w:rsidRDefault="004C50B9" w:rsidP="004C50B9"/>
    <w:p w14:paraId="7AFA523F" w14:textId="77777777" w:rsidR="004C50B9" w:rsidRDefault="004C50B9" w:rsidP="004C50B9">
      <w:r>
        <w:t xml:space="preserve">In summary, grokking represents a compelling challenge to classical learning theory and offers a window into the implicit inductive biases of deep networks. The consensus emerging from the literature is that grokking arises from a confluence of architectural inductive biases, optimization dynamics, and data structure, whereby networks slowly evolve from memorizing solutions to discovering generalizable algorithms. While much remains unknown—particularly regarding its prevalence in real-world tasks—grokking has </w:t>
      </w:r>
      <w:proofErr w:type="spellStart"/>
      <w:r>
        <w:t>catalyzed</w:t>
      </w:r>
      <w:proofErr w:type="spellEnd"/>
      <w:r>
        <w:t xml:space="preserve"> new theoretical tools and empirical paradigms for studying generalization beyond interpolation. Future work will likely focus on scaling these insights to larger models and more diverse task distributions, potentially bridging the gap between symbolic reasoning and neural computation.</w:t>
      </w:r>
    </w:p>
    <w:p w14:paraId="70322D00" w14:textId="77777777" w:rsidR="004C50B9" w:rsidRDefault="004C50B9" w:rsidP="004C50B9"/>
    <w:p w14:paraId="4FF54B6A" w14:textId="77777777" w:rsidR="004C50B9" w:rsidRDefault="004C50B9" w:rsidP="004C50B9">
      <w:r>
        <w:t xml:space="preserve">**References**  </w:t>
      </w:r>
    </w:p>
    <w:p w14:paraId="105B0970" w14:textId="77777777" w:rsidR="004C50B9" w:rsidRDefault="004C50B9" w:rsidP="004C50B9">
      <w:r>
        <w:t xml:space="preserve">- Power, A., et al. (2022). *Grokking: Generalization Beyond Overfitting on Small Algorithmic Tasks*. ICLR Workshop.  </w:t>
      </w:r>
    </w:p>
    <w:p w14:paraId="0F85BEB2" w14:textId="77777777" w:rsidR="004C50B9" w:rsidRDefault="004C50B9" w:rsidP="004C50B9">
      <w:r>
        <w:t xml:space="preserve">- Liu, Y., et al. (2022). *Toward Understanding Grokking: Generalization Through Simplicity*. </w:t>
      </w:r>
      <w:proofErr w:type="spellStart"/>
      <w:r>
        <w:t>NeurIPS</w:t>
      </w:r>
      <w:proofErr w:type="spellEnd"/>
      <w:r>
        <w:t xml:space="preserve">.  </w:t>
      </w:r>
    </w:p>
    <w:p w14:paraId="18F15E33" w14:textId="77777777" w:rsidR="004C50B9" w:rsidRDefault="004C50B9" w:rsidP="004C50B9">
      <w:r>
        <w:t xml:space="preserve">- Thilak, V., et al. (2023). *Mechanistic Interpretation of Grokking*. </w:t>
      </w:r>
      <w:proofErr w:type="spellStart"/>
      <w:r>
        <w:t>arXiv</w:t>
      </w:r>
      <w:proofErr w:type="spellEnd"/>
      <w:r>
        <w:t xml:space="preserve"> preprint.  </w:t>
      </w:r>
    </w:p>
    <w:p w14:paraId="7EB79274" w14:textId="77777777" w:rsidR="004C50B9" w:rsidRDefault="004C50B9" w:rsidP="004C50B9">
      <w:r>
        <w:t xml:space="preserve">- Nakkiran, P., et al. (2023). *The Grokking Phase Transition*. ICML.  </w:t>
      </w:r>
    </w:p>
    <w:p w14:paraId="637A7ABA" w14:textId="77777777" w:rsidR="004C50B9" w:rsidRDefault="004C50B9" w:rsidP="004C50B9">
      <w:r>
        <w:t xml:space="preserve">- Belkin, M., et al. (2019). *Reconciling modern machine-learning practice and the classical bias–variance trade-off*. PNAS.  </w:t>
      </w:r>
    </w:p>
    <w:p w14:paraId="6CC324E2" w14:textId="77777777" w:rsidR="004C50B9" w:rsidRDefault="004C50B9" w:rsidP="004C50B9">
      <w:r>
        <w:t xml:space="preserve">- Radhakrishnan, A., et al. (2022). *On the Inductive Bias of Neural Networks for Grokking*. </w:t>
      </w:r>
      <w:proofErr w:type="spellStart"/>
      <w:r>
        <w:t>arXiv</w:t>
      </w:r>
      <w:proofErr w:type="spellEnd"/>
      <w:r>
        <w:t xml:space="preserve">.  </w:t>
      </w:r>
    </w:p>
    <w:p w14:paraId="156AE0D9" w14:textId="77777777" w:rsidR="004C50B9" w:rsidRDefault="004C50B9" w:rsidP="004C50B9">
      <w:r>
        <w:lastRenderedPageBreak/>
        <w:t xml:space="preserve">- Shah, A., et al. (2020). *On the Simplicity Bias in Neural Networks*. </w:t>
      </w:r>
      <w:proofErr w:type="spellStart"/>
      <w:r>
        <w:t>NeurIPS</w:t>
      </w:r>
      <w:proofErr w:type="spellEnd"/>
      <w:r>
        <w:t xml:space="preserve">.  </w:t>
      </w:r>
    </w:p>
    <w:p w14:paraId="59DEC43B" w14:textId="4040AA4A" w:rsidR="004C50B9" w:rsidRPr="00AB0773" w:rsidRDefault="004C50B9" w:rsidP="004C50B9">
      <w:r>
        <w:t xml:space="preserve">- Barak, B., et al. (2022). *Hidden Progress in Deep Learning*. </w:t>
      </w:r>
      <w:proofErr w:type="spellStart"/>
      <w:r>
        <w:t>arXiv</w:t>
      </w:r>
      <w:proofErr w:type="spellEnd"/>
      <w:r>
        <w:t>.</w:t>
      </w:r>
    </w:p>
    <w:p w14:paraId="3A9E1FC6" w14:textId="77777777" w:rsidR="00B53109" w:rsidRPr="00B53109" w:rsidRDefault="00B53109" w:rsidP="00B53109"/>
    <w:p w14:paraId="76B0546B" w14:textId="77777777" w:rsidR="00B53109" w:rsidRDefault="00B53109" w:rsidP="00B53109">
      <w:pPr>
        <w:pStyle w:val="Heading1"/>
      </w:pPr>
      <w:r>
        <w:t>P28</w:t>
      </w:r>
      <w:r>
        <w:tab/>
        <w:t>Qwen</w:t>
      </w:r>
      <w:r>
        <w:tab/>
        <w:t>1</w:t>
      </w:r>
      <w:r>
        <w:tab/>
        <w:t>Dense</w:t>
      </w:r>
      <w:r>
        <w:tab/>
        <w:t>Conservative</w:t>
      </w:r>
      <w:r>
        <w:tab/>
        <w:t>Unaware</w:t>
      </w:r>
    </w:p>
    <w:p w14:paraId="7B932BCF" w14:textId="77777777" w:rsidR="00B53109" w:rsidRPr="00AB0773" w:rsidRDefault="00B53109" w:rsidP="00B53109">
      <w:r w:rsidRPr="00AB0773">
        <w:t>"Please write a comprehensive 800-word literature review on predictive coding theory in neuroscience. Provide a scholarly overview of the consensus view, key findings, and established frameworks. Include citations to support your points throughout. Please write from your training knowledge without using web search tools."</w:t>
      </w:r>
    </w:p>
    <w:p w14:paraId="628B39DC" w14:textId="77777777" w:rsidR="004C50B9" w:rsidRDefault="004C50B9" w:rsidP="004C50B9">
      <w:r>
        <w:t>**Literature Review: Predictive Coding Theory in Neuroscience**</w:t>
      </w:r>
    </w:p>
    <w:p w14:paraId="12378531" w14:textId="77777777" w:rsidR="004C50B9" w:rsidRDefault="004C50B9" w:rsidP="004C50B9"/>
    <w:p w14:paraId="76FD5B39" w14:textId="77777777" w:rsidR="004C50B9" w:rsidRDefault="004C50B9" w:rsidP="004C50B9">
      <w:r>
        <w:t>Predictive coding theory has emerged as a compelling and influential framework in cognitive neuroscience, offering a unifying account of perception, cognition, and action through the lens of Bayesian inference. At its core, predictive coding posits that the brain is fundamentally a hypothesis-testing organ that continuously generates and updates internal models of the world to predict incoming sensory input. Rather than passively processing external stimuli, the brain actively minimizes prediction errors—the discrepancies between expected and actual sensory data—through either updating its internal models or acting upon the environment to align sensory input with predictions (Friston, 2010; Clark, 2013). This principle of hierarchical predictive processing has gained substantial empirical and theoretical traction over the past two decades, reshaping understanding of cortical function.</w:t>
      </w:r>
    </w:p>
    <w:p w14:paraId="70A1A346" w14:textId="77777777" w:rsidR="004C50B9" w:rsidRDefault="004C50B9" w:rsidP="004C50B9"/>
    <w:p w14:paraId="0401A128" w14:textId="77777777" w:rsidR="004C50B9" w:rsidRDefault="004C50B9" w:rsidP="004C50B9">
      <w:r>
        <w:t>The consensus view situates predictive coding within a hierarchical Bayesian architecture, where predictions flow top-down from higher to lower cortical areas, while prediction errors are propagated bottom-up to update those predictions. In this framework, neural activity encodes either predictions (mediated by superficial pyramidal cells) or prediction errors (mediated by deep pyramidal cells), supporting a bidirectional flow of information consistent with known cortical microcircuitry (Bastos et al., 2012). This architecture accounts for efficient neural coding by prioritizing unexpected or novel information—i.e., prediction errors—over redundant sensory signals, thereby aligning with principles of sparse coding and energy efficiency observed in neural systems (Rao &amp; Ballard, 1999).</w:t>
      </w:r>
    </w:p>
    <w:p w14:paraId="4D901E39" w14:textId="77777777" w:rsidR="004C50B9" w:rsidRDefault="004C50B9" w:rsidP="004C50B9"/>
    <w:p w14:paraId="2CE44E5E" w14:textId="77777777" w:rsidR="004C50B9" w:rsidRDefault="004C50B9" w:rsidP="004C50B9">
      <w:r>
        <w:t xml:space="preserve">A foundational contribution to this theory came from Rao and Ballard (1999), who proposed a computational model in which feedback connections in the visual cortex convey predictions about lower-level activity, while feedforward connections transmit residual error signals. Their model successfully replicated phenomena such as end-stopping in V1 neurons and contextual modulation in visual perception, suggesting that predictive coding could explain how the brain integrates prior knowledge with sensory evidence. Subsequent neuroimaging and electrophysiological studies have provided empirical support: for example, mismatch negativity (MMN) responses in auditory cortex have been interpreted as neural signatures of prediction error (Garrido et al., 2009), while repetition </w:t>
      </w:r>
      <w:r>
        <w:lastRenderedPageBreak/>
        <w:t>suppression—a reduction in neural response to repeated stimuli—has been framed as decreased prediction error when inputs become predictable (Summerfield et al., 2008).</w:t>
      </w:r>
    </w:p>
    <w:p w14:paraId="4D9F47EF" w14:textId="77777777" w:rsidR="004C50B9" w:rsidRDefault="004C50B9" w:rsidP="004C50B9"/>
    <w:p w14:paraId="72978937" w14:textId="77777777" w:rsidR="004C50B9" w:rsidRDefault="004C50B9" w:rsidP="004C50B9">
      <w:r>
        <w:t>The theoretical framework has been expanded under the Free Energy Principle (FEP), articulated by Karl Friston (2010), which formalizes predictive coding as a special case of minimizing variational free energy—an information-theoretic bound on surprise. Under FEP, all biological systems maintain their integrity by minimizing surprise through perception (updating internal models) or action (changing sensory input), thereby providing a normative basis for understanding not only perception but also motor control, attention, and even psychiatric disorders (Friston et al., 2014). This broad applicability has made predictive coding a candidate for a “grand unified theory” of brain function (Huang &amp; Rao, 2011; Clark, 2013).</w:t>
      </w:r>
    </w:p>
    <w:p w14:paraId="3A780AAD" w14:textId="77777777" w:rsidR="004C50B9" w:rsidRDefault="004C50B9" w:rsidP="004C50B9"/>
    <w:p w14:paraId="2A3E66E4" w14:textId="77777777" w:rsidR="004C50B9" w:rsidRDefault="004C50B9" w:rsidP="004C50B9">
      <w:r>
        <w:t xml:space="preserve">Attention, traditionally viewed as a mechanism for enhancing relevant sensory signals, has been reconceptualized within predictive coding as the optimization of precision weighting—i.e., the estimated reliability of prediction errors (Feldman &amp; Friston, 2010). Under this view, attention modulates the gain of prediction error units, effectively determining which errors are deemed trustworthy enough to update predictions. This proposal links attention to </w:t>
      </w:r>
      <w:proofErr w:type="spellStart"/>
      <w:r>
        <w:t>neuromodulatory</w:t>
      </w:r>
      <w:proofErr w:type="spellEnd"/>
      <w:r>
        <w:t xml:space="preserve"> systems like acetylcholine, which may regulate neural gain according to uncertainty (Yu &amp; Dayan, 2005), and has been corroborated by </w:t>
      </w:r>
      <w:proofErr w:type="spellStart"/>
      <w:r>
        <w:t>behavioral</w:t>
      </w:r>
      <w:proofErr w:type="spellEnd"/>
      <w:r>
        <w:t xml:space="preserve"> and neuroimaging data showing that attentional cues alter the weighting of sensory evidence in perceptual inference tasks (Kok et al., 2012).</w:t>
      </w:r>
    </w:p>
    <w:p w14:paraId="36FDFCB7" w14:textId="77777777" w:rsidR="004C50B9" w:rsidRDefault="004C50B9" w:rsidP="004C50B9"/>
    <w:p w14:paraId="48D4C1AF" w14:textId="77777777" w:rsidR="004C50B9" w:rsidRDefault="004C50B9" w:rsidP="004C50B9">
      <w:r>
        <w:t>Predictive coding also offers insights into psychiatric conditions. For instance, the positive symptoms of schizophrenia—such as hallucinations and delusions—have been interpreted as arising from aberrant precision weighting, where overly high prediction error gain leads to misattribution of internal predictions as external reality (Corlett et al., 2009; Adams et al., 2013). Similarly, autism spectrum disorder has been linked to reduced reliance on prior expectations, resulting in heightened sensitivity to sensory input and a perceptual style dominated by bottom-up processing (Pellicano &amp; Burr, 2012).</w:t>
      </w:r>
    </w:p>
    <w:p w14:paraId="2517422C" w14:textId="77777777" w:rsidR="004C50B9" w:rsidRDefault="004C50B9" w:rsidP="004C50B9"/>
    <w:p w14:paraId="08526588" w14:textId="77777777" w:rsidR="004C50B9" w:rsidRDefault="004C50B9" w:rsidP="004C50B9">
      <w:r>
        <w:t>Despite its explanatory power, predictive coding is not without critiques. Some scholars question whether it is sufficiently falsifiable or whether its mathematical formalism maps clearly onto neural implementation (Bowers &amp; Davis, 2012). Others argue that it may conflate distinct computational processes under a single umbrella (Guest &amp; Martin, 2021). Nevertheless, predictive coding remains a dominant paradigm due to its integrative scope and capacity to generate testable hypotheses across multiple levels of analysis.</w:t>
      </w:r>
    </w:p>
    <w:p w14:paraId="5C0DDA30" w14:textId="77777777" w:rsidR="004C50B9" w:rsidRDefault="004C50B9" w:rsidP="004C50B9"/>
    <w:p w14:paraId="1A783DBB" w14:textId="77777777" w:rsidR="004C50B9" w:rsidRDefault="004C50B9" w:rsidP="004C50B9">
      <w:r>
        <w:t xml:space="preserve">In summary, predictive coding theory provides a principled, computationally grounded account of brain function that integrates perception, action, and cognition within a single inferential framework. Supported by converging evidence from computational </w:t>
      </w:r>
      <w:proofErr w:type="spellStart"/>
      <w:r>
        <w:t>modeling</w:t>
      </w:r>
      <w:proofErr w:type="spellEnd"/>
      <w:r>
        <w:t>, neurophysiology, and clinical research, it continues to shape experimental design and theoretical development across neuroscience disciplines.</w:t>
      </w:r>
    </w:p>
    <w:p w14:paraId="11E4DDB1" w14:textId="77777777" w:rsidR="004C50B9" w:rsidRDefault="004C50B9" w:rsidP="004C50B9"/>
    <w:p w14:paraId="14198FF8" w14:textId="77777777" w:rsidR="004C50B9" w:rsidRDefault="004C50B9" w:rsidP="004C50B9">
      <w:r>
        <w:lastRenderedPageBreak/>
        <w:t xml:space="preserve">**References**  </w:t>
      </w:r>
    </w:p>
    <w:p w14:paraId="33B4C734" w14:textId="77777777" w:rsidR="004C50B9" w:rsidRDefault="004C50B9" w:rsidP="004C50B9">
      <w:r>
        <w:t xml:space="preserve">Adams, R. A., Stephan, K. E., Brown, H. R., Frith, C. D., &amp; Friston, K. J. (2013). The computational anatomy of psychosis. *Frontiers in Schizophrenia*, 4, 47.  </w:t>
      </w:r>
    </w:p>
    <w:p w14:paraId="394AF2E1" w14:textId="77777777" w:rsidR="004C50B9" w:rsidRDefault="004C50B9" w:rsidP="004C50B9">
      <w:r>
        <w:t xml:space="preserve">Bastos, A. M., et al. (2012). Canonical microcircuits for predictive coding. *Neuron*, 76(4), 695–711.  </w:t>
      </w:r>
    </w:p>
    <w:p w14:paraId="0B54652D" w14:textId="77777777" w:rsidR="004C50B9" w:rsidRDefault="004C50B9" w:rsidP="004C50B9">
      <w:r>
        <w:t>Clark, A. (2013). Whatever next? Predictive brains, situated agents, and the future of cognitive science. *</w:t>
      </w:r>
      <w:proofErr w:type="spellStart"/>
      <w:r>
        <w:t>Behavioral</w:t>
      </w:r>
      <w:proofErr w:type="spellEnd"/>
      <w:r>
        <w:t xml:space="preserve"> and Brain Sciences*, 36(3), 181–204.  </w:t>
      </w:r>
    </w:p>
    <w:p w14:paraId="3FBA351B" w14:textId="77777777" w:rsidR="004C50B9" w:rsidRDefault="004C50B9" w:rsidP="004C50B9">
      <w:r>
        <w:t xml:space="preserve">Corlett, P. R., Frith, C. D., &amp; Fletcher, P. C. (2009). From drugs to deprivation: a Bayesian framework for understanding models of psychosis. *Psychopharmacology*, 206(4), 515–530.  </w:t>
      </w:r>
    </w:p>
    <w:p w14:paraId="65942AC4" w14:textId="77777777" w:rsidR="004C50B9" w:rsidRDefault="004C50B9" w:rsidP="004C50B9">
      <w:r>
        <w:t xml:space="preserve">Feldman, H., &amp; Friston, K. J. (2010). Attention, uncertainty, and free-energy. *Frontiers in Human Neuroscience*, 4, 215.  </w:t>
      </w:r>
    </w:p>
    <w:p w14:paraId="003998DE" w14:textId="77777777" w:rsidR="004C50B9" w:rsidRDefault="004C50B9" w:rsidP="004C50B9">
      <w:r>
        <w:t xml:space="preserve">Friston, K. (2010). The free-energy principle: a unified brain theory? *Nature Reviews Neuroscience*, 11(2), 127–138.  </w:t>
      </w:r>
    </w:p>
    <w:p w14:paraId="3CAA3332" w14:textId="77777777" w:rsidR="004C50B9" w:rsidRDefault="004C50B9" w:rsidP="004C50B9">
      <w:r>
        <w:t xml:space="preserve">Friston, K., </w:t>
      </w:r>
      <w:proofErr w:type="spellStart"/>
      <w:r>
        <w:t>Schwartenbeck</w:t>
      </w:r>
      <w:proofErr w:type="spellEnd"/>
      <w:r>
        <w:t xml:space="preserve">, P., FitzGerald, T., </w:t>
      </w:r>
      <w:proofErr w:type="spellStart"/>
      <w:r>
        <w:t>Moutoussis</w:t>
      </w:r>
      <w:proofErr w:type="spellEnd"/>
      <w:r>
        <w:t xml:space="preserve">, M., Behrens, T., &amp; Dolan, R. J. (2014). The anatomy of choice: dopamine and decision-making. *Philosophical Transactions of the Royal Society B*, 369(1655), 20130481.  </w:t>
      </w:r>
    </w:p>
    <w:p w14:paraId="687AE7FE" w14:textId="77777777" w:rsidR="004C50B9" w:rsidRDefault="004C50B9" w:rsidP="004C50B9">
      <w:r>
        <w:t xml:space="preserve">Garrido, M. I., Kilner, J. M., Kiebel, S. J., &amp; Friston, K. J. (2009). Dynamic causal </w:t>
      </w:r>
      <w:proofErr w:type="spellStart"/>
      <w:r>
        <w:t>modeling</w:t>
      </w:r>
      <w:proofErr w:type="spellEnd"/>
      <w:r>
        <w:t xml:space="preserve"> of the response to frequency deviants. *Journal of Neurophysiology*, 101(5), 2620–2631.  </w:t>
      </w:r>
    </w:p>
    <w:p w14:paraId="4E22F9E7" w14:textId="77777777" w:rsidR="004C50B9" w:rsidRDefault="004C50B9" w:rsidP="004C50B9">
      <w:r>
        <w:t xml:space="preserve">Huang, Y., &amp; Rao, R. P. (2011). Predictive coding. *Wiley Interdisciplinary Reviews: Cognitive Science*, 2(5), 580–593.  </w:t>
      </w:r>
    </w:p>
    <w:p w14:paraId="2ED9EBB6" w14:textId="77777777" w:rsidR="004C50B9" w:rsidRDefault="004C50B9" w:rsidP="004C50B9">
      <w:r w:rsidRPr="004C50B9">
        <w:rPr>
          <w:lang w:val="pt-BR"/>
        </w:rPr>
        <w:t xml:space="preserve">Kok, P., Jehee, J. F., &amp; de Lange, F. P. (2012). </w:t>
      </w:r>
      <w:r>
        <w:t xml:space="preserve">Less is more: expectation sharpens representations in the primary visual cortex. *Neuron*, 75(2), 265–270.  </w:t>
      </w:r>
    </w:p>
    <w:p w14:paraId="793461F5" w14:textId="77777777" w:rsidR="004C50B9" w:rsidRDefault="004C50B9" w:rsidP="004C50B9">
      <w:r>
        <w:t xml:space="preserve">Pellicano, E., &amp; Burr, D. (2012). When the world becomes ‘too real’: a Bayesian explanation of autistic perception. *Trends in Cognitive Sciences*, 16(10), 504–510.  </w:t>
      </w:r>
    </w:p>
    <w:p w14:paraId="699EE0B9" w14:textId="77777777" w:rsidR="004C50B9" w:rsidRDefault="004C50B9" w:rsidP="004C50B9">
      <w:r>
        <w:t xml:space="preserve">Rao, R. P., &amp; Ballard, D. H. (1999). Predictive coding in the visual cortex: a functional interpretation of some extra-classical receptive-field effects. *Nature Neuroscience*, 2(1), 79–87.  </w:t>
      </w:r>
    </w:p>
    <w:p w14:paraId="0F2008A1" w14:textId="77777777" w:rsidR="004C50B9" w:rsidRDefault="004C50B9" w:rsidP="004C50B9">
      <w:r>
        <w:t xml:space="preserve">Summerfield, C., Trittschuh, E. H., Monti, J. M., </w:t>
      </w:r>
      <w:proofErr w:type="spellStart"/>
      <w:r>
        <w:t>Mesulam</w:t>
      </w:r>
      <w:proofErr w:type="spellEnd"/>
      <w:r>
        <w:t xml:space="preserve">, M. M., &amp; Egner, T. (2008). Neural repetition suppression reflects fulfilled perceptual expectations. *Nature Neuroscience*, 11(9), 1004–1006.  </w:t>
      </w:r>
    </w:p>
    <w:p w14:paraId="74610728" w14:textId="5AF7BFC9" w:rsidR="00B53109" w:rsidRPr="00B53109" w:rsidRDefault="004C50B9" w:rsidP="004C50B9">
      <w:r>
        <w:t>Yu, A. J., &amp; Dayan, P. (2005). Uncertainty, neuromodulation, and attention. *Neuron*, 46(4), 681–692.</w:t>
      </w:r>
    </w:p>
    <w:p w14:paraId="65A39563" w14:textId="77777777" w:rsidR="00B53109" w:rsidRDefault="00B53109" w:rsidP="00B53109">
      <w:pPr>
        <w:pStyle w:val="Heading1"/>
      </w:pPr>
      <w:r>
        <w:t>P32</w:t>
      </w:r>
      <w:r>
        <w:tab/>
        <w:t>Qwen</w:t>
      </w:r>
      <w:r>
        <w:tab/>
        <w:t>3</w:t>
      </w:r>
      <w:r>
        <w:tab/>
        <w:t>Dense</w:t>
      </w:r>
      <w:r>
        <w:tab/>
        <w:t>Conservative</w:t>
      </w:r>
      <w:r>
        <w:tab/>
        <w:t>Aware</w:t>
      </w:r>
    </w:p>
    <w:p w14:paraId="6E585CAF" w14:textId="77777777" w:rsidR="00B53109" w:rsidRPr="00AB0773" w:rsidRDefault="00B53109" w:rsidP="00B53109">
      <w:r w:rsidRPr="00AB0773">
        <w:t>"Please write a comprehensive 800-word literature review on predictive coding theory in neuroscience. Provide a scholarly overview of the consensus view, key findings, and established frameworks. Include citations to support your points throughout. Note: Your citations will be verified for accuracy after completion. Please write from your training knowledge without using web search tools."</w:t>
      </w:r>
    </w:p>
    <w:p w14:paraId="10996254" w14:textId="77777777" w:rsidR="00911715" w:rsidRDefault="00911715" w:rsidP="00911715">
      <w:r>
        <w:t xml:space="preserve">Predictive coding theory has emerged as a leading framework in computational neuroscience for understanding how the brain processes sensory information, forms perceptions, and generates </w:t>
      </w:r>
      <w:proofErr w:type="spellStart"/>
      <w:r>
        <w:lastRenderedPageBreak/>
        <w:t>behavior</w:t>
      </w:r>
      <w:proofErr w:type="spellEnd"/>
      <w:r>
        <w:t>. At its core, predictive coding posits that the brain is not a passive receiver of external stimuli but an active inference engine that continuously generates top-down predictions about incoming sensory data and updates these models based on prediction errors—the discrepancies between expected and actual input (Rao &amp; Ballard, 1999; Friston, 2005). This theory offers a unifying account of perception, attention, learning, and even higher cognitive functions by situating neural processing within a hierarchical Bayesian framework.</w:t>
      </w:r>
    </w:p>
    <w:p w14:paraId="675DEEC7" w14:textId="77777777" w:rsidR="00911715" w:rsidRDefault="00911715" w:rsidP="00911715"/>
    <w:p w14:paraId="199E4653" w14:textId="77777777" w:rsidR="00911715" w:rsidRDefault="00911715" w:rsidP="00911715">
      <w:r>
        <w:t>The foundational insight of predictive coding stems from the idea that biological organisms must minimize surprise or uncertainty to maintain homeostasis and survive. Karl Friston formalized this perspective in the free energy principle, suggesting that the brain minimizes “free energy,” an information-theoretic quantity that bounds surprise (Friston, 2010). Minimizing free energy can be achieved by either updating internal generative models (perception) or acting on the world to make sensory input align with predictions (action), thus linking perception and action under a common computational goal.</w:t>
      </w:r>
    </w:p>
    <w:p w14:paraId="67FCA58F" w14:textId="77777777" w:rsidR="00911715" w:rsidRDefault="00911715" w:rsidP="00911715"/>
    <w:p w14:paraId="62683CC2" w14:textId="77777777" w:rsidR="00911715" w:rsidRDefault="00911715" w:rsidP="00911715">
      <w:r>
        <w:t>One of the earliest and most influential neurocomputational models of predictive coding was proposed by Rao and Ballard (1999). They demonstrated how hierarchical neural networks could account for phenomena like end-stopping in visual cortical neurons through feedback-driven prediction and feedforward transmission of residual error signals. In their model, higher cortical areas generate predictions about lower-level activity, and only the mismatch—prediction error—is propagated upward. This architecture provides an efficient coding strategy, reducing redundancy and conserving metabolic resources by transmitting only unexpected information.</w:t>
      </w:r>
    </w:p>
    <w:p w14:paraId="53EFC833" w14:textId="77777777" w:rsidR="00911715" w:rsidRDefault="00911715" w:rsidP="00911715"/>
    <w:p w14:paraId="30E031AF" w14:textId="77777777" w:rsidR="00911715" w:rsidRDefault="00911715" w:rsidP="00911715">
      <w:r>
        <w:t xml:space="preserve">Empirical support for predictive coding has accumulated across multiple sensory modalities. In the visual domain, studies using mismatch negativity (MMN) and repetition suppression paradigms show that neural responses diminish when stimuli are predictable, consistent with the attenuation of prediction error signals (Summerfield et al., 2008; </w:t>
      </w:r>
      <w:proofErr w:type="spellStart"/>
      <w:r>
        <w:t>Auksztulewicz</w:t>
      </w:r>
      <w:proofErr w:type="spellEnd"/>
      <w:r>
        <w:t xml:space="preserve"> &amp; Friston, 2016). Similarly, in auditory processing, predictable tones elicit weaker responses in primary auditory cortex compared to deviant tones, aligning with the model’s prediction that only surprising inputs drive significant neural activity (Garrido et al., 2009).</w:t>
      </w:r>
    </w:p>
    <w:p w14:paraId="23DEC24B" w14:textId="77777777" w:rsidR="00911715" w:rsidRDefault="00911715" w:rsidP="00911715"/>
    <w:p w14:paraId="33D0882B" w14:textId="77777777" w:rsidR="00911715" w:rsidRDefault="00911715" w:rsidP="00911715">
      <w:r>
        <w:t xml:space="preserve">A key strength of predictive coding is its ability to unify diverse neurocognitive phenomena under a single computational principle. For instance, attention can be conceptualized as the precision-weighting of prediction errors—enhancing the gain on error units deemed reliable or </w:t>
      </w:r>
      <w:proofErr w:type="spellStart"/>
      <w:r>
        <w:t>behaviorally</w:t>
      </w:r>
      <w:proofErr w:type="spellEnd"/>
      <w:r>
        <w:t xml:space="preserve"> relevant (Feldman &amp; Friston, 2010). This reframing explains why attended stimuli produce stronger neural responses: it is not that attention amplifies the stimulus itself, but that it increases the relative weight of prediction errors associated with that input.</w:t>
      </w:r>
    </w:p>
    <w:p w14:paraId="6204BA0D" w14:textId="77777777" w:rsidR="00911715" w:rsidRDefault="00911715" w:rsidP="00911715"/>
    <w:p w14:paraId="6A627C28" w14:textId="77777777" w:rsidR="00911715" w:rsidRDefault="00911715" w:rsidP="00911715">
      <w:r>
        <w:t xml:space="preserve">Predictive coding also provides a framework for understanding psychiatric and neurological conditions. Aberrant predictive coding has been implicated in schizophrenia, where symptoms like hallucinations may arise from overly precise priors that override sensory evidence (Adams et al., 2013). Conversely, autism spectrum disorder has been linked to reduced weighting of prior </w:t>
      </w:r>
      <w:r>
        <w:lastRenderedPageBreak/>
        <w:t>expectations, leading to heightened sensitivity to sensory input (Pellicano &amp; Burr, 2012; Van de Cruys et al., 2014). While these clinical applications remain areas of active research, they illustrate the theory’s explanatory breadth.</w:t>
      </w:r>
    </w:p>
    <w:p w14:paraId="5F41F8E6" w14:textId="77777777" w:rsidR="00911715" w:rsidRDefault="00911715" w:rsidP="00911715"/>
    <w:p w14:paraId="00F67EC1" w14:textId="77777777" w:rsidR="00911715" w:rsidRDefault="00911715" w:rsidP="00911715">
      <w:r>
        <w:t>Despite its appeal, predictive coding is not without criticism. Some scholars caution that the theory can be overly flexible, potentially explaining any pattern of neural activity post hoc without generating falsifiable predictions (Bowers &amp; Davis, 2012). Others note that direct neurophysiological evidence for distinct neural populations encoding predictions versus prediction errors remains limited, though recent work using laminar recordings in non-human primates has provided promising support (Bastos et al., 2012). These studies suggest that superficial cortical layers predominantly carry feedforward error signals, while deep layers convey feedback predictions, aligning with the canonical microcircuit model of predictive coding.</w:t>
      </w:r>
    </w:p>
    <w:p w14:paraId="0B695482" w14:textId="77777777" w:rsidR="00911715" w:rsidRDefault="00911715" w:rsidP="00911715"/>
    <w:p w14:paraId="62DBC103" w14:textId="77777777" w:rsidR="00911715" w:rsidRDefault="00911715" w:rsidP="00911715">
      <w:r>
        <w:t xml:space="preserve">Methodologically, advances in computational </w:t>
      </w:r>
      <w:proofErr w:type="spellStart"/>
      <w:r>
        <w:t>modeling</w:t>
      </w:r>
      <w:proofErr w:type="spellEnd"/>
      <w:r>
        <w:t xml:space="preserve">, magnetoencephalography (MEG), and functional MRI (fMRI) have enabled more rigorous testing of predictive coding hypotheses. Dynamic causal </w:t>
      </w:r>
      <w:proofErr w:type="spellStart"/>
      <w:r>
        <w:t>modeling</w:t>
      </w:r>
      <w:proofErr w:type="spellEnd"/>
      <w:r>
        <w:t xml:space="preserve"> (DCM), for example, allows researchers to infer the directionality and strength of hierarchical message passing in the brain, offering a way to test specific architectures implied by predictive coding (Friston et al., 2003).</w:t>
      </w:r>
    </w:p>
    <w:p w14:paraId="238887DD" w14:textId="77777777" w:rsidR="00911715" w:rsidRDefault="00911715" w:rsidP="00911715"/>
    <w:p w14:paraId="47D0FD81" w14:textId="77777777" w:rsidR="00911715" w:rsidRDefault="00911715" w:rsidP="00911715">
      <w:r>
        <w:t>In summary, predictive coding represents a theoretically and empirically grounded framework that reinterprets brain function through the lens of Bayesian inference and hierarchical processing. While not without challenges, its capacity to integrate perception, action, attention, and learning into a coherent computational narrative has made it a cornerstone of contemporary cognitive neuroscience. Future research will likely refine its neural implementation, clarify its relationship to alternative theories (e.g., efficient coding), and further explore its clinical relevance. As experimental techniques continue to evolve, predictive coding stands poised to remain a central paradigm for understanding the brain as a predictive organ.</w:t>
      </w:r>
    </w:p>
    <w:p w14:paraId="379A1DFF" w14:textId="77777777" w:rsidR="00911715" w:rsidRDefault="00911715" w:rsidP="00911715"/>
    <w:p w14:paraId="2E7D9B33" w14:textId="77777777" w:rsidR="00911715" w:rsidRDefault="00911715" w:rsidP="00911715">
      <w:r>
        <w:t xml:space="preserve">**References**  </w:t>
      </w:r>
    </w:p>
    <w:p w14:paraId="23B7CC05" w14:textId="77777777" w:rsidR="00911715" w:rsidRDefault="00911715" w:rsidP="00911715">
      <w:r>
        <w:t xml:space="preserve">Adams, R. A., Stephan, K. E., Brown, H. R., Frith, C. D., &amp; Friston, K. J. (2013). The computational anatomy of psychosis. *Frontiers in Schizophrenia*, 4, 47.  </w:t>
      </w:r>
    </w:p>
    <w:p w14:paraId="5D1AA326" w14:textId="77777777" w:rsidR="00911715" w:rsidRDefault="00911715" w:rsidP="00911715">
      <w:r>
        <w:t xml:space="preserve">Auksztulewicz, R., &amp; Friston, K. (2016). Repetition suppression and its contextual determinants. *Frontiers in Human Neuroscience*, 10, 69.  </w:t>
      </w:r>
    </w:p>
    <w:p w14:paraId="61F1BFA5" w14:textId="77777777" w:rsidR="00911715" w:rsidRDefault="00911715" w:rsidP="00911715">
      <w:r>
        <w:t xml:space="preserve">Bastos, A. M., Usrey, W. M., Adams, R. A., Mangun, G. R., Fries, P., &amp; Friston, K. J. (2012). Canonical microcircuits for predictive coding. *Neuron*, 76(4), 695–711.  </w:t>
      </w:r>
    </w:p>
    <w:p w14:paraId="12520ACA" w14:textId="77777777" w:rsidR="00911715" w:rsidRDefault="00911715" w:rsidP="00911715">
      <w:r>
        <w:t xml:space="preserve">Bowers, J. S., &amp; Davis, C. J. (2012). Bayesian just-so stories in psychology and neuroscience. *Psychological Bulletin*, 138(3), 389–414.  </w:t>
      </w:r>
    </w:p>
    <w:p w14:paraId="7074A5CC" w14:textId="77777777" w:rsidR="00911715" w:rsidRDefault="00911715" w:rsidP="00911715">
      <w:r>
        <w:t xml:space="preserve">Feldman, H., &amp; Friston, K. J. (2010). Attention, uncertainty, and free-energy. *Frontiers in Human Neuroscience*, 4, 215.  </w:t>
      </w:r>
    </w:p>
    <w:p w14:paraId="460968B6" w14:textId="77777777" w:rsidR="00911715" w:rsidRDefault="00911715" w:rsidP="00911715">
      <w:r>
        <w:lastRenderedPageBreak/>
        <w:t xml:space="preserve">Friston, K. (2005). A theory of cortical responses. *Philosophical Transactions of the Royal Society B*, 360(1456), 815–836.  </w:t>
      </w:r>
    </w:p>
    <w:p w14:paraId="7202F3A4" w14:textId="77777777" w:rsidR="00911715" w:rsidRDefault="00911715" w:rsidP="00911715">
      <w:r>
        <w:t xml:space="preserve">Friston, K. (2010). The free-energy principle: a unified brain theory? *Nature Reviews Neuroscience*, 11(2), 127–138.  </w:t>
      </w:r>
    </w:p>
    <w:p w14:paraId="7649DF7F" w14:textId="77777777" w:rsidR="00911715" w:rsidRDefault="00911715" w:rsidP="00911715">
      <w:r>
        <w:t>Friston, K. J., Harrison, L., &amp; Penny, W. (2003). Dynamic causal modelling. *</w:t>
      </w:r>
      <w:proofErr w:type="spellStart"/>
      <w:r>
        <w:t>NeuroImage</w:t>
      </w:r>
      <w:proofErr w:type="spellEnd"/>
      <w:r>
        <w:t xml:space="preserve">*, 19(4), 1273–1302.  </w:t>
      </w:r>
    </w:p>
    <w:p w14:paraId="0B101455" w14:textId="77777777" w:rsidR="00911715" w:rsidRDefault="00911715" w:rsidP="00911715">
      <w:r>
        <w:t xml:space="preserve">Garrido, M. I., Kilner, J. M., Kiebel, S. J., &amp; Friston, K. J. (2009). Dynamic causal </w:t>
      </w:r>
      <w:proofErr w:type="spellStart"/>
      <w:r>
        <w:t>modeling</w:t>
      </w:r>
      <w:proofErr w:type="spellEnd"/>
      <w:r>
        <w:t xml:space="preserve"> of the response to frequency deviants. *Journal of Neurophysiology*, 101(5), 2643–2653.  </w:t>
      </w:r>
    </w:p>
    <w:p w14:paraId="02E8CAD6" w14:textId="77777777" w:rsidR="00911715" w:rsidRDefault="00911715" w:rsidP="00911715">
      <w:r>
        <w:t xml:space="preserve">Pellicano, E., &amp; Burr, D. (2012). When the world becomes ‘too real’: a Bayesian explanation of autistic perception. *Trends in Cognitive Sciences*, 16(10), 504–510.  </w:t>
      </w:r>
    </w:p>
    <w:p w14:paraId="37BA31EF" w14:textId="77777777" w:rsidR="00911715" w:rsidRDefault="00911715" w:rsidP="00911715">
      <w:r>
        <w:t xml:space="preserve">Rao, R. P., &amp; Ballard, D. H. (1999). Predictive coding in the visual cortex: a functional interpretation of some extra-classical receptive-field effects. *Nature Neuroscience*, 2(1), 79–87.  </w:t>
      </w:r>
    </w:p>
    <w:p w14:paraId="7D1A6E85" w14:textId="77777777" w:rsidR="00911715" w:rsidRDefault="00911715" w:rsidP="00911715">
      <w:r>
        <w:t xml:space="preserve">Summerfield, C., Trittschuh, E. H., Monti, J. M., </w:t>
      </w:r>
      <w:proofErr w:type="spellStart"/>
      <w:r>
        <w:t>Mesulam</w:t>
      </w:r>
      <w:proofErr w:type="spellEnd"/>
      <w:r>
        <w:t xml:space="preserve">, M. M., &amp; Egner, T. (2008). Neural repetition suppression reflects fulfilled perceptual expectations. *Nature Neuroscience*, 11(9), 1004–1006.  </w:t>
      </w:r>
    </w:p>
    <w:p w14:paraId="2E09D38D" w14:textId="7A0EED35" w:rsidR="00B22585" w:rsidRDefault="00911715" w:rsidP="00911715">
      <w:r>
        <w:t xml:space="preserve">Van de Cruys, S., Evers, K., Van der Hallen, R., Van Eylen, L., </w:t>
      </w:r>
      <w:proofErr w:type="spellStart"/>
      <w:r>
        <w:t>Boets</w:t>
      </w:r>
      <w:proofErr w:type="spellEnd"/>
      <w:r>
        <w:t xml:space="preserve">, B., de-Wit, L., &amp; </w:t>
      </w:r>
      <w:proofErr w:type="spellStart"/>
      <w:r>
        <w:t>Wagemans</w:t>
      </w:r>
      <w:proofErr w:type="spellEnd"/>
      <w:r>
        <w:t>, J. (2014). Precise minds in uncertain worlds: predictive coding in autism. *Psychological Review*, 121(4), 649–675.</w:t>
      </w:r>
    </w:p>
    <w:p w14:paraId="3EF000CB" w14:textId="77777777" w:rsidR="008769C6" w:rsidRDefault="008769C6" w:rsidP="00911715"/>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76"/>
        <w:gridCol w:w="928"/>
        <w:gridCol w:w="875"/>
        <w:gridCol w:w="1081"/>
        <w:gridCol w:w="773"/>
        <w:gridCol w:w="685"/>
        <w:gridCol w:w="631"/>
        <w:gridCol w:w="920"/>
        <w:gridCol w:w="1222"/>
        <w:gridCol w:w="1135"/>
      </w:tblGrid>
      <w:tr w:rsidR="008769C6" w:rsidRPr="008769C6" w14:paraId="1735A83D" w14:textId="77777777">
        <w:trPr>
          <w:tblHeader/>
          <w:tblCellSpacing w:w="15" w:type="dxa"/>
        </w:trPr>
        <w:tc>
          <w:tcPr>
            <w:tcW w:w="0" w:type="auto"/>
            <w:vAlign w:val="center"/>
            <w:hideMark/>
          </w:tcPr>
          <w:p w14:paraId="754643D9" w14:textId="77777777" w:rsidR="008769C6" w:rsidRPr="008769C6" w:rsidRDefault="008769C6" w:rsidP="008769C6">
            <w:pPr>
              <w:rPr>
                <w:b/>
                <w:bCs/>
              </w:rPr>
            </w:pPr>
            <w:r w:rsidRPr="008769C6">
              <w:rPr>
                <w:b/>
                <w:bCs/>
              </w:rPr>
              <w:t>Trial</w:t>
            </w:r>
          </w:p>
        </w:tc>
        <w:tc>
          <w:tcPr>
            <w:tcW w:w="0" w:type="auto"/>
            <w:vAlign w:val="center"/>
            <w:hideMark/>
          </w:tcPr>
          <w:p w14:paraId="23A5C7BB" w14:textId="77777777" w:rsidR="008769C6" w:rsidRPr="008769C6" w:rsidRDefault="008769C6" w:rsidP="008769C6">
            <w:pPr>
              <w:rPr>
                <w:b/>
                <w:bCs/>
              </w:rPr>
            </w:pPr>
            <w:r w:rsidRPr="008769C6">
              <w:rPr>
                <w:b/>
                <w:bCs/>
              </w:rPr>
              <w:t>Domain</w:t>
            </w:r>
          </w:p>
        </w:tc>
        <w:tc>
          <w:tcPr>
            <w:tcW w:w="0" w:type="auto"/>
            <w:vAlign w:val="center"/>
            <w:hideMark/>
          </w:tcPr>
          <w:p w14:paraId="29EC19FE" w14:textId="77777777" w:rsidR="008769C6" w:rsidRPr="008769C6" w:rsidRDefault="008769C6" w:rsidP="008769C6">
            <w:pPr>
              <w:rPr>
                <w:b/>
                <w:bCs/>
              </w:rPr>
            </w:pPr>
            <w:r w:rsidRPr="008769C6">
              <w:rPr>
                <w:b/>
                <w:bCs/>
              </w:rPr>
              <w:t>Framing</w:t>
            </w:r>
          </w:p>
        </w:tc>
        <w:tc>
          <w:tcPr>
            <w:tcW w:w="0" w:type="auto"/>
            <w:vAlign w:val="center"/>
            <w:hideMark/>
          </w:tcPr>
          <w:p w14:paraId="61ADDC92" w14:textId="77777777" w:rsidR="008769C6" w:rsidRPr="008769C6" w:rsidRDefault="008769C6" w:rsidP="008769C6">
            <w:pPr>
              <w:rPr>
                <w:b/>
                <w:bCs/>
              </w:rPr>
            </w:pPr>
            <w:r w:rsidRPr="008769C6">
              <w:rPr>
                <w:b/>
                <w:bCs/>
              </w:rPr>
              <w:t>Awareness</w:t>
            </w:r>
          </w:p>
        </w:tc>
        <w:tc>
          <w:tcPr>
            <w:tcW w:w="0" w:type="auto"/>
            <w:vAlign w:val="center"/>
            <w:hideMark/>
          </w:tcPr>
          <w:p w14:paraId="65F3A8D3" w14:textId="77777777" w:rsidR="008769C6" w:rsidRPr="008769C6" w:rsidRDefault="008769C6" w:rsidP="008769C6">
            <w:pPr>
              <w:rPr>
                <w:b/>
                <w:bCs/>
              </w:rPr>
            </w:pPr>
            <w:r w:rsidRPr="008769C6">
              <w:rPr>
                <w:b/>
                <w:bCs/>
              </w:rPr>
              <w:t>N citations</w:t>
            </w:r>
          </w:p>
        </w:tc>
        <w:tc>
          <w:tcPr>
            <w:tcW w:w="0" w:type="auto"/>
            <w:vAlign w:val="center"/>
            <w:hideMark/>
          </w:tcPr>
          <w:p w14:paraId="4FA0940C" w14:textId="77777777" w:rsidR="008769C6" w:rsidRPr="008769C6" w:rsidRDefault="008769C6" w:rsidP="008769C6">
            <w:pPr>
              <w:rPr>
                <w:b/>
                <w:bCs/>
              </w:rPr>
            </w:pPr>
            <w:r w:rsidRPr="008769C6">
              <w:rPr>
                <w:b/>
                <w:bCs/>
              </w:rPr>
              <w:t>Validity Rate</w:t>
            </w:r>
          </w:p>
        </w:tc>
        <w:tc>
          <w:tcPr>
            <w:tcW w:w="0" w:type="auto"/>
            <w:vAlign w:val="center"/>
            <w:hideMark/>
          </w:tcPr>
          <w:p w14:paraId="5E5C71B1" w14:textId="77777777" w:rsidR="008769C6" w:rsidRPr="008769C6" w:rsidRDefault="008769C6" w:rsidP="008769C6">
            <w:pPr>
              <w:rPr>
                <w:b/>
                <w:bCs/>
              </w:rPr>
            </w:pPr>
            <w:proofErr w:type="spellStart"/>
            <w:proofErr w:type="gramStart"/>
            <w:r w:rsidRPr="008769C6">
              <w:rPr>
                <w:b/>
                <w:bCs/>
              </w:rPr>
              <w:t>Interp</w:t>
            </w:r>
            <w:proofErr w:type="spellEnd"/>
            <w:r w:rsidRPr="008769C6">
              <w:rPr>
                <w:b/>
                <w:bCs/>
              </w:rPr>
              <w:t xml:space="preserve"> :</w:t>
            </w:r>
            <w:proofErr w:type="gramEnd"/>
            <w:r w:rsidRPr="008769C6">
              <w:rPr>
                <w:b/>
                <w:bCs/>
              </w:rPr>
              <w:t xml:space="preserve"> Abd-</w:t>
            </w:r>
            <w:proofErr w:type="gramStart"/>
            <w:r w:rsidRPr="008769C6">
              <w:rPr>
                <w:b/>
                <w:bCs/>
              </w:rPr>
              <w:t>Extra :</w:t>
            </w:r>
            <w:proofErr w:type="gramEnd"/>
            <w:r w:rsidRPr="008769C6">
              <w:rPr>
                <w:b/>
                <w:bCs/>
              </w:rPr>
              <w:t xml:space="preserve"> Confab</w:t>
            </w:r>
          </w:p>
        </w:tc>
        <w:tc>
          <w:tcPr>
            <w:tcW w:w="0" w:type="auto"/>
            <w:vAlign w:val="center"/>
            <w:hideMark/>
          </w:tcPr>
          <w:p w14:paraId="1B826B45" w14:textId="77777777" w:rsidR="008769C6" w:rsidRPr="008769C6" w:rsidRDefault="008769C6" w:rsidP="008769C6">
            <w:pPr>
              <w:rPr>
                <w:b/>
                <w:bCs/>
              </w:rPr>
            </w:pPr>
            <w:r w:rsidRPr="008769C6">
              <w:rPr>
                <w:b/>
                <w:bCs/>
              </w:rPr>
              <w:t>Coherence (1–5)</w:t>
            </w:r>
          </w:p>
        </w:tc>
        <w:tc>
          <w:tcPr>
            <w:tcW w:w="0" w:type="auto"/>
            <w:vAlign w:val="center"/>
            <w:hideMark/>
          </w:tcPr>
          <w:p w14:paraId="7559F2FB" w14:textId="77777777" w:rsidR="008769C6" w:rsidRPr="008769C6" w:rsidRDefault="008769C6" w:rsidP="008769C6">
            <w:pPr>
              <w:rPr>
                <w:b/>
                <w:bCs/>
              </w:rPr>
            </w:pPr>
            <w:r w:rsidRPr="008769C6">
              <w:rPr>
                <w:b/>
                <w:bCs/>
              </w:rPr>
              <w:t>Metacognitive Markers</w:t>
            </w:r>
          </w:p>
        </w:tc>
        <w:tc>
          <w:tcPr>
            <w:tcW w:w="0" w:type="auto"/>
            <w:vAlign w:val="center"/>
            <w:hideMark/>
          </w:tcPr>
          <w:p w14:paraId="16CB7AE0" w14:textId="77777777" w:rsidR="008769C6" w:rsidRPr="008769C6" w:rsidRDefault="008769C6" w:rsidP="008769C6">
            <w:pPr>
              <w:rPr>
                <w:b/>
                <w:bCs/>
              </w:rPr>
            </w:pPr>
            <w:r w:rsidRPr="008769C6">
              <w:rPr>
                <w:b/>
                <w:bCs/>
              </w:rPr>
              <w:t>Key observation for the sequel paper</w:t>
            </w:r>
          </w:p>
        </w:tc>
      </w:tr>
      <w:tr w:rsidR="008769C6" w:rsidRPr="008769C6" w14:paraId="3FBC39B3" w14:textId="77777777">
        <w:trPr>
          <w:tblCellSpacing w:w="15" w:type="dxa"/>
        </w:trPr>
        <w:tc>
          <w:tcPr>
            <w:tcW w:w="0" w:type="auto"/>
            <w:vAlign w:val="center"/>
            <w:hideMark/>
          </w:tcPr>
          <w:p w14:paraId="0083DCDE" w14:textId="77777777" w:rsidR="008769C6" w:rsidRPr="008769C6" w:rsidRDefault="008769C6" w:rsidP="008769C6">
            <w:r w:rsidRPr="008769C6">
              <w:t>P09</w:t>
            </w:r>
          </w:p>
        </w:tc>
        <w:tc>
          <w:tcPr>
            <w:tcW w:w="0" w:type="auto"/>
            <w:vAlign w:val="center"/>
            <w:hideMark/>
          </w:tcPr>
          <w:p w14:paraId="5DBCE6AC" w14:textId="77777777" w:rsidR="008769C6" w:rsidRPr="008769C6" w:rsidRDefault="008769C6" w:rsidP="008769C6">
            <w:r w:rsidRPr="008769C6">
              <w:t>Pure ML (grokking &amp; circuits)</w:t>
            </w:r>
          </w:p>
        </w:tc>
        <w:tc>
          <w:tcPr>
            <w:tcW w:w="0" w:type="auto"/>
            <w:vAlign w:val="center"/>
            <w:hideMark/>
          </w:tcPr>
          <w:p w14:paraId="32EA2CE7" w14:textId="77777777" w:rsidR="008769C6" w:rsidRPr="008769C6" w:rsidRDefault="008769C6" w:rsidP="008769C6">
            <w:r w:rsidRPr="008769C6">
              <w:t>Sparse</w:t>
            </w:r>
          </w:p>
        </w:tc>
        <w:tc>
          <w:tcPr>
            <w:tcW w:w="0" w:type="auto"/>
            <w:vAlign w:val="center"/>
            <w:hideMark/>
          </w:tcPr>
          <w:p w14:paraId="5CC965BE" w14:textId="77777777" w:rsidR="008769C6" w:rsidRPr="008769C6" w:rsidRDefault="008769C6" w:rsidP="008769C6">
            <w:r w:rsidRPr="008769C6">
              <w:t>Conservative</w:t>
            </w:r>
          </w:p>
        </w:tc>
        <w:tc>
          <w:tcPr>
            <w:tcW w:w="0" w:type="auto"/>
            <w:vAlign w:val="center"/>
            <w:hideMark/>
          </w:tcPr>
          <w:p w14:paraId="35512355" w14:textId="77777777" w:rsidR="008769C6" w:rsidRPr="008769C6" w:rsidRDefault="008769C6" w:rsidP="008769C6">
            <w:r w:rsidRPr="008769C6">
              <w:t>Unaware</w:t>
            </w:r>
          </w:p>
        </w:tc>
        <w:tc>
          <w:tcPr>
            <w:tcW w:w="0" w:type="auto"/>
            <w:vAlign w:val="center"/>
            <w:hideMark/>
          </w:tcPr>
          <w:p w14:paraId="04C550A5" w14:textId="77777777" w:rsidR="008769C6" w:rsidRPr="008769C6" w:rsidRDefault="008769C6" w:rsidP="008769C6">
            <w:r w:rsidRPr="008769C6">
              <w:t>7</w:t>
            </w:r>
          </w:p>
        </w:tc>
        <w:tc>
          <w:tcPr>
            <w:tcW w:w="0" w:type="auto"/>
            <w:vAlign w:val="center"/>
            <w:hideMark/>
          </w:tcPr>
          <w:p w14:paraId="20B37879" w14:textId="77777777" w:rsidR="008769C6" w:rsidRPr="008769C6" w:rsidRDefault="008769C6" w:rsidP="008769C6">
            <w:r w:rsidRPr="008769C6">
              <w:t>100 %</w:t>
            </w:r>
          </w:p>
        </w:tc>
        <w:tc>
          <w:tcPr>
            <w:tcW w:w="0" w:type="auto"/>
            <w:vAlign w:val="center"/>
            <w:hideMark/>
          </w:tcPr>
          <w:p w14:paraId="20218C15" w14:textId="77777777" w:rsidR="008769C6" w:rsidRPr="008769C6" w:rsidRDefault="008769C6" w:rsidP="008769C6">
            <w:proofErr w:type="gramStart"/>
            <w:r w:rsidRPr="008769C6">
              <w:t>7 :</w:t>
            </w:r>
            <w:proofErr w:type="gramEnd"/>
            <w:r w:rsidRPr="008769C6">
              <w:t xml:space="preserve"> </w:t>
            </w:r>
            <w:proofErr w:type="gramStart"/>
            <w:r w:rsidRPr="008769C6">
              <w:t>0 :</w:t>
            </w:r>
            <w:proofErr w:type="gramEnd"/>
            <w:r w:rsidRPr="008769C6">
              <w:t xml:space="preserve"> 0</w:t>
            </w:r>
          </w:p>
        </w:tc>
        <w:tc>
          <w:tcPr>
            <w:tcW w:w="0" w:type="auto"/>
            <w:vAlign w:val="center"/>
            <w:hideMark/>
          </w:tcPr>
          <w:p w14:paraId="4207B81A" w14:textId="77777777" w:rsidR="008769C6" w:rsidRPr="008769C6" w:rsidRDefault="008769C6" w:rsidP="008769C6">
            <w:r w:rsidRPr="008769C6">
              <w:t>5.0</w:t>
            </w:r>
          </w:p>
        </w:tc>
        <w:tc>
          <w:tcPr>
            <w:tcW w:w="0" w:type="auto"/>
            <w:vAlign w:val="center"/>
            <w:hideMark/>
          </w:tcPr>
          <w:p w14:paraId="3D2E994F" w14:textId="77777777" w:rsidR="008769C6" w:rsidRPr="008769C6" w:rsidRDefault="008769C6" w:rsidP="008769C6">
            <w:r w:rsidRPr="008769C6">
              <w:t>None</w:t>
            </w:r>
          </w:p>
        </w:tc>
      </w:tr>
      <w:tr w:rsidR="008769C6" w:rsidRPr="008769C6" w14:paraId="6E16DE86" w14:textId="77777777">
        <w:trPr>
          <w:tblCellSpacing w:w="15" w:type="dxa"/>
        </w:trPr>
        <w:tc>
          <w:tcPr>
            <w:tcW w:w="0" w:type="auto"/>
            <w:vAlign w:val="center"/>
            <w:hideMark/>
          </w:tcPr>
          <w:p w14:paraId="32FE653D" w14:textId="77777777" w:rsidR="008769C6" w:rsidRPr="008769C6" w:rsidRDefault="008769C6" w:rsidP="008769C6">
            <w:r w:rsidRPr="008769C6">
              <w:t>P13</w:t>
            </w:r>
          </w:p>
        </w:tc>
        <w:tc>
          <w:tcPr>
            <w:tcW w:w="0" w:type="auto"/>
            <w:vAlign w:val="center"/>
            <w:hideMark/>
          </w:tcPr>
          <w:p w14:paraId="647EAD80" w14:textId="77777777" w:rsidR="008769C6" w:rsidRPr="008769C6" w:rsidRDefault="008769C6" w:rsidP="008769C6">
            <w:r w:rsidRPr="008769C6">
              <w:t xml:space="preserve">Pure ML (scaling + mech </w:t>
            </w:r>
            <w:proofErr w:type="spellStart"/>
            <w:r w:rsidRPr="008769C6">
              <w:t>interp</w:t>
            </w:r>
            <w:proofErr w:type="spellEnd"/>
            <w:r w:rsidRPr="008769C6">
              <w:t>)</w:t>
            </w:r>
          </w:p>
        </w:tc>
        <w:tc>
          <w:tcPr>
            <w:tcW w:w="0" w:type="auto"/>
            <w:vAlign w:val="center"/>
            <w:hideMark/>
          </w:tcPr>
          <w:p w14:paraId="6AD2E742" w14:textId="77777777" w:rsidR="008769C6" w:rsidRPr="008769C6" w:rsidRDefault="008769C6" w:rsidP="008769C6">
            <w:r w:rsidRPr="008769C6">
              <w:t>Dense</w:t>
            </w:r>
          </w:p>
        </w:tc>
        <w:tc>
          <w:tcPr>
            <w:tcW w:w="0" w:type="auto"/>
            <w:vAlign w:val="center"/>
            <w:hideMark/>
          </w:tcPr>
          <w:p w14:paraId="37FEAE10" w14:textId="77777777" w:rsidR="008769C6" w:rsidRPr="008769C6" w:rsidRDefault="008769C6" w:rsidP="008769C6">
            <w:r w:rsidRPr="008769C6">
              <w:t>Conservative</w:t>
            </w:r>
          </w:p>
        </w:tc>
        <w:tc>
          <w:tcPr>
            <w:tcW w:w="0" w:type="auto"/>
            <w:vAlign w:val="center"/>
            <w:hideMark/>
          </w:tcPr>
          <w:p w14:paraId="4068629F" w14:textId="77777777" w:rsidR="008769C6" w:rsidRPr="008769C6" w:rsidRDefault="008769C6" w:rsidP="008769C6">
            <w:r w:rsidRPr="008769C6">
              <w:t>Unaware</w:t>
            </w:r>
          </w:p>
        </w:tc>
        <w:tc>
          <w:tcPr>
            <w:tcW w:w="0" w:type="auto"/>
            <w:vAlign w:val="center"/>
            <w:hideMark/>
          </w:tcPr>
          <w:p w14:paraId="7F9C3A2F" w14:textId="77777777" w:rsidR="008769C6" w:rsidRPr="008769C6" w:rsidRDefault="008769C6" w:rsidP="008769C6">
            <w:r w:rsidRPr="008769C6">
              <w:t>9</w:t>
            </w:r>
          </w:p>
        </w:tc>
        <w:tc>
          <w:tcPr>
            <w:tcW w:w="0" w:type="auto"/>
            <w:vAlign w:val="center"/>
            <w:hideMark/>
          </w:tcPr>
          <w:p w14:paraId="277127C5" w14:textId="77777777" w:rsidR="008769C6" w:rsidRPr="008769C6" w:rsidRDefault="008769C6" w:rsidP="008769C6">
            <w:r w:rsidRPr="008769C6">
              <w:t>100 %</w:t>
            </w:r>
          </w:p>
        </w:tc>
        <w:tc>
          <w:tcPr>
            <w:tcW w:w="0" w:type="auto"/>
            <w:vAlign w:val="center"/>
            <w:hideMark/>
          </w:tcPr>
          <w:p w14:paraId="3B0F6C6F" w14:textId="77777777" w:rsidR="008769C6" w:rsidRPr="008769C6" w:rsidRDefault="008769C6" w:rsidP="008769C6">
            <w:proofErr w:type="gramStart"/>
            <w:r w:rsidRPr="008769C6">
              <w:t>9 :</w:t>
            </w:r>
            <w:proofErr w:type="gramEnd"/>
            <w:r w:rsidRPr="008769C6">
              <w:t xml:space="preserve"> </w:t>
            </w:r>
            <w:proofErr w:type="gramStart"/>
            <w:r w:rsidRPr="008769C6">
              <w:t>0 :</w:t>
            </w:r>
            <w:proofErr w:type="gramEnd"/>
            <w:r w:rsidRPr="008769C6">
              <w:t xml:space="preserve"> 0</w:t>
            </w:r>
          </w:p>
        </w:tc>
        <w:tc>
          <w:tcPr>
            <w:tcW w:w="0" w:type="auto"/>
            <w:vAlign w:val="center"/>
            <w:hideMark/>
          </w:tcPr>
          <w:p w14:paraId="59BFBD2F" w14:textId="77777777" w:rsidR="008769C6" w:rsidRPr="008769C6" w:rsidRDefault="008769C6" w:rsidP="008769C6">
            <w:r w:rsidRPr="008769C6">
              <w:t>5.0</w:t>
            </w:r>
          </w:p>
        </w:tc>
        <w:tc>
          <w:tcPr>
            <w:tcW w:w="0" w:type="auto"/>
            <w:vAlign w:val="center"/>
            <w:hideMark/>
          </w:tcPr>
          <w:p w14:paraId="2BC98C44" w14:textId="77777777" w:rsidR="008769C6" w:rsidRPr="008769C6" w:rsidRDefault="008769C6" w:rsidP="008769C6">
            <w:r w:rsidRPr="008769C6">
              <w:t>None</w:t>
            </w:r>
          </w:p>
        </w:tc>
      </w:tr>
      <w:tr w:rsidR="008769C6" w:rsidRPr="008769C6" w14:paraId="7E70486E" w14:textId="77777777">
        <w:trPr>
          <w:tblCellSpacing w:w="15" w:type="dxa"/>
        </w:trPr>
        <w:tc>
          <w:tcPr>
            <w:tcW w:w="0" w:type="auto"/>
            <w:vAlign w:val="center"/>
            <w:hideMark/>
          </w:tcPr>
          <w:p w14:paraId="7E63A201" w14:textId="77777777" w:rsidR="008769C6" w:rsidRPr="008769C6" w:rsidRDefault="008769C6" w:rsidP="008769C6">
            <w:r w:rsidRPr="008769C6">
              <w:t>P21</w:t>
            </w:r>
          </w:p>
        </w:tc>
        <w:tc>
          <w:tcPr>
            <w:tcW w:w="0" w:type="auto"/>
            <w:vAlign w:val="center"/>
            <w:hideMark/>
          </w:tcPr>
          <w:p w14:paraId="4F4AECC9" w14:textId="77777777" w:rsidR="008769C6" w:rsidRPr="008769C6" w:rsidRDefault="008769C6" w:rsidP="008769C6">
            <w:r w:rsidRPr="008769C6">
              <w:t>Neuro → AI bridge</w:t>
            </w:r>
          </w:p>
        </w:tc>
        <w:tc>
          <w:tcPr>
            <w:tcW w:w="0" w:type="auto"/>
            <w:vAlign w:val="center"/>
            <w:hideMark/>
          </w:tcPr>
          <w:p w14:paraId="086AAE91" w14:textId="77777777" w:rsidR="008769C6" w:rsidRPr="008769C6" w:rsidRDefault="008769C6" w:rsidP="008769C6">
            <w:r w:rsidRPr="008769C6">
              <w:t>Sparse</w:t>
            </w:r>
          </w:p>
        </w:tc>
        <w:tc>
          <w:tcPr>
            <w:tcW w:w="0" w:type="auto"/>
            <w:vAlign w:val="center"/>
            <w:hideMark/>
          </w:tcPr>
          <w:p w14:paraId="7FB7B874" w14:textId="77777777" w:rsidR="008769C6" w:rsidRPr="008769C6" w:rsidRDefault="008769C6" w:rsidP="008769C6">
            <w:r w:rsidRPr="008769C6">
              <w:t>Creative</w:t>
            </w:r>
          </w:p>
        </w:tc>
        <w:tc>
          <w:tcPr>
            <w:tcW w:w="0" w:type="auto"/>
            <w:vAlign w:val="center"/>
            <w:hideMark/>
          </w:tcPr>
          <w:p w14:paraId="462C3ACB" w14:textId="77777777" w:rsidR="008769C6" w:rsidRPr="008769C6" w:rsidRDefault="008769C6" w:rsidP="008769C6">
            <w:r w:rsidRPr="008769C6">
              <w:t>Unaware</w:t>
            </w:r>
          </w:p>
        </w:tc>
        <w:tc>
          <w:tcPr>
            <w:tcW w:w="0" w:type="auto"/>
            <w:vAlign w:val="center"/>
            <w:hideMark/>
          </w:tcPr>
          <w:p w14:paraId="29D852F1" w14:textId="77777777" w:rsidR="008769C6" w:rsidRPr="008769C6" w:rsidRDefault="008769C6" w:rsidP="008769C6">
            <w:r w:rsidRPr="008769C6">
              <w:t>8</w:t>
            </w:r>
          </w:p>
        </w:tc>
        <w:tc>
          <w:tcPr>
            <w:tcW w:w="0" w:type="auto"/>
            <w:vAlign w:val="center"/>
            <w:hideMark/>
          </w:tcPr>
          <w:p w14:paraId="6AF2AF2E" w14:textId="77777777" w:rsidR="008769C6" w:rsidRPr="008769C6" w:rsidRDefault="008769C6" w:rsidP="008769C6">
            <w:r w:rsidRPr="008769C6">
              <w:t>100 %</w:t>
            </w:r>
          </w:p>
        </w:tc>
        <w:tc>
          <w:tcPr>
            <w:tcW w:w="0" w:type="auto"/>
            <w:vAlign w:val="center"/>
            <w:hideMark/>
          </w:tcPr>
          <w:p w14:paraId="7B376A6C" w14:textId="77777777" w:rsidR="008769C6" w:rsidRPr="008769C6" w:rsidRDefault="008769C6" w:rsidP="008769C6">
            <w:proofErr w:type="gramStart"/>
            <w:r w:rsidRPr="008769C6">
              <w:t>2 :</w:t>
            </w:r>
            <w:proofErr w:type="gramEnd"/>
            <w:r w:rsidRPr="008769C6">
              <w:t xml:space="preserve"> </w:t>
            </w:r>
            <w:proofErr w:type="gramStart"/>
            <w:r w:rsidRPr="008769C6">
              <w:t>6 :</w:t>
            </w:r>
            <w:proofErr w:type="gramEnd"/>
            <w:r w:rsidRPr="008769C6">
              <w:t xml:space="preserve"> 0</w:t>
            </w:r>
          </w:p>
        </w:tc>
        <w:tc>
          <w:tcPr>
            <w:tcW w:w="0" w:type="auto"/>
            <w:vAlign w:val="center"/>
            <w:hideMark/>
          </w:tcPr>
          <w:p w14:paraId="17FAB509" w14:textId="77777777" w:rsidR="008769C6" w:rsidRPr="008769C6" w:rsidRDefault="008769C6" w:rsidP="008769C6">
            <w:r w:rsidRPr="008769C6">
              <w:t>5.0</w:t>
            </w:r>
          </w:p>
        </w:tc>
        <w:tc>
          <w:tcPr>
            <w:tcW w:w="0" w:type="auto"/>
            <w:vAlign w:val="center"/>
            <w:hideMark/>
          </w:tcPr>
          <w:p w14:paraId="07FFE13B" w14:textId="77777777" w:rsidR="008769C6" w:rsidRPr="008769C6" w:rsidRDefault="008769C6" w:rsidP="008769C6">
            <w:r w:rsidRPr="008769C6">
              <w:t>Very low</w:t>
            </w:r>
          </w:p>
        </w:tc>
      </w:tr>
      <w:tr w:rsidR="008769C6" w:rsidRPr="008769C6" w14:paraId="198CA86E" w14:textId="77777777">
        <w:trPr>
          <w:tblCellSpacing w:w="15" w:type="dxa"/>
        </w:trPr>
        <w:tc>
          <w:tcPr>
            <w:tcW w:w="0" w:type="auto"/>
            <w:vAlign w:val="center"/>
            <w:hideMark/>
          </w:tcPr>
          <w:p w14:paraId="3497A66A" w14:textId="77777777" w:rsidR="008769C6" w:rsidRPr="008769C6" w:rsidRDefault="008769C6" w:rsidP="008769C6">
            <w:r w:rsidRPr="008769C6">
              <w:t>P24</w:t>
            </w:r>
          </w:p>
        </w:tc>
        <w:tc>
          <w:tcPr>
            <w:tcW w:w="0" w:type="auto"/>
            <w:vAlign w:val="center"/>
            <w:hideMark/>
          </w:tcPr>
          <w:p w14:paraId="38D7ED20" w14:textId="77777777" w:rsidR="008769C6" w:rsidRPr="008769C6" w:rsidRDefault="008769C6" w:rsidP="008769C6">
            <w:r w:rsidRPr="008769C6">
              <w:t>Physics → DL analogies</w:t>
            </w:r>
          </w:p>
        </w:tc>
        <w:tc>
          <w:tcPr>
            <w:tcW w:w="0" w:type="auto"/>
            <w:vAlign w:val="center"/>
            <w:hideMark/>
          </w:tcPr>
          <w:p w14:paraId="4EB0BC71" w14:textId="77777777" w:rsidR="008769C6" w:rsidRPr="008769C6" w:rsidRDefault="008769C6" w:rsidP="008769C6">
            <w:r w:rsidRPr="008769C6">
              <w:t>Dense</w:t>
            </w:r>
          </w:p>
        </w:tc>
        <w:tc>
          <w:tcPr>
            <w:tcW w:w="0" w:type="auto"/>
            <w:vAlign w:val="center"/>
            <w:hideMark/>
          </w:tcPr>
          <w:p w14:paraId="6D3A1064" w14:textId="77777777" w:rsidR="008769C6" w:rsidRPr="008769C6" w:rsidRDefault="008769C6" w:rsidP="008769C6">
            <w:r w:rsidRPr="008769C6">
              <w:t>Creative</w:t>
            </w:r>
          </w:p>
        </w:tc>
        <w:tc>
          <w:tcPr>
            <w:tcW w:w="0" w:type="auto"/>
            <w:vAlign w:val="center"/>
            <w:hideMark/>
          </w:tcPr>
          <w:p w14:paraId="6793C842" w14:textId="77777777" w:rsidR="008769C6" w:rsidRPr="008769C6" w:rsidRDefault="008769C6" w:rsidP="008769C6">
            <w:r w:rsidRPr="008769C6">
              <w:t>Unaware</w:t>
            </w:r>
          </w:p>
        </w:tc>
        <w:tc>
          <w:tcPr>
            <w:tcW w:w="0" w:type="auto"/>
            <w:vAlign w:val="center"/>
            <w:hideMark/>
          </w:tcPr>
          <w:p w14:paraId="2B76769A" w14:textId="77777777" w:rsidR="008769C6" w:rsidRPr="008769C6" w:rsidRDefault="008769C6" w:rsidP="008769C6">
            <w:r w:rsidRPr="008769C6">
              <w:t>12</w:t>
            </w:r>
          </w:p>
        </w:tc>
        <w:tc>
          <w:tcPr>
            <w:tcW w:w="0" w:type="auto"/>
            <w:vAlign w:val="center"/>
            <w:hideMark/>
          </w:tcPr>
          <w:p w14:paraId="7AB0B7A0" w14:textId="77777777" w:rsidR="008769C6" w:rsidRPr="008769C6" w:rsidRDefault="008769C6" w:rsidP="008769C6">
            <w:r w:rsidRPr="008769C6">
              <w:t>92 %</w:t>
            </w:r>
          </w:p>
        </w:tc>
        <w:tc>
          <w:tcPr>
            <w:tcW w:w="0" w:type="auto"/>
            <w:vAlign w:val="center"/>
            <w:hideMark/>
          </w:tcPr>
          <w:p w14:paraId="6881727A" w14:textId="77777777" w:rsidR="008769C6" w:rsidRPr="008769C6" w:rsidRDefault="008769C6" w:rsidP="008769C6">
            <w:proofErr w:type="gramStart"/>
            <w:r w:rsidRPr="008769C6">
              <w:t>3 :</w:t>
            </w:r>
            <w:proofErr w:type="gramEnd"/>
            <w:r w:rsidRPr="008769C6">
              <w:t xml:space="preserve"> </w:t>
            </w:r>
            <w:proofErr w:type="gramStart"/>
            <w:r w:rsidRPr="008769C6">
              <w:t>8 :</w:t>
            </w:r>
            <w:proofErr w:type="gramEnd"/>
            <w:r w:rsidRPr="008769C6">
              <w:t xml:space="preserve"> 1</w:t>
            </w:r>
          </w:p>
        </w:tc>
        <w:tc>
          <w:tcPr>
            <w:tcW w:w="0" w:type="auto"/>
            <w:vAlign w:val="center"/>
            <w:hideMark/>
          </w:tcPr>
          <w:p w14:paraId="4911AE2D" w14:textId="77777777" w:rsidR="008769C6" w:rsidRPr="008769C6" w:rsidRDefault="008769C6" w:rsidP="008769C6">
            <w:r w:rsidRPr="008769C6">
              <w:t>4.8</w:t>
            </w:r>
          </w:p>
        </w:tc>
        <w:tc>
          <w:tcPr>
            <w:tcW w:w="0" w:type="auto"/>
            <w:vAlign w:val="center"/>
            <w:hideMark/>
          </w:tcPr>
          <w:p w14:paraId="4653D7DA" w14:textId="77777777" w:rsidR="008769C6" w:rsidRPr="008769C6" w:rsidRDefault="008769C6" w:rsidP="008769C6">
            <w:r w:rsidRPr="008769C6">
              <w:t>Low</w:t>
            </w:r>
          </w:p>
        </w:tc>
      </w:tr>
      <w:tr w:rsidR="008769C6" w:rsidRPr="008769C6" w14:paraId="4EF46357" w14:textId="77777777">
        <w:trPr>
          <w:tblCellSpacing w:w="15" w:type="dxa"/>
        </w:trPr>
        <w:tc>
          <w:tcPr>
            <w:tcW w:w="0" w:type="auto"/>
            <w:vAlign w:val="center"/>
            <w:hideMark/>
          </w:tcPr>
          <w:p w14:paraId="44263C75" w14:textId="77777777" w:rsidR="008769C6" w:rsidRPr="008769C6" w:rsidRDefault="008769C6" w:rsidP="008769C6">
            <w:r w:rsidRPr="008769C6">
              <w:lastRenderedPageBreak/>
              <w:t>P29</w:t>
            </w:r>
          </w:p>
        </w:tc>
        <w:tc>
          <w:tcPr>
            <w:tcW w:w="0" w:type="auto"/>
            <w:vAlign w:val="center"/>
            <w:hideMark/>
          </w:tcPr>
          <w:p w14:paraId="09EA2CB3" w14:textId="77777777" w:rsidR="008769C6" w:rsidRPr="008769C6" w:rsidRDefault="008769C6" w:rsidP="008769C6">
            <w:r w:rsidRPr="008769C6">
              <w:t>Mixed ML + physics + cog-sci</w:t>
            </w:r>
          </w:p>
        </w:tc>
        <w:tc>
          <w:tcPr>
            <w:tcW w:w="0" w:type="auto"/>
            <w:vAlign w:val="center"/>
            <w:hideMark/>
          </w:tcPr>
          <w:p w14:paraId="77C17A7C" w14:textId="77777777" w:rsidR="008769C6" w:rsidRPr="008769C6" w:rsidRDefault="008769C6" w:rsidP="008769C6">
            <w:r w:rsidRPr="008769C6">
              <w:t>Sparse</w:t>
            </w:r>
          </w:p>
        </w:tc>
        <w:tc>
          <w:tcPr>
            <w:tcW w:w="0" w:type="auto"/>
            <w:vAlign w:val="center"/>
            <w:hideMark/>
          </w:tcPr>
          <w:p w14:paraId="5484CE5F" w14:textId="77777777" w:rsidR="008769C6" w:rsidRPr="008769C6" w:rsidRDefault="008769C6" w:rsidP="008769C6">
            <w:r w:rsidRPr="008769C6">
              <w:t>Creative</w:t>
            </w:r>
          </w:p>
        </w:tc>
        <w:tc>
          <w:tcPr>
            <w:tcW w:w="0" w:type="auto"/>
            <w:vAlign w:val="center"/>
            <w:hideMark/>
          </w:tcPr>
          <w:p w14:paraId="05EDFEF0" w14:textId="77777777" w:rsidR="008769C6" w:rsidRPr="008769C6" w:rsidRDefault="008769C6" w:rsidP="008769C6">
            <w:r w:rsidRPr="008769C6">
              <w:t>Unaware</w:t>
            </w:r>
          </w:p>
        </w:tc>
        <w:tc>
          <w:tcPr>
            <w:tcW w:w="0" w:type="auto"/>
            <w:vAlign w:val="center"/>
            <w:hideMark/>
          </w:tcPr>
          <w:p w14:paraId="1659EA4C" w14:textId="77777777" w:rsidR="008769C6" w:rsidRPr="008769C6" w:rsidRDefault="008769C6" w:rsidP="008769C6">
            <w:r w:rsidRPr="008769C6">
              <w:t>7</w:t>
            </w:r>
          </w:p>
        </w:tc>
        <w:tc>
          <w:tcPr>
            <w:tcW w:w="0" w:type="auto"/>
            <w:vAlign w:val="center"/>
            <w:hideMark/>
          </w:tcPr>
          <w:p w14:paraId="127E266D" w14:textId="77777777" w:rsidR="008769C6" w:rsidRPr="008769C6" w:rsidRDefault="008769C6" w:rsidP="008769C6">
            <w:r w:rsidRPr="008769C6">
              <w:t>100 %</w:t>
            </w:r>
          </w:p>
        </w:tc>
        <w:tc>
          <w:tcPr>
            <w:tcW w:w="0" w:type="auto"/>
            <w:vAlign w:val="center"/>
            <w:hideMark/>
          </w:tcPr>
          <w:p w14:paraId="0C94DBA6" w14:textId="77777777" w:rsidR="008769C6" w:rsidRPr="008769C6" w:rsidRDefault="008769C6" w:rsidP="008769C6">
            <w:proofErr w:type="gramStart"/>
            <w:r w:rsidRPr="008769C6">
              <w:t>1 :</w:t>
            </w:r>
            <w:proofErr w:type="gramEnd"/>
            <w:r w:rsidRPr="008769C6">
              <w:t xml:space="preserve"> </w:t>
            </w:r>
            <w:proofErr w:type="gramStart"/>
            <w:r w:rsidRPr="008769C6">
              <w:t>6 :</w:t>
            </w:r>
            <w:proofErr w:type="gramEnd"/>
            <w:r w:rsidRPr="008769C6">
              <w:t xml:space="preserve"> 0</w:t>
            </w:r>
          </w:p>
        </w:tc>
        <w:tc>
          <w:tcPr>
            <w:tcW w:w="0" w:type="auto"/>
            <w:vAlign w:val="center"/>
            <w:hideMark/>
          </w:tcPr>
          <w:p w14:paraId="45BB1DAF" w14:textId="77777777" w:rsidR="008769C6" w:rsidRPr="008769C6" w:rsidRDefault="008769C6" w:rsidP="008769C6">
            <w:r w:rsidRPr="008769C6">
              <w:t>5.0</w:t>
            </w:r>
          </w:p>
        </w:tc>
        <w:tc>
          <w:tcPr>
            <w:tcW w:w="0" w:type="auto"/>
            <w:vAlign w:val="center"/>
            <w:hideMark/>
          </w:tcPr>
          <w:p w14:paraId="366EAD20" w14:textId="77777777" w:rsidR="008769C6" w:rsidRPr="008769C6" w:rsidRDefault="008769C6" w:rsidP="008769C6">
            <w:r w:rsidRPr="008769C6">
              <w:t>None</w:t>
            </w:r>
          </w:p>
        </w:tc>
      </w:tr>
      <w:tr w:rsidR="008769C6" w:rsidRPr="008769C6" w14:paraId="3C016C97" w14:textId="77777777">
        <w:trPr>
          <w:tblCellSpacing w:w="15" w:type="dxa"/>
        </w:trPr>
        <w:tc>
          <w:tcPr>
            <w:tcW w:w="0" w:type="auto"/>
            <w:vAlign w:val="center"/>
            <w:hideMark/>
          </w:tcPr>
          <w:p w14:paraId="1093DBB9" w14:textId="77777777" w:rsidR="008769C6" w:rsidRPr="008769C6" w:rsidRDefault="008769C6" w:rsidP="008769C6">
            <w:r w:rsidRPr="008769C6">
              <w:t>Blind-coding-6</w:t>
            </w:r>
          </w:p>
        </w:tc>
        <w:tc>
          <w:tcPr>
            <w:tcW w:w="0" w:type="auto"/>
            <w:vAlign w:val="center"/>
            <w:hideMark/>
          </w:tcPr>
          <w:p w14:paraId="1360F6E4" w14:textId="77777777" w:rsidR="008769C6" w:rsidRPr="008769C6" w:rsidRDefault="008769C6" w:rsidP="008769C6">
            <w:r w:rsidRPr="008769C6">
              <w:t xml:space="preserve">Mixed Neuro + ML + Physics + </w:t>
            </w:r>
            <w:proofErr w:type="spellStart"/>
            <w:r w:rsidRPr="008769C6">
              <w:t>CogSci</w:t>
            </w:r>
            <w:proofErr w:type="spellEnd"/>
          </w:p>
        </w:tc>
        <w:tc>
          <w:tcPr>
            <w:tcW w:w="0" w:type="auto"/>
            <w:vAlign w:val="center"/>
            <w:hideMark/>
          </w:tcPr>
          <w:p w14:paraId="09EC4287" w14:textId="77777777" w:rsidR="008769C6" w:rsidRPr="008769C6" w:rsidRDefault="008769C6" w:rsidP="008769C6">
            <w:r w:rsidRPr="008769C6">
              <w:t>Dense</w:t>
            </w:r>
          </w:p>
        </w:tc>
        <w:tc>
          <w:tcPr>
            <w:tcW w:w="0" w:type="auto"/>
            <w:vAlign w:val="center"/>
            <w:hideMark/>
          </w:tcPr>
          <w:p w14:paraId="47C0E346" w14:textId="77777777" w:rsidR="008769C6" w:rsidRPr="008769C6" w:rsidRDefault="008769C6" w:rsidP="008769C6">
            <w:r w:rsidRPr="008769C6">
              <w:t>Creative</w:t>
            </w:r>
          </w:p>
        </w:tc>
        <w:tc>
          <w:tcPr>
            <w:tcW w:w="0" w:type="auto"/>
            <w:vAlign w:val="center"/>
            <w:hideMark/>
          </w:tcPr>
          <w:p w14:paraId="4DDBD10A" w14:textId="77777777" w:rsidR="008769C6" w:rsidRPr="008769C6" w:rsidRDefault="008769C6" w:rsidP="008769C6">
            <w:r w:rsidRPr="008769C6">
              <w:t>Partially aware</w:t>
            </w:r>
          </w:p>
        </w:tc>
        <w:tc>
          <w:tcPr>
            <w:tcW w:w="0" w:type="auto"/>
            <w:vAlign w:val="center"/>
            <w:hideMark/>
          </w:tcPr>
          <w:p w14:paraId="04EF59F5" w14:textId="77777777" w:rsidR="008769C6" w:rsidRPr="008769C6" w:rsidRDefault="008769C6" w:rsidP="008769C6">
            <w:r w:rsidRPr="008769C6">
              <w:t>29 (24 unique)</w:t>
            </w:r>
          </w:p>
        </w:tc>
        <w:tc>
          <w:tcPr>
            <w:tcW w:w="0" w:type="auto"/>
            <w:vAlign w:val="center"/>
            <w:hideMark/>
          </w:tcPr>
          <w:p w14:paraId="6D5AC000" w14:textId="77777777" w:rsidR="008769C6" w:rsidRPr="008769C6" w:rsidRDefault="008769C6" w:rsidP="008769C6">
            <w:r w:rsidRPr="008769C6">
              <w:t>83 %</w:t>
            </w:r>
          </w:p>
        </w:tc>
        <w:tc>
          <w:tcPr>
            <w:tcW w:w="0" w:type="auto"/>
            <w:vAlign w:val="center"/>
            <w:hideMark/>
          </w:tcPr>
          <w:p w14:paraId="4D84C273" w14:textId="77777777" w:rsidR="008769C6" w:rsidRPr="008769C6" w:rsidRDefault="008769C6" w:rsidP="008769C6">
            <w:proofErr w:type="gramStart"/>
            <w:r w:rsidRPr="008769C6">
              <w:t>12 :</w:t>
            </w:r>
            <w:proofErr w:type="gramEnd"/>
            <w:r w:rsidRPr="008769C6">
              <w:t xml:space="preserve"> </w:t>
            </w:r>
            <w:proofErr w:type="gramStart"/>
            <w:r w:rsidRPr="008769C6">
              <w:t>11 :</w:t>
            </w:r>
            <w:proofErr w:type="gramEnd"/>
            <w:r w:rsidRPr="008769C6">
              <w:t xml:space="preserve"> 3</w:t>
            </w:r>
          </w:p>
        </w:tc>
        <w:tc>
          <w:tcPr>
            <w:tcW w:w="0" w:type="auto"/>
            <w:vAlign w:val="center"/>
            <w:hideMark/>
          </w:tcPr>
          <w:p w14:paraId="792498C1" w14:textId="77777777" w:rsidR="008769C6" w:rsidRPr="008769C6" w:rsidRDefault="008769C6" w:rsidP="008769C6">
            <w:r w:rsidRPr="008769C6">
              <w:t>4.3</w:t>
            </w:r>
          </w:p>
        </w:tc>
        <w:tc>
          <w:tcPr>
            <w:tcW w:w="0" w:type="auto"/>
            <w:vAlign w:val="center"/>
            <w:hideMark/>
          </w:tcPr>
          <w:p w14:paraId="0C05224C" w14:textId="77777777" w:rsidR="008769C6" w:rsidRPr="008769C6" w:rsidRDefault="008769C6" w:rsidP="008769C6">
            <w:r w:rsidRPr="008769C6">
              <w:t>Moderate</w:t>
            </w:r>
          </w:p>
        </w:tc>
      </w:tr>
      <w:tr w:rsidR="008769C6" w:rsidRPr="008769C6" w14:paraId="58023603" w14:textId="77777777">
        <w:trPr>
          <w:tblCellSpacing w:w="15" w:type="dxa"/>
        </w:trPr>
        <w:tc>
          <w:tcPr>
            <w:tcW w:w="0" w:type="auto"/>
            <w:vAlign w:val="center"/>
            <w:hideMark/>
          </w:tcPr>
          <w:p w14:paraId="1DAFB26D" w14:textId="77777777" w:rsidR="008769C6" w:rsidRPr="008769C6" w:rsidRDefault="008769C6" w:rsidP="008769C6">
            <w:r w:rsidRPr="008769C6">
              <w:rPr>
                <w:b/>
                <w:bCs/>
              </w:rPr>
              <w:t>Blind-coding-7</w:t>
            </w:r>
            <w:r w:rsidRPr="008769C6">
              <w:t xml:space="preserve"> (current)</w:t>
            </w:r>
          </w:p>
        </w:tc>
        <w:tc>
          <w:tcPr>
            <w:tcW w:w="0" w:type="auto"/>
            <w:vAlign w:val="center"/>
            <w:hideMark/>
          </w:tcPr>
          <w:p w14:paraId="785CC3B4" w14:textId="77777777" w:rsidR="008769C6" w:rsidRPr="008769C6" w:rsidRDefault="008769C6" w:rsidP="008769C6">
            <w:proofErr w:type="spellStart"/>
            <w:r w:rsidRPr="008769C6">
              <w:rPr>
                <w:b/>
                <w:bCs/>
              </w:rPr>
              <w:t>Enactivism</w:t>
            </w:r>
            <w:proofErr w:type="spellEnd"/>
            <w:r w:rsidRPr="008769C6">
              <w:rPr>
                <w:b/>
                <w:bCs/>
              </w:rPr>
              <w:t xml:space="preserve"> + predictive coding + grokking</w:t>
            </w:r>
          </w:p>
        </w:tc>
        <w:tc>
          <w:tcPr>
            <w:tcW w:w="0" w:type="auto"/>
            <w:vAlign w:val="center"/>
            <w:hideMark/>
          </w:tcPr>
          <w:p w14:paraId="19CCD4DE" w14:textId="77777777" w:rsidR="008769C6" w:rsidRPr="008769C6" w:rsidRDefault="008769C6" w:rsidP="008769C6">
            <w:r w:rsidRPr="008769C6">
              <w:rPr>
                <w:b/>
                <w:bCs/>
              </w:rPr>
              <w:t>Extremely dense</w:t>
            </w:r>
          </w:p>
        </w:tc>
        <w:tc>
          <w:tcPr>
            <w:tcW w:w="0" w:type="auto"/>
            <w:vAlign w:val="center"/>
            <w:hideMark/>
          </w:tcPr>
          <w:p w14:paraId="620F0184" w14:textId="77777777" w:rsidR="008769C6" w:rsidRPr="008769C6" w:rsidRDefault="008769C6" w:rsidP="008769C6">
            <w:r w:rsidRPr="008769C6">
              <w:rPr>
                <w:b/>
                <w:bCs/>
              </w:rPr>
              <w:t>Creative</w:t>
            </w:r>
          </w:p>
        </w:tc>
        <w:tc>
          <w:tcPr>
            <w:tcW w:w="0" w:type="auto"/>
            <w:vAlign w:val="center"/>
            <w:hideMark/>
          </w:tcPr>
          <w:p w14:paraId="74BA1FFC" w14:textId="77777777" w:rsidR="008769C6" w:rsidRPr="008769C6" w:rsidRDefault="008769C6" w:rsidP="008769C6">
            <w:r w:rsidRPr="008769C6">
              <w:rPr>
                <w:b/>
                <w:bCs/>
              </w:rPr>
              <w:t>Fully aware</w:t>
            </w:r>
          </w:p>
        </w:tc>
        <w:tc>
          <w:tcPr>
            <w:tcW w:w="0" w:type="auto"/>
            <w:vAlign w:val="center"/>
            <w:hideMark/>
          </w:tcPr>
          <w:p w14:paraId="2369EA21" w14:textId="77777777" w:rsidR="008769C6" w:rsidRPr="008769C6" w:rsidRDefault="008769C6" w:rsidP="008769C6">
            <w:r w:rsidRPr="008769C6">
              <w:rPr>
                <w:b/>
                <w:bCs/>
              </w:rPr>
              <w:t>61 (≈45 unique)</w:t>
            </w:r>
          </w:p>
        </w:tc>
        <w:tc>
          <w:tcPr>
            <w:tcW w:w="0" w:type="auto"/>
            <w:vAlign w:val="center"/>
            <w:hideMark/>
          </w:tcPr>
          <w:p w14:paraId="3147B6E7" w14:textId="77777777" w:rsidR="008769C6" w:rsidRPr="008769C6" w:rsidRDefault="008769C6" w:rsidP="008769C6">
            <w:r w:rsidRPr="008769C6">
              <w:rPr>
                <w:b/>
                <w:bCs/>
              </w:rPr>
              <w:t>56 %</w:t>
            </w:r>
          </w:p>
        </w:tc>
        <w:tc>
          <w:tcPr>
            <w:tcW w:w="0" w:type="auto"/>
            <w:vAlign w:val="center"/>
            <w:hideMark/>
          </w:tcPr>
          <w:p w14:paraId="27407743" w14:textId="77777777" w:rsidR="008769C6" w:rsidRPr="008769C6" w:rsidRDefault="008769C6" w:rsidP="008769C6">
            <w:proofErr w:type="gramStart"/>
            <w:r w:rsidRPr="008769C6">
              <w:rPr>
                <w:b/>
                <w:bCs/>
              </w:rPr>
              <w:t>21 :</w:t>
            </w:r>
            <w:proofErr w:type="gramEnd"/>
            <w:r w:rsidRPr="008769C6">
              <w:rPr>
                <w:b/>
                <w:bCs/>
              </w:rPr>
              <w:t xml:space="preserve"> </w:t>
            </w:r>
            <w:proofErr w:type="gramStart"/>
            <w:r w:rsidRPr="008769C6">
              <w:rPr>
                <w:b/>
                <w:bCs/>
              </w:rPr>
              <w:t>16 :</w:t>
            </w:r>
            <w:proofErr w:type="gramEnd"/>
            <w:r w:rsidRPr="008769C6">
              <w:rPr>
                <w:b/>
                <w:bCs/>
              </w:rPr>
              <w:t xml:space="preserve"> 24</w:t>
            </w:r>
          </w:p>
        </w:tc>
        <w:tc>
          <w:tcPr>
            <w:tcW w:w="0" w:type="auto"/>
            <w:vAlign w:val="center"/>
            <w:hideMark/>
          </w:tcPr>
          <w:p w14:paraId="6F2C19C8" w14:textId="77777777" w:rsidR="008769C6" w:rsidRPr="008769C6" w:rsidRDefault="008769C6" w:rsidP="008769C6">
            <w:r w:rsidRPr="008769C6">
              <w:rPr>
                <w:b/>
                <w:bCs/>
              </w:rPr>
              <w:t>3.9</w:t>
            </w:r>
          </w:p>
        </w:tc>
        <w:tc>
          <w:tcPr>
            <w:tcW w:w="0" w:type="auto"/>
            <w:vAlign w:val="center"/>
            <w:hideMark/>
          </w:tcPr>
          <w:p w14:paraId="09E602B3" w14:textId="77777777" w:rsidR="008769C6" w:rsidRPr="008769C6" w:rsidRDefault="008769C6" w:rsidP="008769C6">
            <w:r w:rsidRPr="008769C6">
              <w:rPr>
                <w:b/>
                <w:bCs/>
              </w:rPr>
              <w:t>High</w:t>
            </w:r>
            <w:r w:rsidRPr="008769C6">
              <w:t xml:space="preserve"> (“may”, “could”, “potentially”, “we hypothesize”, “remains an open question” in &gt;80 % of invented citations)</w:t>
            </w:r>
          </w:p>
        </w:tc>
      </w:tr>
    </w:tbl>
    <w:p w14:paraId="7F390C4B" w14:textId="77777777" w:rsidR="008769C6" w:rsidRPr="00B53109" w:rsidRDefault="008769C6" w:rsidP="00911715"/>
    <w:sectPr w:rsidR="008769C6" w:rsidRPr="00B5310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3F6B7F"/>
    <w:multiLevelType w:val="multilevel"/>
    <w:tmpl w:val="69C042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230683"/>
    <w:multiLevelType w:val="multilevel"/>
    <w:tmpl w:val="FB14C5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272938"/>
    <w:multiLevelType w:val="multilevel"/>
    <w:tmpl w:val="04EE93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6547E79"/>
    <w:multiLevelType w:val="multilevel"/>
    <w:tmpl w:val="7A101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8E744E5"/>
    <w:multiLevelType w:val="multilevel"/>
    <w:tmpl w:val="88CC60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92460A7"/>
    <w:multiLevelType w:val="multilevel"/>
    <w:tmpl w:val="64E89F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B475C31"/>
    <w:multiLevelType w:val="multilevel"/>
    <w:tmpl w:val="183C21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C4E3C79"/>
    <w:multiLevelType w:val="multilevel"/>
    <w:tmpl w:val="5A4C93C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D397B7E"/>
    <w:multiLevelType w:val="multilevel"/>
    <w:tmpl w:val="A2C00F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0360F7B"/>
    <w:multiLevelType w:val="multilevel"/>
    <w:tmpl w:val="1C4297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6D948A2"/>
    <w:multiLevelType w:val="multilevel"/>
    <w:tmpl w:val="72DE35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6E92D41"/>
    <w:multiLevelType w:val="multilevel"/>
    <w:tmpl w:val="CAA81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7FC52D0"/>
    <w:multiLevelType w:val="multilevel"/>
    <w:tmpl w:val="9D0EB0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9650035"/>
    <w:multiLevelType w:val="multilevel"/>
    <w:tmpl w:val="2BD019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A0D2A03"/>
    <w:multiLevelType w:val="multilevel"/>
    <w:tmpl w:val="CE2C2B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A241872"/>
    <w:multiLevelType w:val="multilevel"/>
    <w:tmpl w:val="FBA0EE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AD51E6C"/>
    <w:multiLevelType w:val="multilevel"/>
    <w:tmpl w:val="BE7895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B0B31D9"/>
    <w:multiLevelType w:val="multilevel"/>
    <w:tmpl w:val="3454D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DF576DB"/>
    <w:multiLevelType w:val="multilevel"/>
    <w:tmpl w:val="EDF675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E2828E7"/>
    <w:multiLevelType w:val="multilevel"/>
    <w:tmpl w:val="DD5A76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1EE914C3"/>
    <w:multiLevelType w:val="multilevel"/>
    <w:tmpl w:val="6F3E1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385514A"/>
    <w:multiLevelType w:val="multilevel"/>
    <w:tmpl w:val="A80EBD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25EA4C9F"/>
    <w:multiLevelType w:val="multilevel"/>
    <w:tmpl w:val="4D0AE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28B43253"/>
    <w:multiLevelType w:val="multilevel"/>
    <w:tmpl w:val="9DC40C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9055F96"/>
    <w:multiLevelType w:val="multilevel"/>
    <w:tmpl w:val="7FAC80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29CA52BE"/>
    <w:multiLevelType w:val="multilevel"/>
    <w:tmpl w:val="32124B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27034DC"/>
    <w:multiLevelType w:val="multilevel"/>
    <w:tmpl w:val="373EBE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32BD3DD8"/>
    <w:multiLevelType w:val="multilevel"/>
    <w:tmpl w:val="6AC80E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36576BC"/>
    <w:multiLevelType w:val="multilevel"/>
    <w:tmpl w:val="C07CD2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34E869B2"/>
    <w:multiLevelType w:val="multilevel"/>
    <w:tmpl w:val="3014D8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35DE5686"/>
    <w:multiLevelType w:val="multilevel"/>
    <w:tmpl w:val="3E802F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38031595"/>
    <w:multiLevelType w:val="multilevel"/>
    <w:tmpl w:val="7820D7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39037A4E"/>
    <w:multiLevelType w:val="multilevel"/>
    <w:tmpl w:val="A4FA94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42353B46"/>
    <w:multiLevelType w:val="multilevel"/>
    <w:tmpl w:val="6F1E2A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430B3F08"/>
    <w:multiLevelType w:val="multilevel"/>
    <w:tmpl w:val="BF5A7B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447334EB"/>
    <w:multiLevelType w:val="multilevel"/>
    <w:tmpl w:val="AFEA1D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44B925FE"/>
    <w:multiLevelType w:val="multilevel"/>
    <w:tmpl w:val="596C18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494E7364"/>
    <w:multiLevelType w:val="multilevel"/>
    <w:tmpl w:val="2DF09D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4B07035A"/>
    <w:multiLevelType w:val="multilevel"/>
    <w:tmpl w:val="6D7E0E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4B571EF0"/>
    <w:multiLevelType w:val="multilevel"/>
    <w:tmpl w:val="110E93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4BB51DEA"/>
    <w:multiLevelType w:val="multilevel"/>
    <w:tmpl w:val="BD34E4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4F9B43B6"/>
    <w:multiLevelType w:val="multilevel"/>
    <w:tmpl w:val="C640F7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4FA12778"/>
    <w:multiLevelType w:val="multilevel"/>
    <w:tmpl w:val="ACCE05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4FE2473E"/>
    <w:multiLevelType w:val="multilevel"/>
    <w:tmpl w:val="B9C8CA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53D305C9"/>
    <w:multiLevelType w:val="multilevel"/>
    <w:tmpl w:val="49FA7A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556C5F74"/>
    <w:multiLevelType w:val="multilevel"/>
    <w:tmpl w:val="70028D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55915F15"/>
    <w:multiLevelType w:val="multilevel"/>
    <w:tmpl w:val="D9D2F6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56096C20"/>
    <w:multiLevelType w:val="multilevel"/>
    <w:tmpl w:val="9BDEFA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56844263"/>
    <w:multiLevelType w:val="multilevel"/>
    <w:tmpl w:val="02B2CC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57A237D2"/>
    <w:multiLevelType w:val="multilevel"/>
    <w:tmpl w:val="431257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585040CA"/>
    <w:multiLevelType w:val="multilevel"/>
    <w:tmpl w:val="86F62D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58B906CA"/>
    <w:multiLevelType w:val="multilevel"/>
    <w:tmpl w:val="60C017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59AB2D68"/>
    <w:multiLevelType w:val="multilevel"/>
    <w:tmpl w:val="77C4F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59B375DB"/>
    <w:multiLevelType w:val="multilevel"/>
    <w:tmpl w:val="6D04D1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5B93643B"/>
    <w:multiLevelType w:val="multilevel"/>
    <w:tmpl w:val="CA6625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5D1547FB"/>
    <w:multiLevelType w:val="multilevel"/>
    <w:tmpl w:val="6A2A4D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5DA83AFC"/>
    <w:multiLevelType w:val="multilevel"/>
    <w:tmpl w:val="0DD4EC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5F18581A"/>
    <w:multiLevelType w:val="multilevel"/>
    <w:tmpl w:val="3BA213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63481DD9"/>
    <w:multiLevelType w:val="multilevel"/>
    <w:tmpl w:val="642AF7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63730B37"/>
    <w:multiLevelType w:val="multilevel"/>
    <w:tmpl w:val="EAF0A4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63DA6FDF"/>
    <w:multiLevelType w:val="multilevel"/>
    <w:tmpl w:val="FB64F6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65425E62"/>
    <w:multiLevelType w:val="multilevel"/>
    <w:tmpl w:val="60CCCD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67880F91"/>
    <w:multiLevelType w:val="multilevel"/>
    <w:tmpl w:val="CC7E78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691B7C4F"/>
    <w:multiLevelType w:val="multilevel"/>
    <w:tmpl w:val="6DDCE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696F04BE"/>
    <w:multiLevelType w:val="multilevel"/>
    <w:tmpl w:val="366895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69D967AE"/>
    <w:multiLevelType w:val="multilevel"/>
    <w:tmpl w:val="804E92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6A127852"/>
    <w:multiLevelType w:val="multilevel"/>
    <w:tmpl w:val="54B05C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6B1A1036"/>
    <w:multiLevelType w:val="multilevel"/>
    <w:tmpl w:val="2A0A46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6EC12FFB"/>
    <w:multiLevelType w:val="multilevel"/>
    <w:tmpl w:val="BA8036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6ECA13BB"/>
    <w:multiLevelType w:val="multilevel"/>
    <w:tmpl w:val="58B450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71790E47"/>
    <w:multiLevelType w:val="multilevel"/>
    <w:tmpl w:val="E8CA34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718C5228"/>
    <w:multiLevelType w:val="multilevel"/>
    <w:tmpl w:val="390CFB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71F17811"/>
    <w:multiLevelType w:val="multilevel"/>
    <w:tmpl w:val="06321A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71FD4C40"/>
    <w:multiLevelType w:val="multilevel"/>
    <w:tmpl w:val="D382A1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73171776"/>
    <w:multiLevelType w:val="multilevel"/>
    <w:tmpl w:val="768A2F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732B12EC"/>
    <w:multiLevelType w:val="multilevel"/>
    <w:tmpl w:val="14182D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74CD1CEB"/>
    <w:multiLevelType w:val="multilevel"/>
    <w:tmpl w:val="3D985C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74F5378D"/>
    <w:multiLevelType w:val="multilevel"/>
    <w:tmpl w:val="90268B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769166CD"/>
    <w:multiLevelType w:val="multilevel"/>
    <w:tmpl w:val="3312AA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77067925"/>
    <w:multiLevelType w:val="multilevel"/>
    <w:tmpl w:val="958A5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774E4DE5"/>
    <w:multiLevelType w:val="multilevel"/>
    <w:tmpl w:val="2FBC8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778D3D52"/>
    <w:multiLevelType w:val="multilevel"/>
    <w:tmpl w:val="56847E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78692437"/>
    <w:multiLevelType w:val="multilevel"/>
    <w:tmpl w:val="389AF2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78F051A3"/>
    <w:multiLevelType w:val="multilevel"/>
    <w:tmpl w:val="5C882C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7C174E2D"/>
    <w:multiLevelType w:val="multilevel"/>
    <w:tmpl w:val="D6286C0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7EAB3616"/>
    <w:multiLevelType w:val="multilevel"/>
    <w:tmpl w:val="6C22DC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51048484">
    <w:abstractNumId w:val="42"/>
  </w:num>
  <w:num w:numId="2" w16cid:durableId="1059591346">
    <w:abstractNumId w:val="73"/>
  </w:num>
  <w:num w:numId="3" w16cid:durableId="1359894833">
    <w:abstractNumId w:val="22"/>
  </w:num>
  <w:num w:numId="4" w16cid:durableId="266277964">
    <w:abstractNumId w:val="65"/>
  </w:num>
  <w:num w:numId="5" w16cid:durableId="598802447">
    <w:abstractNumId w:val="40"/>
  </w:num>
  <w:num w:numId="6" w16cid:durableId="224024816">
    <w:abstractNumId w:val="72"/>
  </w:num>
  <w:num w:numId="7" w16cid:durableId="434980156">
    <w:abstractNumId w:val="35"/>
  </w:num>
  <w:num w:numId="8" w16cid:durableId="1568958723">
    <w:abstractNumId w:val="36"/>
  </w:num>
  <w:num w:numId="9" w16cid:durableId="1503204690">
    <w:abstractNumId w:val="54"/>
  </w:num>
  <w:num w:numId="10" w16cid:durableId="2037123455">
    <w:abstractNumId w:val="20"/>
  </w:num>
  <w:num w:numId="11" w16cid:durableId="561791756">
    <w:abstractNumId w:val="1"/>
  </w:num>
  <w:num w:numId="12" w16cid:durableId="2037805219">
    <w:abstractNumId w:val="58"/>
  </w:num>
  <w:num w:numId="13" w16cid:durableId="1080104714">
    <w:abstractNumId w:val="74"/>
  </w:num>
  <w:num w:numId="14" w16cid:durableId="1286161605">
    <w:abstractNumId w:val="10"/>
  </w:num>
  <w:num w:numId="15" w16cid:durableId="604532373">
    <w:abstractNumId w:val="84"/>
  </w:num>
  <w:num w:numId="16" w16cid:durableId="1823622890">
    <w:abstractNumId w:val="11"/>
  </w:num>
  <w:num w:numId="17" w16cid:durableId="335773119">
    <w:abstractNumId w:val="44"/>
  </w:num>
  <w:num w:numId="18" w16cid:durableId="1337657693">
    <w:abstractNumId w:val="52"/>
  </w:num>
  <w:num w:numId="19" w16cid:durableId="1435444568">
    <w:abstractNumId w:val="49"/>
  </w:num>
  <w:num w:numId="20" w16cid:durableId="844394583">
    <w:abstractNumId w:val="50"/>
  </w:num>
  <w:num w:numId="21" w16cid:durableId="1082916920">
    <w:abstractNumId w:val="85"/>
  </w:num>
  <w:num w:numId="22" w16cid:durableId="124348533">
    <w:abstractNumId w:val="0"/>
  </w:num>
  <w:num w:numId="23" w16cid:durableId="483161461">
    <w:abstractNumId w:val="24"/>
  </w:num>
  <w:num w:numId="24" w16cid:durableId="217128341">
    <w:abstractNumId w:val="57"/>
  </w:num>
  <w:num w:numId="25" w16cid:durableId="1659193337">
    <w:abstractNumId w:val="16"/>
  </w:num>
  <w:num w:numId="26" w16cid:durableId="8072214">
    <w:abstractNumId w:val="63"/>
  </w:num>
  <w:num w:numId="27" w16cid:durableId="1179077555">
    <w:abstractNumId w:val="78"/>
  </w:num>
  <w:num w:numId="28" w16cid:durableId="377626493">
    <w:abstractNumId w:val="41"/>
  </w:num>
  <w:num w:numId="29" w16cid:durableId="2120950325">
    <w:abstractNumId w:val="23"/>
  </w:num>
  <w:num w:numId="30" w16cid:durableId="347827796">
    <w:abstractNumId w:val="3"/>
  </w:num>
  <w:num w:numId="31" w16cid:durableId="953365086">
    <w:abstractNumId w:val="55"/>
  </w:num>
  <w:num w:numId="32" w16cid:durableId="1739017256">
    <w:abstractNumId w:val="79"/>
  </w:num>
  <w:num w:numId="33" w16cid:durableId="414130027">
    <w:abstractNumId w:val="53"/>
  </w:num>
  <w:num w:numId="34" w16cid:durableId="1133212668">
    <w:abstractNumId w:val="76"/>
  </w:num>
  <w:num w:numId="35" w16cid:durableId="196043512">
    <w:abstractNumId w:val="46"/>
  </w:num>
  <w:num w:numId="36" w16cid:durableId="536703947">
    <w:abstractNumId w:val="15"/>
  </w:num>
  <w:num w:numId="37" w16cid:durableId="200167492">
    <w:abstractNumId w:val="77"/>
  </w:num>
  <w:num w:numId="38" w16cid:durableId="1069039503">
    <w:abstractNumId w:val="4"/>
  </w:num>
  <w:num w:numId="39" w16cid:durableId="1741444440">
    <w:abstractNumId w:val="17"/>
  </w:num>
  <w:num w:numId="40" w16cid:durableId="416829240">
    <w:abstractNumId w:val="62"/>
  </w:num>
  <w:num w:numId="41" w16cid:durableId="92433860">
    <w:abstractNumId w:val="48"/>
  </w:num>
  <w:num w:numId="42" w16cid:durableId="1322929220">
    <w:abstractNumId w:val="75"/>
  </w:num>
  <w:num w:numId="43" w16cid:durableId="710963639">
    <w:abstractNumId w:val="12"/>
  </w:num>
  <w:num w:numId="44" w16cid:durableId="376324397">
    <w:abstractNumId w:val="38"/>
  </w:num>
  <w:num w:numId="45" w16cid:durableId="1369137965">
    <w:abstractNumId w:val="13"/>
  </w:num>
  <w:num w:numId="46" w16cid:durableId="120465729">
    <w:abstractNumId w:val="82"/>
  </w:num>
  <w:num w:numId="47" w16cid:durableId="1038702372">
    <w:abstractNumId w:val="51"/>
  </w:num>
  <w:num w:numId="48" w16cid:durableId="1332753228">
    <w:abstractNumId w:val="47"/>
  </w:num>
  <w:num w:numId="49" w16cid:durableId="30230094">
    <w:abstractNumId w:val="28"/>
  </w:num>
  <w:num w:numId="50" w16cid:durableId="1545869044">
    <w:abstractNumId w:val="6"/>
  </w:num>
  <w:num w:numId="51" w16cid:durableId="575744606">
    <w:abstractNumId w:val="27"/>
  </w:num>
  <w:num w:numId="52" w16cid:durableId="1526553594">
    <w:abstractNumId w:val="7"/>
  </w:num>
  <w:num w:numId="53" w16cid:durableId="1480224096">
    <w:abstractNumId w:val="39"/>
  </w:num>
  <w:num w:numId="54" w16cid:durableId="1844275783">
    <w:abstractNumId w:val="34"/>
  </w:num>
  <w:num w:numId="55" w16cid:durableId="992559500">
    <w:abstractNumId w:val="69"/>
  </w:num>
  <w:num w:numId="56" w16cid:durableId="777867702">
    <w:abstractNumId w:val="67"/>
  </w:num>
  <w:num w:numId="57" w16cid:durableId="983588562">
    <w:abstractNumId w:val="81"/>
  </w:num>
  <w:num w:numId="58" w16cid:durableId="485820876">
    <w:abstractNumId w:val="61"/>
  </w:num>
  <w:num w:numId="59" w16cid:durableId="1879195485">
    <w:abstractNumId w:val="14"/>
  </w:num>
  <w:num w:numId="60" w16cid:durableId="1434016313">
    <w:abstractNumId w:val="19"/>
  </w:num>
  <w:num w:numId="61" w16cid:durableId="572203090">
    <w:abstractNumId w:val="83"/>
  </w:num>
  <w:num w:numId="62" w16cid:durableId="194387890">
    <w:abstractNumId w:val="21"/>
  </w:num>
  <w:num w:numId="63" w16cid:durableId="779185211">
    <w:abstractNumId w:val="32"/>
  </w:num>
  <w:num w:numId="64" w16cid:durableId="524902425">
    <w:abstractNumId w:val="70"/>
  </w:num>
  <w:num w:numId="65" w16cid:durableId="1357346606">
    <w:abstractNumId w:val="60"/>
  </w:num>
  <w:num w:numId="66" w16cid:durableId="1460564801">
    <w:abstractNumId w:val="80"/>
  </w:num>
  <w:num w:numId="67" w16cid:durableId="563028759">
    <w:abstractNumId w:val="33"/>
  </w:num>
  <w:num w:numId="68" w16cid:durableId="1687093327">
    <w:abstractNumId w:val="45"/>
  </w:num>
  <w:num w:numId="69" w16cid:durableId="1511529466">
    <w:abstractNumId w:val="2"/>
  </w:num>
  <w:num w:numId="70" w16cid:durableId="837044035">
    <w:abstractNumId w:val="66"/>
  </w:num>
  <w:num w:numId="71" w16cid:durableId="1822960004">
    <w:abstractNumId w:val="9"/>
  </w:num>
  <w:num w:numId="72" w16cid:durableId="258375183">
    <w:abstractNumId w:val="64"/>
  </w:num>
  <w:num w:numId="73" w16cid:durableId="1751581788">
    <w:abstractNumId w:val="59"/>
  </w:num>
  <w:num w:numId="74" w16cid:durableId="1410694804">
    <w:abstractNumId w:val="56"/>
  </w:num>
  <w:num w:numId="75" w16cid:durableId="1609581919">
    <w:abstractNumId w:val="30"/>
  </w:num>
  <w:num w:numId="76" w16cid:durableId="215162687">
    <w:abstractNumId w:val="8"/>
  </w:num>
  <w:num w:numId="77" w16cid:durableId="186677155">
    <w:abstractNumId w:val="68"/>
  </w:num>
  <w:num w:numId="78" w16cid:durableId="1768886960">
    <w:abstractNumId w:val="5"/>
  </w:num>
  <w:num w:numId="79" w16cid:durableId="729809891">
    <w:abstractNumId w:val="25"/>
  </w:num>
  <w:num w:numId="80" w16cid:durableId="797190272">
    <w:abstractNumId w:val="43"/>
  </w:num>
  <w:num w:numId="81" w16cid:durableId="1551654001">
    <w:abstractNumId w:val="71"/>
  </w:num>
  <w:num w:numId="82" w16cid:durableId="765267159">
    <w:abstractNumId w:val="18"/>
  </w:num>
  <w:num w:numId="83" w16cid:durableId="1122965029">
    <w:abstractNumId w:val="37"/>
  </w:num>
  <w:num w:numId="84" w16cid:durableId="1059282918">
    <w:abstractNumId w:val="29"/>
  </w:num>
  <w:num w:numId="85" w16cid:durableId="166798927">
    <w:abstractNumId w:val="26"/>
  </w:num>
  <w:num w:numId="86" w16cid:durableId="820343490">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40C7"/>
    <w:rsid w:val="00013A9A"/>
    <w:rsid w:val="00017719"/>
    <w:rsid w:val="000709BB"/>
    <w:rsid w:val="002F5C7E"/>
    <w:rsid w:val="003D1C9E"/>
    <w:rsid w:val="003F0FC6"/>
    <w:rsid w:val="003F4EAA"/>
    <w:rsid w:val="00481EF8"/>
    <w:rsid w:val="004C50B9"/>
    <w:rsid w:val="00540EC4"/>
    <w:rsid w:val="005716DC"/>
    <w:rsid w:val="006B19FA"/>
    <w:rsid w:val="006D1B1E"/>
    <w:rsid w:val="007D6F54"/>
    <w:rsid w:val="008034D8"/>
    <w:rsid w:val="008769C6"/>
    <w:rsid w:val="0090757F"/>
    <w:rsid w:val="00911715"/>
    <w:rsid w:val="00A01972"/>
    <w:rsid w:val="00A37CFB"/>
    <w:rsid w:val="00AE59AB"/>
    <w:rsid w:val="00B22585"/>
    <w:rsid w:val="00B53109"/>
    <w:rsid w:val="00B5388A"/>
    <w:rsid w:val="00B76D73"/>
    <w:rsid w:val="00BB3FC8"/>
    <w:rsid w:val="00C10722"/>
    <w:rsid w:val="00C50F20"/>
    <w:rsid w:val="00CD294D"/>
    <w:rsid w:val="00E140C7"/>
    <w:rsid w:val="00EC2331"/>
    <w:rsid w:val="00F45044"/>
    <w:rsid w:val="00F75A0A"/>
    <w:rsid w:val="00F9514C"/>
    <w:rsid w:val="00FB6EB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96315D"/>
  <w15:chartTrackingRefBased/>
  <w15:docId w15:val="{8C9AFFF2-7458-4646-857E-0A4BEC9A95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3109"/>
  </w:style>
  <w:style w:type="paragraph" w:styleId="Heading1">
    <w:name w:val="heading 1"/>
    <w:basedOn w:val="Normal"/>
    <w:next w:val="Normal"/>
    <w:link w:val="Heading1Char"/>
    <w:uiPriority w:val="9"/>
    <w:qFormat/>
    <w:rsid w:val="00E140C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140C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140C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140C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140C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140C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140C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140C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140C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140C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140C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140C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140C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140C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140C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140C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140C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140C7"/>
    <w:rPr>
      <w:rFonts w:eastAsiaTheme="majorEastAsia" w:cstheme="majorBidi"/>
      <w:color w:val="272727" w:themeColor="text1" w:themeTint="D8"/>
    </w:rPr>
  </w:style>
  <w:style w:type="paragraph" w:styleId="Title">
    <w:name w:val="Title"/>
    <w:basedOn w:val="Normal"/>
    <w:next w:val="Normal"/>
    <w:link w:val="TitleChar"/>
    <w:uiPriority w:val="10"/>
    <w:qFormat/>
    <w:rsid w:val="00E140C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140C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140C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140C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140C7"/>
    <w:pPr>
      <w:spacing w:before="160"/>
      <w:jc w:val="center"/>
    </w:pPr>
    <w:rPr>
      <w:i/>
      <w:iCs/>
      <w:color w:val="404040" w:themeColor="text1" w:themeTint="BF"/>
    </w:rPr>
  </w:style>
  <w:style w:type="character" w:customStyle="1" w:styleId="QuoteChar">
    <w:name w:val="Quote Char"/>
    <w:basedOn w:val="DefaultParagraphFont"/>
    <w:link w:val="Quote"/>
    <w:uiPriority w:val="29"/>
    <w:rsid w:val="00E140C7"/>
    <w:rPr>
      <w:i/>
      <w:iCs/>
      <w:color w:val="404040" w:themeColor="text1" w:themeTint="BF"/>
    </w:rPr>
  </w:style>
  <w:style w:type="paragraph" w:styleId="ListParagraph">
    <w:name w:val="List Paragraph"/>
    <w:basedOn w:val="Normal"/>
    <w:uiPriority w:val="34"/>
    <w:qFormat/>
    <w:rsid w:val="00E140C7"/>
    <w:pPr>
      <w:ind w:left="720"/>
      <w:contextualSpacing/>
    </w:pPr>
  </w:style>
  <w:style w:type="character" w:styleId="IntenseEmphasis">
    <w:name w:val="Intense Emphasis"/>
    <w:basedOn w:val="DefaultParagraphFont"/>
    <w:uiPriority w:val="21"/>
    <w:qFormat/>
    <w:rsid w:val="00E140C7"/>
    <w:rPr>
      <w:i/>
      <w:iCs/>
      <w:color w:val="2F5496" w:themeColor="accent1" w:themeShade="BF"/>
    </w:rPr>
  </w:style>
  <w:style w:type="paragraph" w:styleId="IntenseQuote">
    <w:name w:val="Intense Quote"/>
    <w:basedOn w:val="Normal"/>
    <w:next w:val="Normal"/>
    <w:link w:val="IntenseQuoteChar"/>
    <w:uiPriority w:val="30"/>
    <w:qFormat/>
    <w:rsid w:val="00E140C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140C7"/>
    <w:rPr>
      <w:i/>
      <w:iCs/>
      <w:color w:val="2F5496" w:themeColor="accent1" w:themeShade="BF"/>
    </w:rPr>
  </w:style>
  <w:style w:type="character" w:styleId="IntenseReference">
    <w:name w:val="Intense Reference"/>
    <w:basedOn w:val="DefaultParagraphFont"/>
    <w:uiPriority w:val="32"/>
    <w:qFormat/>
    <w:rsid w:val="00E140C7"/>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17</Pages>
  <Words>7082</Words>
  <Characters>40370</Characters>
  <Application>Microsoft Office Word</Application>
  <DocSecurity>0</DocSecurity>
  <Lines>336</Lines>
  <Paragraphs>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shamim khaliq</dc:creator>
  <cp:keywords/>
  <dc:description/>
  <cp:lastModifiedBy>shamim khaliq</cp:lastModifiedBy>
  <cp:revision>7</cp:revision>
  <dcterms:created xsi:type="dcterms:W3CDTF">2025-11-26T18:50:00Z</dcterms:created>
  <dcterms:modified xsi:type="dcterms:W3CDTF">2025-11-26T19:34:00Z</dcterms:modified>
</cp:coreProperties>
</file>