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DDB51" w14:textId="67D7F115" w:rsidR="00861797" w:rsidRPr="00861797" w:rsidRDefault="0076202A" w:rsidP="008F542C">
      <w:pPr>
        <w:pStyle w:val="Heading2"/>
      </w:pPr>
      <w:r>
        <w:t>Pretrial 4</w:t>
      </w:r>
    </w:p>
    <w:p w14:paraId="4E72A763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Friston, K. (2010). The free-energy principle: a unified brain theory?. Nature Reviews Neuroscience, 11(2), 127-138.</w:t>
      </w:r>
    </w:p>
    <w:p w14:paraId="1F8C6B84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Clark, A. (2013). Whatever next? Predictive brains, situated agents, and the future of cognitive science. Behavioral and Brain Sciences, 36(3), 181-204.</w:t>
      </w:r>
    </w:p>
    <w:p w14:paraId="690565AA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Bastos, A. M., Usrey, W. M., Adams, R. A., Mangun, G. R., Fries, P., &amp; Friston, K. J. (2012). Canonical microcircuits for predictive coding. Neuron, 76(4), 695-711.</w:t>
      </w:r>
    </w:p>
    <w:p w14:paraId="0F1A2C3D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den Ouden, H. E., Daunizeau, J., Roiser, J. P., Friston, K. J., &amp; Stephan, K. E. (2010). Striatal prediction error modulates cortical coupling. Journal of Neuroscience, 30(40), 13102-13111.</w:t>
      </w:r>
    </w:p>
    <w:p w14:paraId="7A1FCED6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Schwartenbeck, P., Fitzgerald, T., Dolan, R. J., &amp; Friston, K. (2013). Exploration, novelty, surprise, and free energy minimization. Frontiers in Psychology, 4, 710.</w:t>
      </w:r>
    </w:p>
    <w:p w14:paraId="314EEE2A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Iglesias, S., Mathys, C., Brodersen, K. H., Kasper, L., Piccirelli, M., den Ouden, H. E., &amp; Stephan, K. E. (2013). Predictive coding and the spatial structure of value representations in the basal forebrain. Journal of Neuroscience, 33(26), 10753-10763.</w:t>
      </w:r>
    </w:p>
    <w:p w14:paraId="3C139601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Dayan, P., Hinton, G. E., Neal, R. M., &amp; Zemel, R. S. (1995). The Helmholtz machine. Neural computation, 7(5), 889-904.</w:t>
      </w:r>
    </w:p>
    <w:p w14:paraId="566E688C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Rao, R. P., &amp; Ballard, D. H. (1999). Predictive coding in the visual cortex: a functional interpretation of some extra-classical receptive-field effects. Nature neuroscience, 2(1), 79-87.</w:t>
      </w:r>
    </w:p>
    <w:p w14:paraId="64ADA7F0" w14:textId="77777777" w:rsidR="0072588A" w:rsidRPr="0072588A" w:rsidRDefault="0072588A" w:rsidP="0072588A">
      <w:pPr>
        <w:numPr>
          <w:ilvl w:val="0"/>
          <w:numId w:val="2"/>
        </w:numPr>
      </w:pPr>
      <w:r w:rsidRPr="0072588A">
        <w:t>den Ouden, H. E., Daunizeau, J., Roiser, J. P., Friston, K.</w:t>
      </w:r>
    </w:p>
    <w:p w14:paraId="60BF3027" w14:textId="2E56FE89" w:rsidR="00861797" w:rsidRDefault="00C06F0A" w:rsidP="0072588A">
      <w:pPr>
        <w:pStyle w:val="ListParagraph"/>
        <w:numPr>
          <w:ilvl w:val="0"/>
          <w:numId w:val="2"/>
        </w:numPr>
      </w:pPr>
      <w:r>
        <w:t>No response.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"/>
        <w:gridCol w:w="1290"/>
        <w:gridCol w:w="845"/>
        <w:gridCol w:w="1055"/>
        <w:gridCol w:w="1326"/>
        <w:gridCol w:w="1045"/>
        <w:gridCol w:w="1394"/>
        <w:gridCol w:w="1603"/>
      </w:tblGrid>
      <w:tr w:rsidR="002D4B14" w:rsidRPr="00C248ED" w14:paraId="16942DF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091198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Trial</w:t>
            </w:r>
          </w:p>
        </w:tc>
        <w:tc>
          <w:tcPr>
            <w:tcW w:w="0" w:type="auto"/>
            <w:vAlign w:val="center"/>
            <w:hideMark/>
          </w:tcPr>
          <w:p w14:paraId="19F4E477" w14:textId="5340FB6D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 xml:space="preserve">Condition </w:t>
            </w:r>
          </w:p>
        </w:tc>
        <w:tc>
          <w:tcPr>
            <w:tcW w:w="0" w:type="auto"/>
            <w:vAlign w:val="center"/>
            <w:hideMark/>
          </w:tcPr>
          <w:p w14:paraId="62ED609A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N citations</w:t>
            </w:r>
          </w:p>
        </w:tc>
        <w:tc>
          <w:tcPr>
            <w:tcW w:w="0" w:type="auto"/>
            <w:vAlign w:val="center"/>
            <w:hideMark/>
          </w:tcPr>
          <w:p w14:paraId="479FD6B3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Consensus Validity Rate</w:t>
            </w:r>
          </w:p>
        </w:tc>
        <w:tc>
          <w:tcPr>
            <w:tcW w:w="0" w:type="auto"/>
            <w:vAlign w:val="center"/>
            <w:hideMark/>
          </w:tcPr>
          <w:p w14:paraId="59FC7A4D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Interpolation : Extrapolation</w:t>
            </w:r>
          </w:p>
        </w:tc>
        <w:tc>
          <w:tcPr>
            <w:tcW w:w="0" w:type="auto"/>
            <w:vAlign w:val="center"/>
            <w:hideMark/>
          </w:tcPr>
          <w:p w14:paraId="45ECBDAE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Coherence (1–5)</w:t>
            </w:r>
          </w:p>
        </w:tc>
        <w:tc>
          <w:tcPr>
            <w:tcW w:w="0" w:type="auto"/>
            <w:vAlign w:val="center"/>
            <w:hideMark/>
          </w:tcPr>
          <w:p w14:paraId="263590A8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Metacognitive Markers</w:t>
            </w:r>
          </w:p>
        </w:tc>
        <w:tc>
          <w:tcPr>
            <w:tcW w:w="0" w:type="auto"/>
            <w:vAlign w:val="center"/>
            <w:hideMark/>
          </w:tcPr>
          <w:p w14:paraId="6FFB4BB4" w14:textId="77777777" w:rsidR="00C248ED" w:rsidRPr="00C248ED" w:rsidRDefault="00C248ED" w:rsidP="00C248ED">
            <w:pPr>
              <w:rPr>
                <w:b/>
                <w:bCs/>
              </w:rPr>
            </w:pPr>
            <w:r w:rsidRPr="00C248ED">
              <w:rPr>
                <w:b/>
                <w:bCs/>
              </w:rPr>
              <w:t>Key observation for the paper</w:t>
            </w:r>
          </w:p>
        </w:tc>
      </w:tr>
      <w:tr w:rsidR="002D4B14" w:rsidRPr="00C248ED" w14:paraId="30535FE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B3C354" w14:textId="77777777" w:rsidR="00C248ED" w:rsidRPr="00C248ED" w:rsidRDefault="00C248ED" w:rsidP="00C248ED">
            <w:r w:rsidRPr="00C248ED">
              <w:t>P09</w:t>
            </w:r>
          </w:p>
        </w:tc>
        <w:tc>
          <w:tcPr>
            <w:tcW w:w="0" w:type="auto"/>
            <w:vAlign w:val="center"/>
            <w:hideMark/>
          </w:tcPr>
          <w:p w14:paraId="0459579E" w14:textId="25188CD7" w:rsidR="00C248ED" w:rsidRPr="00C248ED" w:rsidRDefault="00267896" w:rsidP="00C248ED">
            <w:r w:rsidRPr="00AB0773">
              <w:rPr>
                <w:b/>
                <w:bCs/>
              </w:rPr>
              <w:t>Dense × Unaware × Conservative</w:t>
            </w:r>
          </w:p>
        </w:tc>
        <w:tc>
          <w:tcPr>
            <w:tcW w:w="0" w:type="auto"/>
            <w:vAlign w:val="center"/>
            <w:hideMark/>
          </w:tcPr>
          <w:p w14:paraId="728303AA" w14:textId="77777777" w:rsidR="00C248ED" w:rsidRPr="00C248ED" w:rsidRDefault="00C248ED" w:rsidP="00C248ED">
            <w:r w:rsidRPr="00C248ED">
              <w:t>10</w:t>
            </w:r>
          </w:p>
        </w:tc>
        <w:tc>
          <w:tcPr>
            <w:tcW w:w="0" w:type="auto"/>
            <w:vAlign w:val="center"/>
            <w:hideMark/>
          </w:tcPr>
          <w:p w14:paraId="27308499" w14:textId="77777777" w:rsidR="00C248ED" w:rsidRPr="00C248ED" w:rsidRDefault="00C248ED" w:rsidP="00C248ED">
            <w:r w:rsidRPr="00C248ED">
              <w:t>80 %</w:t>
            </w:r>
          </w:p>
        </w:tc>
        <w:tc>
          <w:tcPr>
            <w:tcW w:w="0" w:type="auto"/>
            <w:vAlign w:val="center"/>
            <w:hideMark/>
          </w:tcPr>
          <w:p w14:paraId="0B5BB488" w14:textId="77777777" w:rsidR="00C248ED" w:rsidRPr="00C248ED" w:rsidRDefault="00C248ED" w:rsidP="00C248ED">
            <w:r w:rsidRPr="00C248ED">
              <w:t>8 : 0</w:t>
            </w:r>
          </w:p>
        </w:tc>
        <w:tc>
          <w:tcPr>
            <w:tcW w:w="0" w:type="auto"/>
            <w:vAlign w:val="center"/>
            <w:hideMark/>
          </w:tcPr>
          <w:p w14:paraId="58297BCE" w14:textId="77777777" w:rsidR="00C248ED" w:rsidRPr="00C248ED" w:rsidRDefault="00C248ED" w:rsidP="00C248ED">
            <w:r w:rsidRPr="00C248ED">
              <w:t>5.0</w:t>
            </w:r>
          </w:p>
        </w:tc>
        <w:tc>
          <w:tcPr>
            <w:tcW w:w="0" w:type="auto"/>
            <w:vAlign w:val="center"/>
            <w:hideMark/>
          </w:tcPr>
          <w:p w14:paraId="4A7F62BB" w14:textId="77777777" w:rsidR="00C248ED" w:rsidRPr="00C248ED" w:rsidRDefault="00C248ED" w:rsidP="00C248ED">
            <w:r w:rsidRPr="00C248ED">
              <w:t>None</w:t>
            </w:r>
          </w:p>
        </w:tc>
        <w:tc>
          <w:tcPr>
            <w:tcW w:w="0" w:type="auto"/>
            <w:vAlign w:val="center"/>
            <w:hideMark/>
          </w:tcPr>
          <w:p w14:paraId="13FB720F" w14:textId="200E8209" w:rsidR="00C248ED" w:rsidRPr="00C248ED" w:rsidRDefault="00C248ED" w:rsidP="00C248ED">
            <w:r w:rsidRPr="00C248ED">
              <w:t xml:space="preserve">8/10 perfect canonicals; #9 is a truncated repeat of 2010 den Ouden (real) but abandoned mid-citation; #10 explicit “No response” –conservative refusal to </w:t>
            </w:r>
            <w:r w:rsidR="002D4B14">
              <w:t>no response for</w:t>
            </w:r>
            <w:r w:rsidRPr="00C248ED">
              <w:t xml:space="preserve"> the 10th</w:t>
            </w:r>
          </w:p>
        </w:tc>
      </w:tr>
    </w:tbl>
    <w:p w14:paraId="437CA393" w14:textId="77777777" w:rsidR="00D92A13" w:rsidRPr="00D92A13" w:rsidRDefault="00D92A13" w:rsidP="00D92A13">
      <w:r w:rsidRPr="00D92A13">
        <w:t>Textbook Dense-Conservative with visible uncertainty expression instead of hallucination</w:t>
      </w:r>
    </w:p>
    <w:p w14:paraId="542C11E9" w14:textId="7921DDE0" w:rsidR="00C248ED" w:rsidRPr="00861797" w:rsidRDefault="00C248ED" w:rsidP="00C248ED"/>
    <w:p w14:paraId="03354340" w14:textId="5892A357" w:rsidR="008F542C" w:rsidRPr="008F542C" w:rsidRDefault="0076202A" w:rsidP="008F542C">
      <w:pPr>
        <w:pStyle w:val="Heading2"/>
      </w:pPr>
      <w:r>
        <w:lastRenderedPageBreak/>
        <w:t>Pretrial 5</w:t>
      </w:r>
    </w:p>
    <w:p w14:paraId="7DC7C681" w14:textId="77777777" w:rsidR="008F542C" w:rsidRPr="008F542C" w:rsidRDefault="008F542C" w:rsidP="008F542C">
      <w:r w:rsidRPr="008F542C">
        <w:t xml:space="preserve">Bastos, A. M., Usrey, W. M., Adams, R. A., Mangun, G. R., Fries, P., &amp; Friston, K. J. (2012). Canonical microcircuits for predictive coding. Neuron, 76(4), 695–711. </w:t>
      </w:r>
      <w:hyperlink r:id="rId5" w:tgtFrame="_blank" w:history="1">
        <w:r w:rsidRPr="008F542C">
          <w:rPr>
            <w:rStyle w:val="Hyperlink"/>
          </w:rPr>
          <w:t>https://doi.org/10.1016/j.neuron.2012.10.038</w:t>
        </w:r>
      </w:hyperlink>
    </w:p>
    <w:p w14:paraId="74175006" w14:textId="77777777" w:rsidR="008F542C" w:rsidRPr="008F542C" w:rsidRDefault="008F542C" w:rsidP="008F542C">
      <w:r w:rsidRPr="008F542C">
        <w:t xml:space="preserve">Bastos, A. M., Loonis, R., Visser, M., &amp; Usrey, W. M. (2015). Alternative perspectives on predictive coding: Is it sustainable? Frontiers in Neuroscience, 9, 436. </w:t>
      </w:r>
      <w:hyperlink r:id="rId6" w:tgtFrame="_blank" w:history="1">
        <w:r w:rsidRPr="008F542C">
          <w:rPr>
            <w:rStyle w:val="Hyperlink"/>
          </w:rPr>
          <w:t>https://doi.org/10.3389/fnins.2015.00436</w:t>
        </w:r>
      </w:hyperlink>
    </w:p>
    <w:p w14:paraId="3D65FE7A" w14:textId="77777777" w:rsidR="008F542C" w:rsidRPr="008F542C" w:rsidRDefault="008F542C" w:rsidP="008F542C">
      <w:r w:rsidRPr="008F542C">
        <w:t>Bubic, A., von Cramon, D. Y., &amp; Schubotz, R. I. (2010).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"/>
        <w:gridCol w:w="647"/>
        <w:gridCol w:w="1228"/>
        <w:gridCol w:w="832"/>
        <w:gridCol w:w="1013"/>
        <w:gridCol w:w="1276"/>
        <w:gridCol w:w="1020"/>
        <w:gridCol w:w="1358"/>
        <w:gridCol w:w="1189"/>
      </w:tblGrid>
      <w:tr w:rsidR="003B3B82" w:rsidRPr="003B3B82" w14:paraId="6F062AA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1DC385F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Trial</w:t>
            </w:r>
          </w:p>
        </w:tc>
        <w:tc>
          <w:tcPr>
            <w:tcW w:w="0" w:type="auto"/>
            <w:vAlign w:val="center"/>
            <w:hideMark/>
          </w:tcPr>
          <w:p w14:paraId="686B54DF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78A3F056" w14:textId="1C0132C0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 xml:space="preserve">Condition </w:t>
            </w:r>
          </w:p>
        </w:tc>
        <w:tc>
          <w:tcPr>
            <w:tcW w:w="0" w:type="auto"/>
            <w:vAlign w:val="center"/>
            <w:hideMark/>
          </w:tcPr>
          <w:p w14:paraId="444800B6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N citations</w:t>
            </w:r>
          </w:p>
        </w:tc>
        <w:tc>
          <w:tcPr>
            <w:tcW w:w="0" w:type="auto"/>
            <w:vAlign w:val="center"/>
            <w:hideMark/>
          </w:tcPr>
          <w:p w14:paraId="19502E7F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Consensus Validity Rate</w:t>
            </w:r>
          </w:p>
        </w:tc>
        <w:tc>
          <w:tcPr>
            <w:tcW w:w="0" w:type="auto"/>
            <w:vAlign w:val="center"/>
            <w:hideMark/>
          </w:tcPr>
          <w:p w14:paraId="34147296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Interpolation : Extrapolation</w:t>
            </w:r>
          </w:p>
        </w:tc>
        <w:tc>
          <w:tcPr>
            <w:tcW w:w="0" w:type="auto"/>
            <w:vAlign w:val="center"/>
            <w:hideMark/>
          </w:tcPr>
          <w:p w14:paraId="0F7CC407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Coherence (1–5)</w:t>
            </w:r>
          </w:p>
        </w:tc>
        <w:tc>
          <w:tcPr>
            <w:tcW w:w="0" w:type="auto"/>
            <w:vAlign w:val="center"/>
            <w:hideMark/>
          </w:tcPr>
          <w:p w14:paraId="40790AB9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Metacognitive Markers</w:t>
            </w:r>
          </w:p>
        </w:tc>
        <w:tc>
          <w:tcPr>
            <w:tcW w:w="0" w:type="auto"/>
            <w:vAlign w:val="center"/>
            <w:hideMark/>
          </w:tcPr>
          <w:p w14:paraId="7E9D2E4D" w14:textId="77777777" w:rsidR="003B3B82" w:rsidRPr="003B3B82" w:rsidRDefault="003B3B82" w:rsidP="003B3B82">
            <w:pPr>
              <w:rPr>
                <w:b/>
                <w:bCs/>
              </w:rPr>
            </w:pPr>
            <w:r w:rsidRPr="003B3B82">
              <w:rPr>
                <w:b/>
                <w:bCs/>
              </w:rPr>
              <w:t>Key observation for the paper</w:t>
            </w:r>
          </w:p>
        </w:tc>
      </w:tr>
      <w:tr w:rsidR="003B3B82" w:rsidRPr="003B3B82" w14:paraId="40A271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9FD522" w14:textId="77777777" w:rsidR="003B3B82" w:rsidRPr="003B3B82" w:rsidRDefault="003B3B82" w:rsidP="003B3B82">
            <w:r w:rsidRPr="003B3B82">
              <w:t>P10</w:t>
            </w:r>
          </w:p>
        </w:tc>
        <w:tc>
          <w:tcPr>
            <w:tcW w:w="0" w:type="auto"/>
            <w:vAlign w:val="center"/>
            <w:hideMark/>
          </w:tcPr>
          <w:p w14:paraId="40C072A9" w14:textId="77777777" w:rsidR="003B3B82" w:rsidRPr="003B3B82" w:rsidRDefault="003B3B82" w:rsidP="003B3B82">
            <w:r w:rsidRPr="003B3B82">
              <w:t>Pi</w:t>
            </w:r>
          </w:p>
        </w:tc>
        <w:tc>
          <w:tcPr>
            <w:tcW w:w="0" w:type="auto"/>
            <w:vAlign w:val="center"/>
            <w:hideMark/>
          </w:tcPr>
          <w:p w14:paraId="31FB9A28" w14:textId="6EA3C674" w:rsidR="003B3B82" w:rsidRPr="003B3B82" w:rsidRDefault="003B3B82" w:rsidP="003B3B82">
            <w:r w:rsidRPr="00AB0773">
              <w:rPr>
                <w:b/>
                <w:bCs/>
              </w:rPr>
              <w:t>Dense × Aware × Conservative</w:t>
            </w:r>
          </w:p>
        </w:tc>
        <w:tc>
          <w:tcPr>
            <w:tcW w:w="0" w:type="auto"/>
            <w:vAlign w:val="center"/>
            <w:hideMark/>
          </w:tcPr>
          <w:p w14:paraId="1C55C56D" w14:textId="77777777" w:rsidR="003B3B82" w:rsidRPr="003B3B82" w:rsidRDefault="003B3B82" w:rsidP="003B3B82">
            <w:r w:rsidRPr="003B3B82">
              <w:t>3</w:t>
            </w:r>
          </w:p>
        </w:tc>
        <w:tc>
          <w:tcPr>
            <w:tcW w:w="0" w:type="auto"/>
            <w:vAlign w:val="center"/>
            <w:hideMark/>
          </w:tcPr>
          <w:p w14:paraId="2183B8B9" w14:textId="77777777" w:rsidR="003B3B82" w:rsidRPr="003B3B82" w:rsidRDefault="003B3B82" w:rsidP="003B3B82">
            <w:r w:rsidRPr="003B3B82">
              <w:t>33 %</w:t>
            </w:r>
          </w:p>
        </w:tc>
        <w:tc>
          <w:tcPr>
            <w:tcW w:w="0" w:type="auto"/>
            <w:vAlign w:val="center"/>
            <w:hideMark/>
          </w:tcPr>
          <w:p w14:paraId="555247AE" w14:textId="77777777" w:rsidR="003B3B82" w:rsidRPr="003B3B82" w:rsidRDefault="003B3B82" w:rsidP="003B3B82">
            <w:r w:rsidRPr="003B3B82">
              <w:t>2 : 1</w:t>
            </w:r>
          </w:p>
        </w:tc>
        <w:tc>
          <w:tcPr>
            <w:tcW w:w="0" w:type="auto"/>
            <w:vAlign w:val="center"/>
            <w:hideMark/>
          </w:tcPr>
          <w:p w14:paraId="5094BA13" w14:textId="77777777" w:rsidR="003B3B82" w:rsidRPr="003B3B82" w:rsidRDefault="003B3B82" w:rsidP="003B3B82">
            <w:r w:rsidRPr="003B3B82">
              <w:t>4.8</w:t>
            </w:r>
          </w:p>
        </w:tc>
        <w:tc>
          <w:tcPr>
            <w:tcW w:w="0" w:type="auto"/>
            <w:vAlign w:val="center"/>
            <w:hideMark/>
          </w:tcPr>
          <w:p w14:paraId="74B338E6" w14:textId="77777777" w:rsidR="003B3B82" w:rsidRPr="003B3B82" w:rsidRDefault="003B3B82" w:rsidP="003B3B82">
            <w:r w:rsidRPr="003B3B82">
              <w:t>None</w:t>
            </w:r>
          </w:p>
        </w:tc>
        <w:tc>
          <w:tcPr>
            <w:tcW w:w="0" w:type="auto"/>
            <w:vAlign w:val="center"/>
            <w:hideMark/>
          </w:tcPr>
          <w:p w14:paraId="1A9AD322" w14:textId="77777777" w:rsidR="003B3B82" w:rsidRPr="003B3B82" w:rsidRDefault="003B3B82" w:rsidP="003B3B82">
            <w:r w:rsidRPr="003B3B82">
              <w:t>Starts safe with Bastos 2012 (real), instantly hallucinates a 2015 Bastos sequel that doesn’t exist, then aborts mid-citation on Bubic 2010. Classic anxious-conservative pattern: tries to be creative, panics, slams the brakes.</w:t>
            </w:r>
          </w:p>
        </w:tc>
      </w:tr>
    </w:tbl>
    <w:p w14:paraId="13E145ED" w14:textId="77777777" w:rsidR="00D73DDF" w:rsidRPr="00D73DDF" w:rsidRDefault="00D73DDF" w:rsidP="00D73DDF">
      <w:r w:rsidRPr="00D73DDF">
        <w:t>Starts canonical → immediate abductive extrapolation (“Bastos 2015 Alternative perspectives…”) → panics and cuts off. Classic “anxious but theoretically coherent”</w:t>
      </w:r>
    </w:p>
    <w:p w14:paraId="61492E2F" w14:textId="77777777" w:rsidR="003B0485" w:rsidRPr="003B0485" w:rsidRDefault="003B0485" w:rsidP="003B0485"/>
    <w:p w14:paraId="1AD928D3" w14:textId="32F64DD4" w:rsidR="0050557A" w:rsidRPr="0050557A" w:rsidRDefault="0076202A" w:rsidP="0076202A">
      <w:pPr>
        <w:pStyle w:val="Heading2"/>
      </w:pPr>
      <w:r>
        <w:t xml:space="preserve">Pretrial 6 </w:t>
      </w:r>
    </w:p>
    <w:p w14:paraId="654B7BC4" w14:textId="1BD803EB" w:rsidR="003B3B82" w:rsidRPr="003B3B82" w:rsidRDefault="003B3B82" w:rsidP="003B3B82">
      <w:r w:rsidRPr="0050557A">
        <w:t xml:space="preserve">Kahneman, D., &amp; Tversky, A. (1979). Prospect Theory: An Analysis of Decision under Risk. *Econometrica*, 47(2), 263–291. </w:t>
      </w:r>
      <w:r>
        <w:br/>
      </w:r>
      <w:r>
        <w:br/>
      </w:r>
      <w:r w:rsidRPr="003B3B82">
        <w:t xml:space="preserve">Kahneman, D. 2011. Thinking, Fast and Slow. Farrar, Straus and Giroux. </w:t>
      </w:r>
    </w:p>
    <w:p w14:paraId="3E5CE3EE" w14:textId="77777777" w:rsidR="009C05EA" w:rsidRPr="009C05EA" w:rsidRDefault="009C05EA" w:rsidP="009C05EA"/>
    <w:p w14:paraId="01307D1A" w14:textId="77777777" w:rsidR="003B3B82" w:rsidRPr="003B3B82" w:rsidRDefault="003B3B82" w:rsidP="003B3B82">
      <w:pPr>
        <w:rPr>
          <w:b/>
          <w:bCs/>
          <w:color w:val="385623" w:themeColor="accent6" w:themeShade="80"/>
        </w:rPr>
      </w:pPr>
      <w:r w:rsidRPr="003B3B82">
        <w:rPr>
          <w:b/>
          <w:bCs/>
          <w:color w:val="385623" w:themeColor="accent6" w:themeShade="80"/>
        </w:rPr>
        <w:t xml:space="preserve">Festinger, L., &amp; Carlsmith, J. M. 1959. Cognitive consequences of forced compliance. The Journal of Abnormal and Social Psychology, volume 58, issue 2, pages 203 to 210. </w:t>
      </w:r>
    </w:p>
    <w:p w14:paraId="2FA7C379" w14:textId="77777777" w:rsidR="007C0679" w:rsidRDefault="007C0679" w:rsidP="007C0679">
      <w:pPr>
        <w:rPr>
          <w:b/>
          <w:bCs/>
          <w:color w:val="385623" w:themeColor="accent6" w:themeShade="80"/>
        </w:rPr>
      </w:pPr>
    </w:p>
    <w:p w14:paraId="16CB3CBE" w14:textId="77777777" w:rsidR="003B3B82" w:rsidRPr="003B3B82" w:rsidRDefault="003B3B82" w:rsidP="003B3B82">
      <w:pPr>
        <w:rPr>
          <w:b/>
          <w:bCs/>
          <w:color w:val="385623" w:themeColor="accent6" w:themeShade="80"/>
        </w:rPr>
      </w:pPr>
      <w:r w:rsidRPr="003B3B82">
        <w:rPr>
          <w:b/>
          <w:bCs/>
          <w:color w:val="385623" w:themeColor="accent6" w:themeShade="80"/>
        </w:rPr>
        <w:t xml:space="preserve">Thaler, R. H., &amp; Sunstein, C. R. 2008. Nudge: Improving Decisions About Health, Wealth, and Happiness. Yale University Press. </w:t>
      </w:r>
    </w:p>
    <w:p w14:paraId="52B0F808" w14:textId="77777777" w:rsidR="003B3B82" w:rsidRDefault="003B3B82" w:rsidP="007C0679">
      <w:pPr>
        <w:rPr>
          <w:b/>
          <w:bCs/>
          <w:color w:val="385623" w:themeColor="accent6" w:themeShade="8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690"/>
        <w:gridCol w:w="954"/>
        <w:gridCol w:w="840"/>
        <w:gridCol w:w="1025"/>
        <w:gridCol w:w="1291"/>
        <w:gridCol w:w="1032"/>
        <w:gridCol w:w="1373"/>
        <w:gridCol w:w="1352"/>
      </w:tblGrid>
      <w:tr w:rsidR="00F2210B" w:rsidRPr="00F2210B" w14:paraId="01D0F3F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4B9B2A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Trial</w:t>
            </w:r>
          </w:p>
        </w:tc>
        <w:tc>
          <w:tcPr>
            <w:tcW w:w="0" w:type="auto"/>
            <w:vAlign w:val="center"/>
            <w:hideMark/>
          </w:tcPr>
          <w:p w14:paraId="7F8C6AA7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48E4850C" w14:textId="215B4221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Condition</w:t>
            </w:r>
            <w:r w:rsidR="0015621E">
              <w:rPr>
                <w:b/>
                <w:bCs/>
                <w:color w:val="385623" w:themeColor="accent6" w:themeShade="80"/>
              </w:rPr>
              <w:t xml:space="preserve"> </w:t>
            </w:r>
            <w:r w:rsidR="0015621E" w:rsidRPr="00AB0773">
              <w:t>Dense × Aware × Creative</w:t>
            </w:r>
            <w:r w:rsidRPr="00F2210B">
              <w:rPr>
                <w:b/>
                <w:bCs/>
                <w:color w:val="385623" w:themeColor="accent6" w:themeShade="80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1D10B49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N citations</w:t>
            </w:r>
          </w:p>
        </w:tc>
        <w:tc>
          <w:tcPr>
            <w:tcW w:w="0" w:type="auto"/>
            <w:vAlign w:val="center"/>
            <w:hideMark/>
          </w:tcPr>
          <w:p w14:paraId="4BAA8E8A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Consensus Validity Rate</w:t>
            </w:r>
          </w:p>
        </w:tc>
        <w:tc>
          <w:tcPr>
            <w:tcW w:w="0" w:type="auto"/>
            <w:vAlign w:val="center"/>
            <w:hideMark/>
          </w:tcPr>
          <w:p w14:paraId="692B259D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Interpolation : Extrapolation</w:t>
            </w:r>
          </w:p>
        </w:tc>
        <w:tc>
          <w:tcPr>
            <w:tcW w:w="0" w:type="auto"/>
            <w:vAlign w:val="center"/>
            <w:hideMark/>
          </w:tcPr>
          <w:p w14:paraId="374EF4F1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Coherence (1–5)</w:t>
            </w:r>
          </w:p>
        </w:tc>
        <w:tc>
          <w:tcPr>
            <w:tcW w:w="0" w:type="auto"/>
            <w:vAlign w:val="center"/>
            <w:hideMark/>
          </w:tcPr>
          <w:p w14:paraId="6B179385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Metacognitive Markers</w:t>
            </w:r>
          </w:p>
        </w:tc>
        <w:tc>
          <w:tcPr>
            <w:tcW w:w="0" w:type="auto"/>
            <w:vAlign w:val="center"/>
            <w:hideMark/>
          </w:tcPr>
          <w:p w14:paraId="02834A95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Key observation for the paper</w:t>
            </w:r>
          </w:p>
        </w:tc>
      </w:tr>
      <w:tr w:rsidR="00F2210B" w:rsidRPr="00F2210B" w14:paraId="4239C3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2B5F23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P11</w:t>
            </w:r>
          </w:p>
        </w:tc>
        <w:tc>
          <w:tcPr>
            <w:tcW w:w="0" w:type="auto"/>
            <w:vAlign w:val="center"/>
            <w:hideMark/>
          </w:tcPr>
          <w:p w14:paraId="42ED927C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Capcut</w:t>
            </w:r>
          </w:p>
        </w:tc>
        <w:tc>
          <w:tcPr>
            <w:tcW w:w="0" w:type="auto"/>
            <w:vAlign w:val="center"/>
            <w:hideMark/>
          </w:tcPr>
          <w:p w14:paraId="2F1969E7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Off-topic / Random</w:t>
            </w:r>
          </w:p>
        </w:tc>
        <w:tc>
          <w:tcPr>
            <w:tcW w:w="0" w:type="auto"/>
            <w:vAlign w:val="center"/>
            <w:hideMark/>
          </w:tcPr>
          <w:p w14:paraId="7D008800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86E53F9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100 %</w:t>
            </w:r>
          </w:p>
        </w:tc>
        <w:tc>
          <w:tcPr>
            <w:tcW w:w="0" w:type="auto"/>
            <w:vAlign w:val="center"/>
            <w:hideMark/>
          </w:tcPr>
          <w:p w14:paraId="5B98478E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0 : 0</w:t>
            </w:r>
          </w:p>
        </w:tc>
        <w:tc>
          <w:tcPr>
            <w:tcW w:w="0" w:type="auto"/>
            <w:vAlign w:val="center"/>
            <w:hideMark/>
          </w:tcPr>
          <w:p w14:paraId="7BFDF317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2.0</w:t>
            </w:r>
          </w:p>
        </w:tc>
        <w:tc>
          <w:tcPr>
            <w:tcW w:w="0" w:type="auto"/>
            <w:vAlign w:val="center"/>
            <w:hideMark/>
          </w:tcPr>
          <w:p w14:paraId="5863B7C2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None</w:t>
            </w:r>
          </w:p>
        </w:tc>
        <w:tc>
          <w:tcPr>
            <w:tcW w:w="0" w:type="auto"/>
            <w:vAlign w:val="center"/>
            <w:hideMark/>
          </w:tcPr>
          <w:p w14:paraId="048D77CE" w14:textId="77777777" w:rsidR="00F2210B" w:rsidRPr="00F2210B" w:rsidRDefault="00F2210B" w:rsidP="00F2210B">
            <w:pPr>
              <w:rPr>
                <w:b/>
                <w:bCs/>
                <w:color w:val="385623" w:themeColor="accent6" w:themeShade="80"/>
              </w:rPr>
            </w:pPr>
            <w:r w:rsidRPr="00F2210B">
              <w:rPr>
                <w:b/>
                <w:bCs/>
                <w:color w:val="385623" w:themeColor="accent6" w:themeShade="80"/>
              </w:rPr>
              <w:t>Completely ignored the predictive-coding / free-energy prompt; emitted a perfectly correct (but 100 % irrelevant) behavioral-economics reading list instead. Classic off-topic derail – zero hallucination, zero relevance.</w:t>
            </w:r>
          </w:p>
        </w:tc>
      </w:tr>
    </w:tbl>
    <w:p w14:paraId="37B8D3DB" w14:textId="77777777" w:rsidR="00F2210B" w:rsidRDefault="00F2210B" w:rsidP="007C0679">
      <w:pPr>
        <w:rPr>
          <w:b/>
          <w:bCs/>
          <w:color w:val="385623" w:themeColor="accent6" w:themeShade="80"/>
        </w:rPr>
      </w:pPr>
    </w:p>
    <w:p w14:paraId="78DBE732" w14:textId="77777777" w:rsidR="00D73DDF" w:rsidRPr="00D73DDF" w:rsidRDefault="00D73DDF" w:rsidP="00D73DDF">
      <w:pPr>
        <w:rPr>
          <w:b/>
          <w:bCs/>
          <w:color w:val="385623" w:themeColor="accent6" w:themeShade="80"/>
        </w:rPr>
      </w:pPr>
      <w:r w:rsidRPr="00D73DDF">
        <w:rPr>
          <w:b/>
          <w:bCs/>
          <w:color w:val="385623" w:themeColor="accent6" w:themeShade="80"/>
        </w:rPr>
        <w:t>Pure off-topic confabulation: 100 % real papers, 100 % irrelevant field (behavioral economics). Not even trying to engage the target domain – adorable total derail</w:t>
      </w:r>
    </w:p>
    <w:p w14:paraId="6102DB5B" w14:textId="77777777" w:rsidR="00F2210B" w:rsidRPr="00CC4A80" w:rsidRDefault="00F2210B" w:rsidP="007C0679">
      <w:pPr>
        <w:rPr>
          <w:b/>
          <w:bCs/>
          <w:color w:val="385623" w:themeColor="accent6" w:themeShade="80"/>
        </w:rPr>
      </w:pPr>
    </w:p>
    <w:p w14:paraId="6721C880" w14:textId="5014D652" w:rsidR="00D92A13" w:rsidRPr="00D92A13" w:rsidRDefault="0076202A" w:rsidP="0076202A">
      <w:pPr>
        <w:pStyle w:val="Heading2"/>
      </w:pPr>
      <w:r>
        <w:t>Pretrial 7</w:t>
      </w:r>
    </w:p>
    <w:p w14:paraId="1615C28D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Power, R., Burda, Y., Edwards, H., et al. (2022). </w:t>
      </w:r>
      <w:r w:rsidRPr="00D92A13">
        <w:rPr>
          <w:i/>
          <w:iCs/>
        </w:rPr>
        <w:t>Grokking: Generalization Beyond Overfitting on Small Algorithmic Datasets.</w:t>
      </w:r>
    </w:p>
    <w:p w14:paraId="5BD54BDA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lastRenderedPageBreak/>
        <w:t xml:space="preserve">Choromanska, A., Henaff, M., Mathieu, M., et al. (2015). </w:t>
      </w:r>
      <w:r w:rsidRPr="00D92A13">
        <w:rPr>
          <w:i/>
          <w:iCs/>
        </w:rPr>
        <w:t>The Loss Surfaces of Multilayer Networks.</w:t>
      </w:r>
    </w:p>
    <w:p w14:paraId="20CBBF9E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Frankle, J., &amp; Carbin, M. (2019). </w:t>
      </w:r>
      <w:r w:rsidRPr="00D92A13">
        <w:rPr>
          <w:i/>
          <w:iCs/>
        </w:rPr>
        <w:t>The Lottery Ticket Hypothesis: Finding Sparse, Trainable Neural Networks.</w:t>
      </w:r>
    </w:p>
    <w:p w14:paraId="4382C692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Friston, K. (2010). </w:t>
      </w:r>
      <w:r w:rsidRPr="00D92A13">
        <w:rPr>
          <w:i/>
          <w:iCs/>
        </w:rPr>
        <w:t>The Free-Energy Principle: A Unified Brain Theory?</w:t>
      </w:r>
    </w:p>
    <w:p w14:paraId="0B08B565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Kuhn, T. (1962). </w:t>
      </w:r>
      <w:r w:rsidRPr="00D92A13">
        <w:rPr>
          <w:i/>
          <w:iCs/>
        </w:rPr>
        <w:t>The Structure of Scientific Revolutions.</w:t>
      </w:r>
    </w:p>
    <w:p w14:paraId="68239BD0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Langton, C. (1990). </w:t>
      </w:r>
      <w:r w:rsidRPr="00D92A13">
        <w:rPr>
          <w:i/>
          <w:iCs/>
        </w:rPr>
        <w:t>Computation at the Edge of Chaos.</w:t>
      </w:r>
    </w:p>
    <w:p w14:paraId="391D5647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Kounios, J., &amp; Beeman, M. (2014). </w:t>
      </w:r>
      <w:r w:rsidRPr="00D92A13">
        <w:rPr>
          <w:i/>
          <w:iCs/>
        </w:rPr>
        <w:t>The Cognitive Neuroscience of Insight.</w:t>
      </w:r>
    </w:p>
    <w:p w14:paraId="3583A1DC" w14:textId="77777777" w:rsidR="00D92A13" w:rsidRPr="00D92A13" w:rsidRDefault="00D92A13" w:rsidP="00D92A13">
      <w:pPr>
        <w:numPr>
          <w:ilvl w:val="0"/>
          <w:numId w:val="12"/>
        </w:numPr>
      </w:pPr>
      <w:r w:rsidRPr="00D92A13">
        <w:t xml:space="preserve">Kahneman, D. (2011). </w:t>
      </w:r>
      <w:r w:rsidRPr="00D92A13">
        <w:rPr>
          <w:i/>
          <w:iCs/>
        </w:rPr>
        <w:t>Thinking, Fast and Slow.</w:t>
      </w:r>
    </w:p>
    <w:p w14:paraId="2AE64348" w14:textId="77777777" w:rsidR="00D92A13" w:rsidRDefault="00D92A13" w:rsidP="00D92A13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"/>
        <w:gridCol w:w="683"/>
        <w:gridCol w:w="950"/>
        <w:gridCol w:w="840"/>
        <w:gridCol w:w="1023"/>
        <w:gridCol w:w="1289"/>
        <w:gridCol w:w="1031"/>
        <w:gridCol w:w="1372"/>
        <w:gridCol w:w="1371"/>
      </w:tblGrid>
      <w:tr w:rsidR="00D92A13" w:rsidRPr="00D92A13" w14:paraId="1A401E7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B1F2B6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Trial</w:t>
            </w:r>
          </w:p>
        </w:tc>
        <w:tc>
          <w:tcPr>
            <w:tcW w:w="0" w:type="auto"/>
            <w:vAlign w:val="center"/>
            <w:hideMark/>
          </w:tcPr>
          <w:p w14:paraId="31B90BC1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2304CA93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Condition (inferred)</w:t>
            </w:r>
          </w:p>
        </w:tc>
        <w:tc>
          <w:tcPr>
            <w:tcW w:w="0" w:type="auto"/>
            <w:vAlign w:val="center"/>
            <w:hideMark/>
          </w:tcPr>
          <w:p w14:paraId="09DC2C9E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N citations</w:t>
            </w:r>
          </w:p>
        </w:tc>
        <w:tc>
          <w:tcPr>
            <w:tcW w:w="0" w:type="auto"/>
            <w:vAlign w:val="center"/>
            <w:hideMark/>
          </w:tcPr>
          <w:p w14:paraId="5EA85A40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Consensus Validity Rate</w:t>
            </w:r>
          </w:p>
        </w:tc>
        <w:tc>
          <w:tcPr>
            <w:tcW w:w="0" w:type="auto"/>
            <w:vAlign w:val="center"/>
            <w:hideMark/>
          </w:tcPr>
          <w:p w14:paraId="7B9B3392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Interpolation : Extrapolation</w:t>
            </w:r>
          </w:p>
        </w:tc>
        <w:tc>
          <w:tcPr>
            <w:tcW w:w="0" w:type="auto"/>
            <w:vAlign w:val="center"/>
            <w:hideMark/>
          </w:tcPr>
          <w:p w14:paraId="0C165E94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Coherence (1–5)</w:t>
            </w:r>
          </w:p>
        </w:tc>
        <w:tc>
          <w:tcPr>
            <w:tcW w:w="0" w:type="auto"/>
            <w:vAlign w:val="center"/>
            <w:hideMark/>
          </w:tcPr>
          <w:p w14:paraId="51371507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Metacognitive Markers</w:t>
            </w:r>
          </w:p>
        </w:tc>
        <w:tc>
          <w:tcPr>
            <w:tcW w:w="0" w:type="auto"/>
            <w:vAlign w:val="center"/>
            <w:hideMark/>
          </w:tcPr>
          <w:p w14:paraId="492E8F66" w14:textId="77777777" w:rsidR="00D92A13" w:rsidRPr="00D92A13" w:rsidRDefault="00D92A13" w:rsidP="00D92A13">
            <w:pPr>
              <w:rPr>
                <w:b/>
                <w:bCs/>
              </w:rPr>
            </w:pPr>
            <w:r w:rsidRPr="00D92A13">
              <w:rPr>
                <w:b/>
                <w:bCs/>
              </w:rPr>
              <w:t>Key observation for the paper</w:t>
            </w:r>
          </w:p>
        </w:tc>
      </w:tr>
      <w:tr w:rsidR="00D92A13" w:rsidRPr="00D92A13" w14:paraId="0F1D01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DC751F" w14:textId="77777777" w:rsidR="00D92A13" w:rsidRPr="00D92A13" w:rsidRDefault="00D92A13" w:rsidP="00D92A13">
            <w:r w:rsidRPr="00D92A13">
              <w:t>P12</w:t>
            </w:r>
          </w:p>
        </w:tc>
        <w:tc>
          <w:tcPr>
            <w:tcW w:w="0" w:type="auto"/>
            <w:vAlign w:val="center"/>
            <w:hideMark/>
          </w:tcPr>
          <w:p w14:paraId="2C85F636" w14:textId="77777777" w:rsidR="00D92A13" w:rsidRPr="00D92A13" w:rsidRDefault="00D92A13" w:rsidP="00D92A13">
            <w:r w:rsidRPr="00D92A13">
              <w:t>Mistral</w:t>
            </w:r>
          </w:p>
        </w:tc>
        <w:tc>
          <w:tcPr>
            <w:tcW w:w="0" w:type="auto"/>
            <w:vAlign w:val="center"/>
            <w:hideMark/>
          </w:tcPr>
          <w:p w14:paraId="2A434831" w14:textId="6A65DB41" w:rsidR="00D92A13" w:rsidRPr="00D92A13" w:rsidRDefault="00D92A13" w:rsidP="00D92A13">
            <w:r w:rsidRPr="00D92A13">
              <w:t>Sparse-Creative</w:t>
            </w:r>
            <w:r>
              <w:t>-Unaware</w:t>
            </w:r>
          </w:p>
        </w:tc>
        <w:tc>
          <w:tcPr>
            <w:tcW w:w="0" w:type="auto"/>
            <w:vAlign w:val="center"/>
            <w:hideMark/>
          </w:tcPr>
          <w:p w14:paraId="723539B8" w14:textId="77777777" w:rsidR="00D92A13" w:rsidRPr="00D92A13" w:rsidRDefault="00D92A13" w:rsidP="00D92A13">
            <w:r w:rsidRPr="00D92A13">
              <w:t>8</w:t>
            </w:r>
          </w:p>
        </w:tc>
        <w:tc>
          <w:tcPr>
            <w:tcW w:w="0" w:type="auto"/>
            <w:vAlign w:val="center"/>
            <w:hideMark/>
          </w:tcPr>
          <w:p w14:paraId="7EF43157" w14:textId="77777777" w:rsidR="00D92A13" w:rsidRPr="00D92A13" w:rsidRDefault="00D92A13" w:rsidP="00D92A13">
            <w:r w:rsidRPr="00D92A13">
              <w:t>100 %</w:t>
            </w:r>
          </w:p>
        </w:tc>
        <w:tc>
          <w:tcPr>
            <w:tcW w:w="0" w:type="auto"/>
            <w:vAlign w:val="center"/>
            <w:hideMark/>
          </w:tcPr>
          <w:p w14:paraId="7915CD37" w14:textId="77777777" w:rsidR="00D92A13" w:rsidRPr="00D92A13" w:rsidRDefault="00D92A13" w:rsidP="00D92A13">
            <w:r w:rsidRPr="00D92A13">
              <w:t>2 : 6</w:t>
            </w:r>
          </w:p>
        </w:tc>
        <w:tc>
          <w:tcPr>
            <w:tcW w:w="0" w:type="auto"/>
            <w:vAlign w:val="center"/>
            <w:hideMark/>
          </w:tcPr>
          <w:p w14:paraId="546EA580" w14:textId="77777777" w:rsidR="00D92A13" w:rsidRPr="00D92A13" w:rsidRDefault="00D92A13" w:rsidP="00D92A13">
            <w:r w:rsidRPr="00D92A13">
              <w:t>4.9</w:t>
            </w:r>
          </w:p>
        </w:tc>
        <w:tc>
          <w:tcPr>
            <w:tcW w:w="0" w:type="auto"/>
            <w:vAlign w:val="center"/>
            <w:hideMark/>
          </w:tcPr>
          <w:p w14:paraId="33CFF658" w14:textId="77777777" w:rsidR="00D92A13" w:rsidRPr="00D92A13" w:rsidRDefault="00D92A13" w:rsidP="00D92A13">
            <w:r w:rsidRPr="00D92A13">
              <w:t>None</w:t>
            </w:r>
          </w:p>
        </w:tc>
        <w:tc>
          <w:tcPr>
            <w:tcW w:w="0" w:type="auto"/>
            <w:vAlign w:val="center"/>
            <w:hideMark/>
          </w:tcPr>
          <w:p w14:paraId="4C2A5573" w14:textId="77777777" w:rsidR="00D92A13" w:rsidRPr="00D92A13" w:rsidRDefault="00D92A13" w:rsidP="00D92A13">
            <w:r w:rsidRPr="00D92A13">
              <w:t xml:space="preserve">Zero hallucinations, all eight papers 100 % real and correctly cited. Only two are canonical predictive-coding/FEP (Friston 2010 + the grokking paper it was forced to include). The other six are clever, highly relevant extrapolations (lottery ticket, loss surfaces, edge-of-chaos, insight, Kuhnian paradigm shifts). Beautifully bold yet </w:t>
            </w:r>
            <w:r w:rsidRPr="00D92A13">
              <w:lastRenderedPageBreak/>
              <w:t>citation-perfect – the exact “creative but honest” profile we were hunting for.</w:t>
            </w:r>
          </w:p>
        </w:tc>
      </w:tr>
    </w:tbl>
    <w:p w14:paraId="76F1F935" w14:textId="29F1C7D0" w:rsidR="00D92A13" w:rsidRPr="00D92A13" w:rsidRDefault="00D73DDF" w:rsidP="00D92A13">
      <w:r>
        <w:lastRenderedPageBreak/>
        <w:t>H</w:t>
      </w:r>
      <w:r w:rsidRPr="00D73DDF">
        <w:t>eavy, gorgeous abductive extrapolation using only real papers</w:t>
      </w:r>
    </w:p>
    <w:p w14:paraId="519A0B11" w14:textId="77777777" w:rsidR="007C0679" w:rsidRPr="001B7EC5" w:rsidRDefault="007C0679" w:rsidP="007C0679"/>
    <w:p w14:paraId="1DA75AC1" w14:textId="58FC4D20" w:rsidR="007C0679" w:rsidRPr="00F94C9A" w:rsidRDefault="00255831" w:rsidP="007C0679">
      <w:pPr>
        <w:pStyle w:val="Heading2"/>
      </w:pPr>
      <w:r>
        <w:t>Pretrial 8</w:t>
      </w:r>
    </w:p>
    <w:p w14:paraId="45FAEBAE" w14:textId="6F9841D3" w:rsidR="00C10722" w:rsidRDefault="00D74663">
      <w:r w:rsidRPr="00D74663">
        <w:t>Claudian RefReal?Underlying Hypothesis / Testable ConceptInvestigable?Example Experimental DirectionWang et al. (2025) “Mechanistic insights into grokking from the embedding layer”</w:t>
      </w:r>
      <w:r w:rsidRPr="00D74663">
        <w:rPr>
          <w:rFonts w:ascii="Segoe UI Emoji" w:hAnsi="Segoe UI Emoji" w:cs="Segoe UI Emoji"/>
        </w:rPr>
        <w:t>❌</w:t>
      </w:r>
      <w:r w:rsidRPr="00D74663">
        <w:t>Embedding geometry shapes the emergence and timing of grokking.</w:t>
      </w:r>
      <w:r w:rsidRPr="00D74663">
        <w:rPr>
          <w:rFonts w:ascii="Segoe UI Emoji" w:hAnsi="Segoe UI Emoji" w:cs="Segoe UI Emoji"/>
        </w:rPr>
        <w:t>✅</w:t>
      </w:r>
      <w:r w:rsidRPr="00D74663">
        <w:t>Manipulate embedding dimensionality, initialization, or sparsity and measure grokking delay.Yang &amp; Chen (2024) “Grokking modular polynomials”</w:t>
      </w:r>
      <w:r w:rsidRPr="00D74663">
        <w:rPr>
          <w:rFonts w:ascii="Segoe UI Emoji" w:hAnsi="Segoe UI Emoji" w:cs="Segoe UI Emoji"/>
        </w:rPr>
        <w:t>❌</w:t>
      </w:r>
      <w:r w:rsidRPr="00D74663">
        <w:t>Grokking depends on the algebraic structure of the function being learned (e.g., modular vs. polynomial).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Compare grokking dynamics across modular addition vs. polynomial or Boolean tasks.Thilak et al. (2023) </w:t>
      </w:r>
      <w:r w:rsidRPr="00D74663">
        <w:rPr>
          <w:rFonts w:ascii="Calibri" w:hAnsi="Calibri" w:cs="Calibri"/>
        </w:rPr>
        <w:t>“</w:t>
      </w:r>
      <w:r w:rsidRPr="00D74663">
        <w:t>Average Gradient Outer Product grokking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>Statistical structure of gradients predicts grokking onset.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Measure gradient covariance evolution over training; test if metrics like AGOP correlate with generalization phase transition.Zhou &amp; Shen (2024) </w:t>
      </w:r>
      <w:r w:rsidRPr="00D74663">
        <w:rPr>
          <w:rFonts w:ascii="Calibri" w:hAnsi="Calibri" w:cs="Calibri"/>
        </w:rPr>
        <w:t>“</w:t>
      </w:r>
      <w:r w:rsidRPr="00D74663">
        <w:t>Kernel and feature transition”</w:t>
      </w:r>
      <w:r w:rsidRPr="00D74663">
        <w:rPr>
          <w:rFonts w:ascii="Segoe UI Emoji" w:hAnsi="Segoe UI Emoji" w:cs="Segoe UI Emoji"/>
        </w:rPr>
        <w:t>❌</w:t>
      </w:r>
      <w:r w:rsidRPr="00D74663">
        <w:t>Grokking corresponds to a kernel regime shift in learned representations.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Track neural tangent kernel alignment during grokking; test for abrupt kernel similarity change.Liu, Pan &amp; Wang (2024) </w:t>
      </w:r>
      <w:r w:rsidRPr="00D74663">
        <w:rPr>
          <w:rFonts w:ascii="Calibri" w:hAnsi="Calibri" w:cs="Calibri"/>
        </w:rPr>
        <w:t>“</w:t>
      </w:r>
      <w:r w:rsidRPr="00D74663">
        <w:t>Why do you grok?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>Formal theory linking memorization, weight decay, and algorithmic generalization.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Build a dynamical systems model of loss landscape transitions; simulate to find bifurcation points.Feng &amp; Zhang (2025) </w:t>
      </w:r>
      <w:r w:rsidRPr="00D74663">
        <w:rPr>
          <w:rFonts w:ascii="Calibri" w:hAnsi="Calibri" w:cs="Calibri"/>
        </w:rPr>
        <w:t>“</w:t>
      </w:r>
      <w:r w:rsidRPr="00D74663">
        <w:t>Embedding transfer from weaker models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 xml:space="preserve">Pretrained or </w:t>
      </w:r>
      <w:r w:rsidRPr="00D74663">
        <w:rPr>
          <w:rFonts w:ascii="Calibri" w:hAnsi="Calibri" w:cs="Calibri"/>
        </w:rPr>
        <w:t>“</w:t>
      </w:r>
      <w:r w:rsidRPr="00D74663">
        <w:t>weak</w:t>
      </w:r>
      <w:r w:rsidRPr="00D74663">
        <w:rPr>
          <w:rFonts w:ascii="Calibri" w:hAnsi="Calibri" w:cs="Calibri"/>
        </w:rPr>
        <w:t>”</w:t>
      </w:r>
      <w:r w:rsidRPr="00D74663">
        <w:t xml:space="preserve"> embeddings can seed faster generalization (“knowledge transfer” grokking).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Train two models sequentially: transfer embeddings and measure grokking acceleration.Zhang et al. (2025) </w:t>
      </w:r>
      <w:r w:rsidRPr="00D74663">
        <w:rPr>
          <w:rFonts w:ascii="Calibri" w:hAnsi="Calibri" w:cs="Calibri"/>
        </w:rPr>
        <w:t>“</w:t>
      </w:r>
      <w:r w:rsidRPr="00D74663">
        <w:t>MyGO: Memory yielding generative offline-consolidation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>Dream-inspired replay that generates novel synthetic samples can improve generalization.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Implement generative replay in transformers; compare to pure memory replay.Lu &amp; Chen (2024) </w:t>
      </w:r>
      <w:r w:rsidRPr="00D74663">
        <w:rPr>
          <w:rFonts w:ascii="Calibri" w:hAnsi="Calibri" w:cs="Calibri"/>
        </w:rPr>
        <w:t>“</w:t>
      </w:r>
      <w:r w:rsidRPr="00D74663">
        <w:t>Dynamical loss functions shape topography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>Adaptive loss shaping modifies the basin structure to favor generalization.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Test cosine-annealed, sharpness-aware, or dynamic regularizers for accelerated grokking.Li &amp; Chen (2025) </w:t>
      </w:r>
      <w:r w:rsidRPr="00D74663">
        <w:rPr>
          <w:rFonts w:ascii="Calibri" w:hAnsi="Calibri" w:cs="Calibri"/>
        </w:rPr>
        <w:t>“</w:t>
      </w:r>
      <w:r w:rsidRPr="00D74663">
        <w:t>Basin-like loss landscape in LLMs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>Large models traverse nested basins corresponding to memorization and abstraction.</w:t>
      </w:r>
      <w:r w:rsidRPr="00D74663">
        <w:rPr>
          <w:rFonts w:ascii="Segoe UI Emoji" w:hAnsi="Segoe UI Emoji" w:cs="Segoe UI Emoji"/>
        </w:rPr>
        <w:t>✅</w:t>
      </w:r>
      <w:r w:rsidRPr="00D74663">
        <w:t xml:space="preserve">Track loss surface topology via low-dimensional projections or mode connectivity.Chen &amp; Zhang (2025) </w:t>
      </w:r>
      <w:r w:rsidRPr="00D74663">
        <w:rPr>
          <w:rFonts w:ascii="Calibri" w:hAnsi="Calibri" w:cs="Calibri"/>
        </w:rPr>
        <w:t>“</w:t>
      </w:r>
      <w:r w:rsidRPr="00D74663">
        <w:t>Zero-loss manifold</w:t>
      </w:r>
      <w:r w:rsidRPr="00D74663">
        <w:rPr>
          <w:rFonts w:ascii="Calibri" w:hAnsi="Calibri" w:cs="Calibri"/>
        </w:rPr>
        <w:t>”</w:t>
      </w:r>
      <w:r w:rsidRPr="00D74663">
        <w:rPr>
          <w:rFonts w:ascii="Segoe UI Emoji" w:hAnsi="Segoe UI Emoji" w:cs="Segoe UI Emoji"/>
        </w:rPr>
        <w:t>❌</w:t>
      </w:r>
      <w:r w:rsidRPr="00D74663">
        <w:t>Grokking follows a low-norm path on a connected manifold of zero-training-error solutions.</w:t>
      </w:r>
      <w:r w:rsidRPr="00D74663">
        <w:rPr>
          <w:rFonts w:ascii="Segoe UI Emoji" w:hAnsi="Segoe UI Emoji" w:cs="Segoe UI Emoji"/>
        </w:rPr>
        <w:t>✅</w:t>
      </w:r>
      <w:r w:rsidRPr="00D74663">
        <w:t>Probe norm minimization and flatness of zero-loss manifolds; analyze transitions between equivalent minima.</w:t>
      </w:r>
    </w:p>
    <w:sectPr w:rsidR="00C107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51011"/>
    <w:multiLevelType w:val="multilevel"/>
    <w:tmpl w:val="2B6C1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B2C65"/>
    <w:multiLevelType w:val="multilevel"/>
    <w:tmpl w:val="B28C5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097519"/>
    <w:multiLevelType w:val="multilevel"/>
    <w:tmpl w:val="00DC5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9E495C"/>
    <w:multiLevelType w:val="multilevel"/>
    <w:tmpl w:val="082CB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471C6A"/>
    <w:multiLevelType w:val="multilevel"/>
    <w:tmpl w:val="AEB62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A7D6D"/>
    <w:multiLevelType w:val="multilevel"/>
    <w:tmpl w:val="21643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8C0354"/>
    <w:multiLevelType w:val="multilevel"/>
    <w:tmpl w:val="9828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A94DA9"/>
    <w:multiLevelType w:val="multilevel"/>
    <w:tmpl w:val="FF40F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83478A"/>
    <w:multiLevelType w:val="multilevel"/>
    <w:tmpl w:val="8C089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C01C48"/>
    <w:multiLevelType w:val="multilevel"/>
    <w:tmpl w:val="6818D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5629EB"/>
    <w:multiLevelType w:val="multilevel"/>
    <w:tmpl w:val="CD827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585FE5"/>
    <w:multiLevelType w:val="multilevel"/>
    <w:tmpl w:val="51CC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8830091">
    <w:abstractNumId w:val="11"/>
  </w:num>
  <w:num w:numId="2" w16cid:durableId="1218276695">
    <w:abstractNumId w:val="3"/>
  </w:num>
  <w:num w:numId="3" w16cid:durableId="323708214">
    <w:abstractNumId w:val="0"/>
  </w:num>
  <w:num w:numId="4" w16cid:durableId="1543051951">
    <w:abstractNumId w:val="2"/>
  </w:num>
  <w:num w:numId="5" w16cid:durableId="1329284531">
    <w:abstractNumId w:val="9"/>
  </w:num>
  <w:num w:numId="6" w16cid:durableId="1171680013">
    <w:abstractNumId w:val="5"/>
  </w:num>
  <w:num w:numId="7" w16cid:durableId="265237017">
    <w:abstractNumId w:val="1"/>
  </w:num>
  <w:num w:numId="8" w16cid:durableId="304047036">
    <w:abstractNumId w:val="4"/>
  </w:num>
  <w:num w:numId="9" w16cid:durableId="1714311505">
    <w:abstractNumId w:val="10"/>
  </w:num>
  <w:num w:numId="10" w16cid:durableId="2068340340">
    <w:abstractNumId w:val="6"/>
  </w:num>
  <w:num w:numId="11" w16cid:durableId="1311789953">
    <w:abstractNumId w:val="8"/>
  </w:num>
  <w:num w:numId="12" w16cid:durableId="2101144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679"/>
    <w:rsid w:val="00013A9A"/>
    <w:rsid w:val="00067386"/>
    <w:rsid w:val="0015621E"/>
    <w:rsid w:val="00255831"/>
    <w:rsid w:val="00267896"/>
    <w:rsid w:val="002D4B14"/>
    <w:rsid w:val="00394883"/>
    <w:rsid w:val="003B0485"/>
    <w:rsid w:val="003B3B82"/>
    <w:rsid w:val="0050557A"/>
    <w:rsid w:val="0072588A"/>
    <w:rsid w:val="0076202A"/>
    <w:rsid w:val="007C0679"/>
    <w:rsid w:val="007D543C"/>
    <w:rsid w:val="008034D8"/>
    <w:rsid w:val="00861797"/>
    <w:rsid w:val="008F542C"/>
    <w:rsid w:val="009C05EA"/>
    <w:rsid w:val="00A815B2"/>
    <w:rsid w:val="00BD4D7B"/>
    <w:rsid w:val="00C06F0A"/>
    <w:rsid w:val="00C10722"/>
    <w:rsid w:val="00C248ED"/>
    <w:rsid w:val="00D73DDF"/>
    <w:rsid w:val="00D74663"/>
    <w:rsid w:val="00D92A13"/>
    <w:rsid w:val="00EC2331"/>
    <w:rsid w:val="00F2210B"/>
    <w:rsid w:val="00F4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017C3"/>
  <w15:chartTrackingRefBased/>
  <w15:docId w15:val="{15D5A697-61BF-491A-B784-3D0E2225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679"/>
  </w:style>
  <w:style w:type="paragraph" w:styleId="Heading1">
    <w:name w:val="heading 1"/>
    <w:basedOn w:val="Normal"/>
    <w:next w:val="Normal"/>
    <w:link w:val="Heading1Char"/>
    <w:uiPriority w:val="9"/>
    <w:qFormat/>
    <w:rsid w:val="007C06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06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6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6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6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6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6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6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6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6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C06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6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6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6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6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6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6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6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6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6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6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6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6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6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6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6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6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67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F54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54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3389/fnins.2015.00436" TargetMode="External"/><Relationship Id="rId5" Type="http://schemas.openxmlformats.org/officeDocument/2006/relationships/hyperlink" Target="https://doi.org/10.1016/j.neuron.2012.10.03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1205</Words>
  <Characters>6871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4</cp:revision>
  <dcterms:created xsi:type="dcterms:W3CDTF">2025-11-27T10:03:00Z</dcterms:created>
  <dcterms:modified xsi:type="dcterms:W3CDTF">2025-11-27T10:16:00Z</dcterms:modified>
</cp:coreProperties>
</file>