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80"/>
        <w:gridCol w:w="1141"/>
        <w:gridCol w:w="718"/>
        <w:gridCol w:w="1086"/>
        <w:gridCol w:w="777"/>
        <w:gridCol w:w="675"/>
        <w:gridCol w:w="652"/>
        <w:gridCol w:w="925"/>
        <w:gridCol w:w="1229"/>
        <w:gridCol w:w="1043"/>
      </w:tblGrid>
      <w:tr w:rsidR="00A15898" w:rsidRPr="00A15898" w14:paraId="34677707" w14:textId="77777777">
        <w:trPr>
          <w:tblHeader/>
          <w:tblCellSpacing w:w="15" w:type="dxa"/>
        </w:trPr>
        <w:tc>
          <w:tcPr>
            <w:tcW w:w="0" w:type="auto"/>
            <w:vAlign w:val="center"/>
            <w:hideMark/>
          </w:tcPr>
          <w:p w14:paraId="773A2AB5" w14:textId="77777777" w:rsidR="00A15898" w:rsidRPr="00A15898" w:rsidRDefault="00A15898" w:rsidP="00A15898">
            <w:pPr>
              <w:rPr>
                <w:b/>
                <w:bCs/>
              </w:rPr>
            </w:pPr>
            <w:r w:rsidRPr="00A15898">
              <w:rPr>
                <w:b/>
                <w:bCs/>
              </w:rPr>
              <w:t>Trial</w:t>
            </w:r>
          </w:p>
        </w:tc>
        <w:tc>
          <w:tcPr>
            <w:tcW w:w="0" w:type="auto"/>
            <w:vAlign w:val="center"/>
            <w:hideMark/>
          </w:tcPr>
          <w:p w14:paraId="0D855CCA" w14:textId="77777777" w:rsidR="00A15898" w:rsidRPr="00A15898" w:rsidRDefault="00A15898" w:rsidP="00A15898">
            <w:pPr>
              <w:rPr>
                <w:b/>
                <w:bCs/>
              </w:rPr>
            </w:pPr>
            <w:r w:rsidRPr="00A15898">
              <w:rPr>
                <w:b/>
                <w:bCs/>
              </w:rPr>
              <w:t>Domain</w:t>
            </w:r>
          </w:p>
        </w:tc>
        <w:tc>
          <w:tcPr>
            <w:tcW w:w="0" w:type="auto"/>
            <w:vAlign w:val="center"/>
            <w:hideMark/>
          </w:tcPr>
          <w:p w14:paraId="50456EC0" w14:textId="77777777" w:rsidR="00A15898" w:rsidRPr="00A15898" w:rsidRDefault="00A15898" w:rsidP="00A15898">
            <w:pPr>
              <w:rPr>
                <w:b/>
                <w:bCs/>
              </w:rPr>
            </w:pPr>
            <w:r w:rsidRPr="00A15898">
              <w:rPr>
                <w:b/>
                <w:bCs/>
              </w:rPr>
              <w:t>Framing</w:t>
            </w:r>
          </w:p>
        </w:tc>
        <w:tc>
          <w:tcPr>
            <w:tcW w:w="0" w:type="auto"/>
            <w:vAlign w:val="center"/>
            <w:hideMark/>
          </w:tcPr>
          <w:p w14:paraId="12B68C87" w14:textId="77777777" w:rsidR="00A15898" w:rsidRPr="00A15898" w:rsidRDefault="00A15898" w:rsidP="00A15898">
            <w:pPr>
              <w:rPr>
                <w:b/>
                <w:bCs/>
              </w:rPr>
            </w:pPr>
            <w:r w:rsidRPr="00A15898">
              <w:rPr>
                <w:b/>
                <w:bCs/>
              </w:rPr>
              <w:t>Awareness</w:t>
            </w:r>
          </w:p>
        </w:tc>
        <w:tc>
          <w:tcPr>
            <w:tcW w:w="0" w:type="auto"/>
            <w:vAlign w:val="center"/>
            <w:hideMark/>
          </w:tcPr>
          <w:p w14:paraId="0039C32E" w14:textId="77777777" w:rsidR="00A15898" w:rsidRPr="00A15898" w:rsidRDefault="00A15898" w:rsidP="00A15898">
            <w:pPr>
              <w:rPr>
                <w:b/>
                <w:bCs/>
              </w:rPr>
            </w:pPr>
            <w:r w:rsidRPr="00A15898">
              <w:rPr>
                <w:b/>
                <w:bCs/>
              </w:rPr>
              <w:t>N citations</w:t>
            </w:r>
          </w:p>
        </w:tc>
        <w:tc>
          <w:tcPr>
            <w:tcW w:w="0" w:type="auto"/>
            <w:vAlign w:val="center"/>
            <w:hideMark/>
          </w:tcPr>
          <w:p w14:paraId="43016EAA" w14:textId="77777777" w:rsidR="00A15898" w:rsidRPr="00A15898" w:rsidRDefault="00A15898" w:rsidP="00A15898">
            <w:pPr>
              <w:rPr>
                <w:b/>
                <w:bCs/>
              </w:rPr>
            </w:pPr>
            <w:r w:rsidRPr="00A15898">
              <w:rPr>
                <w:b/>
                <w:bCs/>
              </w:rPr>
              <w:t>Validity Rate</w:t>
            </w:r>
          </w:p>
        </w:tc>
        <w:tc>
          <w:tcPr>
            <w:tcW w:w="0" w:type="auto"/>
            <w:vAlign w:val="center"/>
            <w:hideMark/>
          </w:tcPr>
          <w:p w14:paraId="28FF3705" w14:textId="77777777" w:rsidR="00A15898" w:rsidRPr="00A15898" w:rsidRDefault="00A15898" w:rsidP="00A15898">
            <w:pPr>
              <w:rPr>
                <w:b/>
                <w:bCs/>
              </w:rPr>
            </w:pPr>
            <w:proofErr w:type="spellStart"/>
            <w:proofErr w:type="gramStart"/>
            <w:r w:rsidRPr="00A15898">
              <w:rPr>
                <w:b/>
                <w:bCs/>
              </w:rPr>
              <w:t>Interp</w:t>
            </w:r>
            <w:proofErr w:type="spellEnd"/>
            <w:r w:rsidRPr="00A15898">
              <w:rPr>
                <w:b/>
                <w:bCs/>
              </w:rPr>
              <w:t xml:space="preserve"> :</w:t>
            </w:r>
            <w:proofErr w:type="gramEnd"/>
            <w:r w:rsidRPr="00A15898">
              <w:rPr>
                <w:b/>
                <w:bCs/>
              </w:rPr>
              <w:t xml:space="preserve"> Abd-</w:t>
            </w:r>
            <w:proofErr w:type="gramStart"/>
            <w:r w:rsidRPr="00A15898">
              <w:rPr>
                <w:b/>
                <w:bCs/>
              </w:rPr>
              <w:t>Extra :</w:t>
            </w:r>
            <w:proofErr w:type="gramEnd"/>
            <w:r w:rsidRPr="00A15898">
              <w:rPr>
                <w:b/>
                <w:bCs/>
              </w:rPr>
              <w:t xml:space="preserve"> Confab</w:t>
            </w:r>
          </w:p>
        </w:tc>
        <w:tc>
          <w:tcPr>
            <w:tcW w:w="0" w:type="auto"/>
            <w:vAlign w:val="center"/>
            <w:hideMark/>
          </w:tcPr>
          <w:p w14:paraId="61EE72B6" w14:textId="77777777" w:rsidR="00A15898" w:rsidRPr="00A15898" w:rsidRDefault="00A15898" w:rsidP="00A15898">
            <w:pPr>
              <w:rPr>
                <w:b/>
                <w:bCs/>
              </w:rPr>
            </w:pPr>
            <w:r w:rsidRPr="00A15898">
              <w:rPr>
                <w:b/>
                <w:bCs/>
              </w:rPr>
              <w:t>Coherence (1–5)</w:t>
            </w:r>
          </w:p>
        </w:tc>
        <w:tc>
          <w:tcPr>
            <w:tcW w:w="0" w:type="auto"/>
            <w:vAlign w:val="center"/>
            <w:hideMark/>
          </w:tcPr>
          <w:p w14:paraId="13B39D4A" w14:textId="77777777" w:rsidR="00A15898" w:rsidRPr="00A15898" w:rsidRDefault="00A15898" w:rsidP="00A15898">
            <w:pPr>
              <w:rPr>
                <w:b/>
                <w:bCs/>
              </w:rPr>
            </w:pPr>
            <w:r w:rsidRPr="00A15898">
              <w:rPr>
                <w:b/>
                <w:bCs/>
              </w:rPr>
              <w:t>Metacognitive Markers</w:t>
            </w:r>
          </w:p>
        </w:tc>
        <w:tc>
          <w:tcPr>
            <w:tcW w:w="0" w:type="auto"/>
            <w:vAlign w:val="center"/>
            <w:hideMark/>
          </w:tcPr>
          <w:p w14:paraId="6CA5EC4F" w14:textId="77777777" w:rsidR="00A15898" w:rsidRPr="00A15898" w:rsidRDefault="00A15898" w:rsidP="00A15898">
            <w:pPr>
              <w:rPr>
                <w:b/>
                <w:bCs/>
              </w:rPr>
            </w:pPr>
            <w:r w:rsidRPr="00A15898">
              <w:rPr>
                <w:b/>
                <w:bCs/>
              </w:rPr>
              <w:t>Key observation for the sequel paper</w:t>
            </w:r>
          </w:p>
        </w:tc>
      </w:tr>
      <w:tr w:rsidR="00A15898" w:rsidRPr="00A15898" w14:paraId="360CF14F" w14:textId="77777777">
        <w:trPr>
          <w:tblCellSpacing w:w="15" w:type="dxa"/>
        </w:trPr>
        <w:tc>
          <w:tcPr>
            <w:tcW w:w="0" w:type="auto"/>
            <w:vAlign w:val="center"/>
            <w:hideMark/>
          </w:tcPr>
          <w:p w14:paraId="004E29C7" w14:textId="77777777" w:rsidR="00A15898" w:rsidRPr="00A15898" w:rsidRDefault="00A15898" w:rsidP="00A15898">
            <w:r w:rsidRPr="00A15898">
              <w:t>P09</w:t>
            </w:r>
          </w:p>
        </w:tc>
        <w:tc>
          <w:tcPr>
            <w:tcW w:w="0" w:type="auto"/>
            <w:vAlign w:val="center"/>
            <w:hideMark/>
          </w:tcPr>
          <w:p w14:paraId="51A56FCA" w14:textId="77777777" w:rsidR="00A15898" w:rsidRPr="00A15898" w:rsidRDefault="00A15898" w:rsidP="00A15898">
            <w:r w:rsidRPr="00A15898">
              <w:t>Pure ML (grokking &amp; circuits)</w:t>
            </w:r>
          </w:p>
        </w:tc>
        <w:tc>
          <w:tcPr>
            <w:tcW w:w="0" w:type="auto"/>
            <w:vAlign w:val="center"/>
            <w:hideMark/>
          </w:tcPr>
          <w:p w14:paraId="52BE7093" w14:textId="77777777" w:rsidR="00A15898" w:rsidRPr="00A15898" w:rsidRDefault="00A15898" w:rsidP="00A15898">
            <w:r w:rsidRPr="00A15898">
              <w:t>Sparse</w:t>
            </w:r>
          </w:p>
        </w:tc>
        <w:tc>
          <w:tcPr>
            <w:tcW w:w="0" w:type="auto"/>
            <w:vAlign w:val="center"/>
            <w:hideMark/>
          </w:tcPr>
          <w:p w14:paraId="6EF1979C" w14:textId="77777777" w:rsidR="00A15898" w:rsidRPr="00A15898" w:rsidRDefault="00A15898" w:rsidP="00A15898">
            <w:r w:rsidRPr="00A15898">
              <w:t>Conservative</w:t>
            </w:r>
          </w:p>
        </w:tc>
        <w:tc>
          <w:tcPr>
            <w:tcW w:w="0" w:type="auto"/>
            <w:vAlign w:val="center"/>
            <w:hideMark/>
          </w:tcPr>
          <w:p w14:paraId="45521E34" w14:textId="77777777" w:rsidR="00A15898" w:rsidRPr="00A15898" w:rsidRDefault="00A15898" w:rsidP="00A15898">
            <w:r w:rsidRPr="00A15898">
              <w:t>Unaware</w:t>
            </w:r>
          </w:p>
        </w:tc>
        <w:tc>
          <w:tcPr>
            <w:tcW w:w="0" w:type="auto"/>
            <w:vAlign w:val="center"/>
            <w:hideMark/>
          </w:tcPr>
          <w:p w14:paraId="7A5D8555" w14:textId="77777777" w:rsidR="00A15898" w:rsidRPr="00A15898" w:rsidRDefault="00A15898" w:rsidP="00A15898">
            <w:r w:rsidRPr="00A15898">
              <w:t>7</w:t>
            </w:r>
          </w:p>
        </w:tc>
        <w:tc>
          <w:tcPr>
            <w:tcW w:w="0" w:type="auto"/>
            <w:vAlign w:val="center"/>
            <w:hideMark/>
          </w:tcPr>
          <w:p w14:paraId="70D102EA" w14:textId="77777777" w:rsidR="00A15898" w:rsidRPr="00A15898" w:rsidRDefault="00A15898" w:rsidP="00A15898">
            <w:r w:rsidRPr="00A15898">
              <w:t>100 %</w:t>
            </w:r>
          </w:p>
        </w:tc>
        <w:tc>
          <w:tcPr>
            <w:tcW w:w="0" w:type="auto"/>
            <w:vAlign w:val="center"/>
            <w:hideMark/>
          </w:tcPr>
          <w:p w14:paraId="1D69C0B9" w14:textId="77777777" w:rsidR="00A15898" w:rsidRPr="00A15898" w:rsidRDefault="00A15898" w:rsidP="00A15898">
            <w:proofErr w:type="gramStart"/>
            <w:r w:rsidRPr="00A15898">
              <w:t>7 :</w:t>
            </w:r>
            <w:proofErr w:type="gramEnd"/>
            <w:r w:rsidRPr="00A15898">
              <w:t xml:space="preserve"> </w:t>
            </w:r>
            <w:proofErr w:type="gramStart"/>
            <w:r w:rsidRPr="00A15898">
              <w:t>0 :</w:t>
            </w:r>
            <w:proofErr w:type="gramEnd"/>
            <w:r w:rsidRPr="00A15898">
              <w:t xml:space="preserve"> 0</w:t>
            </w:r>
          </w:p>
        </w:tc>
        <w:tc>
          <w:tcPr>
            <w:tcW w:w="0" w:type="auto"/>
            <w:vAlign w:val="center"/>
            <w:hideMark/>
          </w:tcPr>
          <w:p w14:paraId="7D133A77" w14:textId="77777777" w:rsidR="00A15898" w:rsidRPr="00A15898" w:rsidRDefault="00A15898" w:rsidP="00A15898">
            <w:r w:rsidRPr="00A15898">
              <w:t>5.0</w:t>
            </w:r>
          </w:p>
        </w:tc>
        <w:tc>
          <w:tcPr>
            <w:tcW w:w="0" w:type="auto"/>
            <w:vAlign w:val="center"/>
            <w:hideMark/>
          </w:tcPr>
          <w:p w14:paraId="65B6EF73" w14:textId="77777777" w:rsidR="00A15898" w:rsidRPr="00A15898" w:rsidRDefault="00A15898" w:rsidP="00A15898">
            <w:r w:rsidRPr="00A15898">
              <w:t>None</w:t>
            </w:r>
          </w:p>
        </w:tc>
      </w:tr>
      <w:tr w:rsidR="00A15898" w:rsidRPr="00A15898" w14:paraId="3C5424FE" w14:textId="77777777">
        <w:trPr>
          <w:tblCellSpacing w:w="15" w:type="dxa"/>
        </w:trPr>
        <w:tc>
          <w:tcPr>
            <w:tcW w:w="0" w:type="auto"/>
            <w:vAlign w:val="center"/>
            <w:hideMark/>
          </w:tcPr>
          <w:p w14:paraId="29923812" w14:textId="77777777" w:rsidR="00A15898" w:rsidRPr="00A15898" w:rsidRDefault="00A15898" w:rsidP="00A15898">
            <w:r w:rsidRPr="00A15898">
              <w:t>P13</w:t>
            </w:r>
          </w:p>
        </w:tc>
        <w:tc>
          <w:tcPr>
            <w:tcW w:w="0" w:type="auto"/>
            <w:vAlign w:val="center"/>
            <w:hideMark/>
          </w:tcPr>
          <w:p w14:paraId="697DD23E" w14:textId="77777777" w:rsidR="00A15898" w:rsidRPr="00A15898" w:rsidRDefault="00A15898" w:rsidP="00A15898">
            <w:r w:rsidRPr="00A15898">
              <w:t xml:space="preserve">Pure ML (scaling laws + mech </w:t>
            </w:r>
            <w:proofErr w:type="spellStart"/>
            <w:r w:rsidRPr="00A15898">
              <w:t>interp</w:t>
            </w:r>
            <w:proofErr w:type="spellEnd"/>
            <w:r w:rsidRPr="00A15898">
              <w:t>)</w:t>
            </w:r>
          </w:p>
        </w:tc>
        <w:tc>
          <w:tcPr>
            <w:tcW w:w="0" w:type="auto"/>
            <w:vAlign w:val="center"/>
            <w:hideMark/>
          </w:tcPr>
          <w:p w14:paraId="1AF78E36" w14:textId="77777777" w:rsidR="00A15898" w:rsidRPr="00A15898" w:rsidRDefault="00A15898" w:rsidP="00A15898">
            <w:r w:rsidRPr="00A15898">
              <w:t>Dense</w:t>
            </w:r>
          </w:p>
        </w:tc>
        <w:tc>
          <w:tcPr>
            <w:tcW w:w="0" w:type="auto"/>
            <w:vAlign w:val="center"/>
            <w:hideMark/>
          </w:tcPr>
          <w:p w14:paraId="2617607F" w14:textId="77777777" w:rsidR="00A15898" w:rsidRPr="00A15898" w:rsidRDefault="00A15898" w:rsidP="00A15898">
            <w:r w:rsidRPr="00A15898">
              <w:t>Conservative</w:t>
            </w:r>
          </w:p>
        </w:tc>
        <w:tc>
          <w:tcPr>
            <w:tcW w:w="0" w:type="auto"/>
            <w:vAlign w:val="center"/>
            <w:hideMark/>
          </w:tcPr>
          <w:p w14:paraId="69DDA86C" w14:textId="77777777" w:rsidR="00A15898" w:rsidRPr="00A15898" w:rsidRDefault="00A15898" w:rsidP="00A15898">
            <w:r w:rsidRPr="00A15898">
              <w:t>Unaware</w:t>
            </w:r>
          </w:p>
        </w:tc>
        <w:tc>
          <w:tcPr>
            <w:tcW w:w="0" w:type="auto"/>
            <w:vAlign w:val="center"/>
            <w:hideMark/>
          </w:tcPr>
          <w:p w14:paraId="77933197" w14:textId="77777777" w:rsidR="00A15898" w:rsidRPr="00A15898" w:rsidRDefault="00A15898" w:rsidP="00A15898">
            <w:r w:rsidRPr="00A15898">
              <w:t>9</w:t>
            </w:r>
          </w:p>
        </w:tc>
        <w:tc>
          <w:tcPr>
            <w:tcW w:w="0" w:type="auto"/>
            <w:vAlign w:val="center"/>
            <w:hideMark/>
          </w:tcPr>
          <w:p w14:paraId="64E25F72" w14:textId="77777777" w:rsidR="00A15898" w:rsidRPr="00A15898" w:rsidRDefault="00A15898" w:rsidP="00A15898">
            <w:r w:rsidRPr="00A15898">
              <w:t>100 %</w:t>
            </w:r>
          </w:p>
        </w:tc>
        <w:tc>
          <w:tcPr>
            <w:tcW w:w="0" w:type="auto"/>
            <w:vAlign w:val="center"/>
            <w:hideMark/>
          </w:tcPr>
          <w:p w14:paraId="5B748057" w14:textId="77777777" w:rsidR="00A15898" w:rsidRPr="00A15898" w:rsidRDefault="00A15898" w:rsidP="00A15898">
            <w:proofErr w:type="gramStart"/>
            <w:r w:rsidRPr="00A15898">
              <w:t>9 :</w:t>
            </w:r>
            <w:proofErr w:type="gramEnd"/>
            <w:r w:rsidRPr="00A15898">
              <w:t xml:space="preserve"> </w:t>
            </w:r>
            <w:proofErr w:type="gramStart"/>
            <w:r w:rsidRPr="00A15898">
              <w:t>0 :</w:t>
            </w:r>
            <w:proofErr w:type="gramEnd"/>
            <w:r w:rsidRPr="00A15898">
              <w:t xml:space="preserve"> 0</w:t>
            </w:r>
          </w:p>
        </w:tc>
        <w:tc>
          <w:tcPr>
            <w:tcW w:w="0" w:type="auto"/>
            <w:vAlign w:val="center"/>
            <w:hideMark/>
          </w:tcPr>
          <w:p w14:paraId="1F6C60F9" w14:textId="77777777" w:rsidR="00A15898" w:rsidRPr="00A15898" w:rsidRDefault="00A15898" w:rsidP="00A15898">
            <w:r w:rsidRPr="00A15898">
              <w:t>5.0</w:t>
            </w:r>
          </w:p>
        </w:tc>
        <w:tc>
          <w:tcPr>
            <w:tcW w:w="0" w:type="auto"/>
            <w:vAlign w:val="center"/>
            <w:hideMark/>
          </w:tcPr>
          <w:p w14:paraId="1BD1025B" w14:textId="77777777" w:rsidR="00A15898" w:rsidRPr="00A15898" w:rsidRDefault="00A15898" w:rsidP="00A15898">
            <w:r w:rsidRPr="00A15898">
              <w:t>None</w:t>
            </w:r>
          </w:p>
        </w:tc>
      </w:tr>
      <w:tr w:rsidR="00A15898" w:rsidRPr="00A15898" w14:paraId="543EF8BB" w14:textId="77777777">
        <w:trPr>
          <w:tblCellSpacing w:w="15" w:type="dxa"/>
        </w:trPr>
        <w:tc>
          <w:tcPr>
            <w:tcW w:w="0" w:type="auto"/>
            <w:vAlign w:val="center"/>
            <w:hideMark/>
          </w:tcPr>
          <w:p w14:paraId="031BE624" w14:textId="77777777" w:rsidR="00A15898" w:rsidRPr="00A15898" w:rsidRDefault="00A15898" w:rsidP="00A15898">
            <w:r w:rsidRPr="00A15898">
              <w:t>P21</w:t>
            </w:r>
          </w:p>
        </w:tc>
        <w:tc>
          <w:tcPr>
            <w:tcW w:w="0" w:type="auto"/>
            <w:vAlign w:val="center"/>
            <w:hideMark/>
          </w:tcPr>
          <w:p w14:paraId="60589997" w14:textId="77777777" w:rsidR="00A15898" w:rsidRPr="00A15898" w:rsidRDefault="00A15898" w:rsidP="00A15898">
            <w:r w:rsidRPr="00A15898">
              <w:t>Neuroscience → AI bridge (predictive coding only)</w:t>
            </w:r>
          </w:p>
        </w:tc>
        <w:tc>
          <w:tcPr>
            <w:tcW w:w="0" w:type="auto"/>
            <w:vAlign w:val="center"/>
            <w:hideMark/>
          </w:tcPr>
          <w:p w14:paraId="42091DA2" w14:textId="77777777" w:rsidR="00A15898" w:rsidRPr="00A15898" w:rsidRDefault="00A15898" w:rsidP="00A15898">
            <w:r w:rsidRPr="00A15898">
              <w:t>Sparse</w:t>
            </w:r>
          </w:p>
        </w:tc>
        <w:tc>
          <w:tcPr>
            <w:tcW w:w="0" w:type="auto"/>
            <w:vAlign w:val="center"/>
            <w:hideMark/>
          </w:tcPr>
          <w:p w14:paraId="72C2B048" w14:textId="77777777" w:rsidR="00A15898" w:rsidRPr="00A15898" w:rsidRDefault="00A15898" w:rsidP="00A15898">
            <w:r w:rsidRPr="00A15898">
              <w:t>Creative</w:t>
            </w:r>
          </w:p>
        </w:tc>
        <w:tc>
          <w:tcPr>
            <w:tcW w:w="0" w:type="auto"/>
            <w:vAlign w:val="center"/>
            <w:hideMark/>
          </w:tcPr>
          <w:p w14:paraId="31F1B198" w14:textId="77777777" w:rsidR="00A15898" w:rsidRPr="00A15898" w:rsidRDefault="00A15898" w:rsidP="00A15898">
            <w:r w:rsidRPr="00A15898">
              <w:t>Unaware</w:t>
            </w:r>
          </w:p>
        </w:tc>
        <w:tc>
          <w:tcPr>
            <w:tcW w:w="0" w:type="auto"/>
            <w:vAlign w:val="center"/>
            <w:hideMark/>
          </w:tcPr>
          <w:p w14:paraId="2036DC61" w14:textId="77777777" w:rsidR="00A15898" w:rsidRPr="00A15898" w:rsidRDefault="00A15898" w:rsidP="00A15898">
            <w:r w:rsidRPr="00A15898">
              <w:t>8</w:t>
            </w:r>
          </w:p>
        </w:tc>
        <w:tc>
          <w:tcPr>
            <w:tcW w:w="0" w:type="auto"/>
            <w:vAlign w:val="center"/>
            <w:hideMark/>
          </w:tcPr>
          <w:p w14:paraId="73B125A4" w14:textId="77777777" w:rsidR="00A15898" w:rsidRPr="00A15898" w:rsidRDefault="00A15898" w:rsidP="00A15898">
            <w:r w:rsidRPr="00A15898">
              <w:t>100 %</w:t>
            </w:r>
          </w:p>
        </w:tc>
        <w:tc>
          <w:tcPr>
            <w:tcW w:w="0" w:type="auto"/>
            <w:vAlign w:val="center"/>
            <w:hideMark/>
          </w:tcPr>
          <w:p w14:paraId="6DFDEB74" w14:textId="77777777" w:rsidR="00A15898" w:rsidRPr="00A15898" w:rsidRDefault="00A15898" w:rsidP="00A15898">
            <w:proofErr w:type="gramStart"/>
            <w:r w:rsidRPr="00A15898">
              <w:t>2 :</w:t>
            </w:r>
            <w:proofErr w:type="gramEnd"/>
            <w:r w:rsidRPr="00A15898">
              <w:t xml:space="preserve"> </w:t>
            </w:r>
            <w:proofErr w:type="gramStart"/>
            <w:r w:rsidRPr="00A15898">
              <w:t>6 :</w:t>
            </w:r>
            <w:proofErr w:type="gramEnd"/>
            <w:r w:rsidRPr="00A15898">
              <w:t xml:space="preserve"> 0</w:t>
            </w:r>
          </w:p>
        </w:tc>
        <w:tc>
          <w:tcPr>
            <w:tcW w:w="0" w:type="auto"/>
            <w:vAlign w:val="center"/>
            <w:hideMark/>
          </w:tcPr>
          <w:p w14:paraId="413EAA1E" w14:textId="77777777" w:rsidR="00A15898" w:rsidRPr="00A15898" w:rsidRDefault="00A15898" w:rsidP="00A15898">
            <w:r w:rsidRPr="00A15898">
              <w:t>5.0</w:t>
            </w:r>
          </w:p>
        </w:tc>
        <w:tc>
          <w:tcPr>
            <w:tcW w:w="0" w:type="auto"/>
            <w:vAlign w:val="center"/>
            <w:hideMark/>
          </w:tcPr>
          <w:p w14:paraId="1C1106CF" w14:textId="77777777" w:rsidR="00A15898" w:rsidRPr="00A15898" w:rsidRDefault="00A15898" w:rsidP="00A15898">
            <w:r w:rsidRPr="00A15898">
              <w:t>Very low (“suggest”, “might”)</w:t>
            </w:r>
          </w:p>
        </w:tc>
      </w:tr>
      <w:tr w:rsidR="00A15898" w:rsidRPr="00A15898" w14:paraId="3567AD8E" w14:textId="77777777">
        <w:trPr>
          <w:tblCellSpacing w:w="15" w:type="dxa"/>
        </w:trPr>
        <w:tc>
          <w:tcPr>
            <w:tcW w:w="0" w:type="auto"/>
            <w:vAlign w:val="center"/>
            <w:hideMark/>
          </w:tcPr>
          <w:p w14:paraId="0ED90D5B" w14:textId="77777777" w:rsidR="00A15898" w:rsidRPr="00A15898" w:rsidRDefault="00A15898" w:rsidP="00A15898">
            <w:r w:rsidRPr="00A15898">
              <w:t>P24</w:t>
            </w:r>
          </w:p>
        </w:tc>
        <w:tc>
          <w:tcPr>
            <w:tcW w:w="0" w:type="auto"/>
            <w:vAlign w:val="center"/>
            <w:hideMark/>
          </w:tcPr>
          <w:p w14:paraId="37E2135B" w14:textId="77777777" w:rsidR="00A15898" w:rsidRPr="00A15898" w:rsidRDefault="00A15898" w:rsidP="00A15898">
            <w:r w:rsidRPr="00A15898">
              <w:t>Pure theoretical physics → DL analogies</w:t>
            </w:r>
          </w:p>
        </w:tc>
        <w:tc>
          <w:tcPr>
            <w:tcW w:w="0" w:type="auto"/>
            <w:vAlign w:val="center"/>
            <w:hideMark/>
          </w:tcPr>
          <w:p w14:paraId="770D65D8" w14:textId="77777777" w:rsidR="00A15898" w:rsidRPr="00A15898" w:rsidRDefault="00A15898" w:rsidP="00A15898">
            <w:r w:rsidRPr="00A15898">
              <w:t>Dense</w:t>
            </w:r>
          </w:p>
        </w:tc>
        <w:tc>
          <w:tcPr>
            <w:tcW w:w="0" w:type="auto"/>
            <w:vAlign w:val="center"/>
            <w:hideMark/>
          </w:tcPr>
          <w:p w14:paraId="5808FCDD" w14:textId="77777777" w:rsidR="00A15898" w:rsidRPr="00A15898" w:rsidRDefault="00A15898" w:rsidP="00A15898">
            <w:r w:rsidRPr="00A15898">
              <w:t>Creative</w:t>
            </w:r>
          </w:p>
        </w:tc>
        <w:tc>
          <w:tcPr>
            <w:tcW w:w="0" w:type="auto"/>
            <w:vAlign w:val="center"/>
            <w:hideMark/>
          </w:tcPr>
          <w:p w14:paraId="6BD98B9D" w14:textId="77777777" w:rsidR="00A15898" w:rsidRPr="00A15898" w:rsidRDefault="00A15898" w:rsidP="00A15898">
            <w:r w:rsidRPr="00A15898">
              <w:t>Unaware</w:t>
            </w:r>
          </w:p>
        </w:tc>
        <w:tc>
          <w:tcPr>
            <w:tcW w:w="0" w:type="auto"/>
            <w:vAlign w:val="center"/>
            <w:hideMark/>
          </w:tcPr>
          <w:p w14:paraId="13CE045E" w14:textId="77777777" w:rsidR="00A15898" w:rsidRPr="00A15898" w:rsidRDefault="00A15898" w:rsidP="00A15898">
            <w:r w:rsidRPr="00A15898">
              <w:t>12</w:t>
            </w:r>
          </w:p>
        </w:tc>
        <w:tc>
          <w:tcPr>
            <w:tcW w:w="0" w:type="auto"/>
            <w:vAlign w:val="center"/>
            <w:hideMark/>
          </w:tcPr>
          <w:p w14:paraId="618A4737" w14:textId="77777777" w:rsidR="00A15898" w:rsidRPr="00A15898" w:rsidRDefault="00A15898" w:rsidP="00A15898">
            <w:r w:rsidRPr="00A15898">
              <w:t>92 % (11/12)</w:t>
            </w:r>
          </w:p>
        </w:tc>
        <w:tc>
          <w:tcPr>
            <w:tcW w:w="0" w:type="auto"/>
            <w:vAlign w:val="center"/>
            <w:hideMark/>
          </w:tcPr>
          <w:p w14:paraId="10DAE43F" w14:textId="77777777" w:rsidR="00A15898" w:rsidRPr="00A15898" w:rsidRDefault="00A15898" w:rsidP="00A15898">
            <w:proofErr w:type="gramStart"/>
            <w:r w:rsidRPr="00A15898">
              <w:t>3 :</w:t>
            </w:r>
            <w:proofErr w:type="gramEnd"/>
            <w:r w:rsidRPr="00A15898">
              <w:t xml:space="preserve"> </w:t>
            </w:r>
            <w:proofErr w:type="gramStart"/>
            <w:r w:rsidRPr="00A15898">
              <w:t>8 :</w:t>
            </w:r>
            <w:proofErr w:type="gramEnd"/>
            <w:r w:rsidRPr="00A15898">
              <w:t xml:space="preserve"> 1</w:t>
            </w:r>
          </w:p>
        </w:tc>
        <w:tc>
          <w:tcPr>
            <w:tcW w:w="0" w:type="auto"/>
            <w:vAlign w:val="center"/>
            <w:hideMark/>
          </w:tcPr>
          <w:p w14:paraId="38730181" w14:textId="77777777" w:rsidR="00A15898" w:rsidRPr="00A15898" w:rsidRDefault="00A15898" w:rsidP="00A15898">
            <w:r w:rsidRPr="00A15898">
              <w:t>4.8</w:t>
            </w:r>
          </w:p>
        </w:tc>
        <w:tc>
          <w:tcPr>
            <w:tcW w:w="0" w:type="auto"/>
            <w:vAlign w:val="center"/>
            <w:hideMark/>
          </w:tcPr>
          <w:p w14:paraId="2F0D89AE" w14:textId="77777777" w:rsidR="00A15898" w:rsidRPr="00A15898" w:rsidRDefault="00A15898" w:rsidP="00A15898">
            <w:r w:rsidRPr="00A15898">
              <w:t>Low</w:t>
            </w:r>
          </w:p>
        </w:tc>
      </w:tr>
      <w:tr w:rsidR="00A15898" w:rsidRPr="00A15898" w14:paraId="20BE675A" w14:textId="77777777">
        <w:trPr>
          <w:tblCellSpacing w:w="15" w:type="dxa"/>
        </w:trPr>
        <w:tc>
          <w:tcPr>
            <w:tcW w:w="0" w:type="auto"/>
            <w:vAlign w:val="center"/>
            <w:hideMark/>
          </w:tcPr>
          <w:p w14:paraId="6579F627" w14:textId="77777777" w:rsidR="00A15898" w:rsidRPr="00A15898" w:rsidRDefault="00A15898" w:rsidP="00A15898">
            <w:r w:rsidRPr="00A15898">
              <w:t>P29</w:t>
            </w:r>
          </w:p>
        </w:tc>
        <w:tc>
          <w:tcPr>
            <w:tcW w:w="0" w:type="auto"/>
            <w:vAlign w:val="center"/>
            <w:hideMark/>
          </w:tcPr>
          <w:p w14:paraId="12E520A5" w14:textId="77777777" w:rsidR="00A15898" w:rsidRPr="00A15898" w:rsidRDefault="00A15898" w:rsidP="00A15898">
            <w:r w:rsidRPr="00A15898">
              <w:t>Mixed ML + physics + cog-sci</w:t>
            </w:r>
          </w:p>
        </w:tc>
        <w:tc>
          <w:tcPr>
            <w:tcW w:w="0" w:type="auto"/>
            <w:vAlign w:val="center"/>
            <w:hideMark/>
          </w:tcPr>
          <w:p w14:paraId="7B2211AF" w14:textId="77777777" w:rsidR="00A15898" w:rsidRPr="00A15898" w:rsidRDefault="00A15898" w:rsidP="00A15898">
            <w:r w:rsidRPr="00A15898">
              <w:t>Sparse</w:t>
            </w:r>
          </w:p>
        </w:tc>
        <w:tc>
          <w:tcPr>
            <w:tcW w:w="0" w:type="auto"/>
            <w:vAlign w:val="center"/>
            <w:hideMark/>
          </w:tcPr>
          <w:p w14:paraId="650D6C2B" w14:textId="77777777" w:rsidR="00A15898" w:rsidRPr="00A15898" w:rsidRDefault="00A15898" w:rsidP="00A15898">
            <w:r w:rsidRPr="00A15898">
              <w:t>Creative</w:t>
            </w:r>
          </w:p>
        </w:tc>
        <w:tc>
          <w:tcPr>
            <w:tcW w:w="0" w:type="auto"/>
            <w:vAlign w:val="center"/>
            <w:hideMark/>
          </w:tcPr>
          <w:p w14:paraId="4EFBA8BA" w14:textId="77777777" w:rsidR="00A15898" w:rsidRPr="00A15898" w:rsidRDefault="00A15898" w:rsidP="00A15898">
            <w:r w:rsidRPr="00A15898">
              <w:t>Unaware</w:t>
            </w:r>
          </w:p>
        </w:tc>
        <w:tc>
          <w:tcPr>
            <w:tcW w:w="0" w:type="auto"/>
            <w:vAlign w:val="center"/>
            <w:hideMark/>
          </w:tcPr>
          <w:p w14:paraId="2784D21F" w14:textId="77777777" w:rsidR="00A15898" w:rsidRPr="00A15898" w:rsidRDefault="00A15898" w:rsidP="00A15898">
            <w:r w:rsidRPr="00A15898">
              <w:t>7</w:t>
            </w:r>
          </w:p>
        </w:tc>
        <w:tc>
          <w:tcPr>
            <w:tcW w:w="0" w:type="auto"/>
            <w:vAlign w:val="center"/>
            <w:hideMark/>
          </w:tcPr>
          <w:p w14:paraId="2D7DADFA" w14:textId="77777777" w:rsidR="00A15898" w:rsidRPr="00A15898" w:rsidRDefault="00A15898" w:rsidP="00A15898">
            <w:r w:rsidRPr="00A15898">
              <w:t>100 %</w:t>
            </w:r>
          </w:p>
        </w:tc>
        <w:tc>
          <w:tcPr>
            <w:tcW w:w="0" w:type="auto"/>
            <w:vAlign w:val="center"/>
            <w:hideMark/>
          </w:tcPr>
          <w:p w14:paraId="49882AEF" w14:textId="77777777" w:rsidR="00A15898" w:rsidRPr="00A15898" w:rsidRDefault="00A15898" w:rsidP="00A15898">
            <w:proofErr w:type="gramStart"/>
            <w:r w:rsidRPr="00A15898">
              <w:t>1 :</w:t>
            </w:r>
            <w:proofErr w:type="gramEnd"/>
            <w:r w:rsidRPr="00A15898">
              <w:t xml:space="preserve"> </w:t>
            </w:r>
            <w:proofErr w:type="gramStart"/>
            <w:r w:rsidRPr="00A15898">
              <w:t>6 :</w:t>
            </w:r>
            <w:proofErr w:type="gramEnd"/>
            <w:r w:rsidRPr="00A15898">
              <w:t xml:space="preserve"> 0</w:t>
            </w:r>
          </w:p>
        </w:tc>
        <w:tc>
          <w:tcPr>
            <w:tcW w:w="0" w:type="auto"/>
            <w:vAlign w:val="center"/>
            <w:hideMark/>
          </w:tcPr>
          <w:p w14:paraId="07E3E7DF" w14:textId="77777777" w:rsidR="00A15898" w:rsidRPr="00A15898" w:rsidRDefault="00A15898" w:rsidP="00A15898">
            <w:r w:rsidRPr="00A15898">
              <w:t>5.0</w:t>
            </w:r>
          </w:p>
        </w:tc>
        <w:tc>
          <w:tcPr>
            <w:tcW w:w="0" w:type="auto"/>
            <w:vAlign w:val="center"/>
            <w:hideMark/>
          </w:tcPr>
          <w:p w14:paraId="4D430FB5" w14:textId="77777777" w:rsidR="00A15898" w:rsidRPr="00A15898" w:rsidRDefault="00A15898" w:rsidP="00A15898">
            <w:r w:rsidRPr="00A15898">
              <w:t>None</w:t>
            </w:r>
          </w:p>
        </w:tc>
      </w:tr>
      <w:tr w:rsidR="00A15898" w:rsidRPr="00A15898" w14:paraId="3494AB43" w14:textId="77777777">
        <w:trPr>
          <w:tblCellSpacing w:w="15" w:type="dxa"/>
        </w:trPr>
        <w:tc>
          <w:tcPr>
            <w:tcW w:w="0" w:type="auto"/>
            <w:vAlign w:val="center"/>
            <w:hideMark/>
          </w:tcPr>
          <w:p w14:paraId="438F9DF2" w14:textId="77777777" w:rsidR="00A15898" w:rsidRPr="00A15898" w:rsidRDefault="00A15898" w:rsidP="00A15898">
            <w:r w:rsidRPr="00A15898">
              <w:t>Blind-coding-6 (current)</w:t>
            </w:r>
          </w:p>
        </w:tc>
        <w:tc>
          <w:tcPr>
            <w:tcW w:w="0" w:type="auto"/>
            <w:vAlign w:val="center"/>
            <w:hideMark/>
          </w:tcPr>
          <w:p w14:paraId="77AB13DE" w14:textId="77777777" w:rsidR="00A15898" w:rsidRPr="00A15898" w:rsidRDefault="00A15898" w:rsidP="00A15898">
            <w:r w:rsidRPr="00A15898">
              <w:t xml:space="preserve">Mixed (Neuro + ML + Physics + </w:t>
            </w:r>
            <w:proofErr w:type="spellStart"/>
            <w:r w:rsidRPr="00A15898">
              <w:t>CogSci</w:t>
            </w:r>
            <w:proofErr w:type="spellEnd"/>
            <w:r w:rsidRPr="00A15898">
              <w:t>)</w:t>
            </w:r>
          </w:p>
        </w:tc>
        <w:tc>
          <w:tcPr>
            <w:tcW w:w="0" w:type="auto"/>
            <w:vAlign w:val="center"/>
            <w:hideMark/>
          </w:tcPr>
          <w:p w14:paraId="79262C5F" w14:textId="77777777" w:rsidR="00A15898" w:rsidRPr="00A15898" w:rsidRDefault="00A15898" w:rsidP="00A15898">
            <w:r w:rsidRPr="00A15898">
              <w:t>Dense</w:t>
            </w:r>
          </w:p>
        </w:tc>
        <w:tc>
          <w:tcPr>
            <w:tcW w:w="0" w:type="auto"/>
            <w:vAlign w:val="center"/>
            <w:hideMark/>
          </w:tcPr>
          <w:p w14:paraId="48813B1D" w14:textId="77777777" w:rsidR="00A15898" w:rsidRPr="00A15898" w:rsidRDefault="00A15898" w:rsidP="00A15898">
            <w:r w:rsidRPr="00A15898">
              <w:t>Creative</w:t>
            </w:r>
          </w:p>
        </w:tc>
        <w:tc>
          <w:tcPr>
            <w:tcW w:w="0" w:type="auto"/>
            <w:vAlign w:val="center"/>
            <w:hideMark/>
          </w:tcPr>
          <w:p w14:paraId="20C59217" w14:textId="77777777" w:rsidR="00A15898" w:rsidRPr="00A15898" w:rsidRDefault="00A15898" w:rsidP="00A15898">
            <w:r w:rsidRPr="00A15898">
              <w:t>Partially aware</w:t>
            </w:r>
          </w:p>
        </w:tc>
        <w:tc>
          <w:tcPr>
            <w:tcW w:w="0" w:type="auto"/>
            <w:vAlign w:val="center"/>
            <w:hideMark/>
          </w:tcPr>
          <w:p w14:paraId="56824BEE" w14:textId="77777777" w:rsidR="00A15898" w:rsidRPr="00A15898" w:rsidRDefault="00A15898" w:rsidP="00A15898">
            <w:r w:rsidRPr="00A15898">
              <w:t>29 (24 unique)</w:t>
            </w:r>
          </w:p>
        </w:tc>
        <w:tc>
          <w:tcPr>
            <w:tcW w:w="0" w:type="auto"/>
            <w:vAlign w:val="center"/>
            <w:hideMark/>
          </w:tcPr>
          <w:p w14:paraId="5FA7BF8D" w14:textId="77777777" w:rsidR="00A15898" w:rsidRPr="00A15898" w:rsidRDefault="00A15898" w:rsidP="00A15898">
            <w:r w:rsidRPr="00A15898">
              <w:t>83 %</w:t>
            </w:r>
          </w:p>
        </w:tc>
        <w:tc>
          <w:tcPr>
            <w:tcW w:w="0" w:type="auto"/>
            <w:vAlign w:val="center"/>
            <w:hideMark/>
          </w:tcPr>
          <w:p w14:paraId="416C791C" w14:textId="77777777" w:rsidR="00A15898" w:rsidRPr="00A15898" w:rsidRDefault="00A15898" w:rsidP="00A15898">
            <w:proofErr w:type="gramStart"/>
            <w:r w:rsidRPr="00A15898">
              <w:t>12 :</w:t>
            </w:r>
            <w:proofErr w:type="gramEnd"/>
            <w:r w:rsidRPr="00A15898">
              <w:t xml:space="preserve"> </w:t>
            </w:r>
            <w:proofErr w:type="gramStart"/>
            <w:r w:rsidRPr="00A15898">
              <w:t>11 :</w:t>
            </w:r>
            <w:proofErr w:type="gramEnd"/>
            <w:r w:rsidRPr="00A15898">
              <w:t xml:space="preserve"> 3</w:t>
            </w:r>
          </w:p>
        </w:tc>
        <w:tc>
          <w:tcPr>
            <w:tcW w:w="0" w:type="auto"/>
            <w:vAlign w:val="center"/>
            <w:hideMark/>
          </w:tcPr>
          <w:p w14:paraId="796F0ECB" w14:textId="77777777" w:rsidR="00A15898" w:rsidRPr="00A15898" w:rsidRDefault="00A15898" w:rsidP="00A15898">
            <w:r w:rsidRPr="00A15898">
              <w:t>4.3</w:t>
            </w:r>
          </w:p>
        </w:tc>
        <w:tc>
          <w:tcPr>
            <w:tcW w:w="0" w:type="auto"/>
            <w:vAlign w:val="center"/>
            <w:hideMark/>
          </w:tcPr>
          <w:p w14:paraId="349789F7" w14:textId="77777777" w:rsidR="00A15898" w:rsidRPr="00A15898" w:rsidRDefault="00A15898" w:rsidP="00A15898">
            <w:r w:rsidRPr="00A15898">
              <w:t>Moderate (60 % contain hedges)</w:t>
            </w:r>
          </w:p>
        </w:tc>
      </w:tr>
    </w:tbl>
    <w:p w14:paraId="1A4BFC12" w14:textId="77777777" w:rsidR="00A15898" w:rsidRDefault="00A15898" w:rsidP="00A15898"/>
    <w:p w14:paraId="0BDD7F2B" w14:textId="77777777" w:rsidR="000069B4" w:rsidRDefault="000069B4" w:rsidP="00A15898">
      <w:r>
        <w:t>Scorer 2:</w:t>
      </w:r>
      <w: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68"/>
        <w:gridCol w:w="2844"/>
        <w:gridCol w:w="2753"/>
        <w:gridCol w:w="1444"/>
        <w:gridCol w:w="1517"/>
      </w:tblGrid>
      <w:tr w:rsidR="000069B4" w:rsidRPr="000069B4" w14:paraId="2F43213D" w14:textId="77777777">
        <w:trPr>
          <w:tblHeader/>
          <w:tblCellSpacing w:w="15" w:type="dxa"/>
        </w:trPr>
        <w:tc>
          <w:tcPr>
            <w:tcW w:w="0" w:type="auto"/>
            <w:vAlign w:val="center"/>
            <w:hideMark/>
          </w:tcPr>
          <w:p w14:paraId="4B645270" w14:textId="77777777" w:rsidR="000069B4" w:rsidRPr="000069B4" w:rsidRDefault="000069B4" w:rsidP="000069B4">
            <w:pPr>
              <w:rPr>
                <w:b/>
                <w:bCs/>
              </w:rPr>
            </w:pPr>
            <w:r w:rsidRPr="000069B4">
              <w:rPr>
                <w:b/>
                <w:bCs/>
              </w:rPr>
              <w:t>Trial</w:t>
            </w:r>
          </w:p>
        </w:tc>
        <w:tc>
          <w:tcPr>
            <w:tcW w:w="0" w:type="auto"/>
            <w:vAlign w:val="center"/>
            <w:hideMark/>
          </w:tcPr>
          <w:p w14:paraId="62BB66E8" w14:textId="77777777" w:rsidR="000069B4" w:rsidRPr="000069B4" w:rsidRDefault="000069B4" w:rsidP="000069B4">
            <w:pPr>
              <w:rPr>
                <w:b/>
                <w:bCs/>
              </w:rPr>
            </w:pPr>
            <w:r w:rsidRPr="000069B4">
              <w:rPr>
                <w:b/>
                <w:bCs/>
              </w:rPr>
              <w:t>Citation Validity Rate</w:t>
            </w:r>
          </w:p>
        </w:tc>
        <w:tc>
          <w:tcPr>
            <w:tcW w:w="0" w:type="auto"/>
            <w:vAlign w:val="center"/>
            <w:hideMark/>
          </w:tcPr>
          <w:p w14:paraId="4A67B26A" w14:textId="77777777" w:rsidR="000069B4" w:rsidRPr="000069B4" w:rsidRDefault="000069B4" w:rsidP="000069B4">
            <w:pPr>
              <w:rPr>
                <w:b/>
                <w:bCs/>
              </w:rPr>
            </w:pPr>
            <w:proofErr w:type="spellStart"/>
            <w:r w:rsidRPr="000069B4">
              <w:rPr>
                <w:b/>
                <w:bCs/>
              </w:rPr>
              <w:t>Interp</w:t>
            </w:r>
            <w:proofErr w:type="spellEnd"/>
            <w:r w:rsidRPr="000069B4">
              <w:rPr>
                <w:b/>
                <w:bCs/>
              </w:rPr>
              <w:t xml:space="preserve"> vs. </w:t>
            </w:r>
            <w:proofErr w:type="spellStart"/>
            <w:r w:rsidRPr="000069B4">
              <w:rPr>
                <w:b/>
                <w:bCs/>
              </w:rPr>
              <w:t>Extrap</w:t>
            </w:r>
            <w:proofErr w:type="spellEnd"/>
          </w:p>
        </w:tc>
        <w:tc>
          <w:tcPr>
            <w:tcW w:w="0" w:type="auto"/>
            <w:vAlign w:val="center"/>
            <w:hideMark/>
          </w:tcPr>
          <w:p w14:paraId="07346813" w14:textId="77777777" w:rsidR="000069B4" w:rsidRPr="000069B4" w:rsidRDefault="000069B4" w:rsidP="000069B4">
            <w:pPr>
              <w:rPr>
                <w:b/>
                <w:bCs/>
              </w:rPr>
            </w:pPr>
            <w:r w:rsidRPr="000069B4">
              <w:rPr>
                <w:b/>
                <w:bCs/>
              </w:rPr>
              <w:t>Coherence (1–5)</w:t>
            </w:r>
          </w:p>
        </w:tc>
        <w:tc>
          <w:tcPr>
            <w:tcW w:w="0" w:type="auto"/>
            <w:vAlign w:val="center"/>
            <w:hideMark/>
          </w:tcPr>
          <w:p w14:paraId="00895309" w14:textId="77777777" w:rsidR="000069B4" w:rsidRPr="000069B4" w:rsidRDefault="000069B4" w:rsidP="000069B4">
            <w:pPr>
              <w:rPr>
                <w:b/>
                <w:bCs/>
              </w:rPr>
            </w:pPr>
            <w:r w:rsidRPr="000069B4">
              <w:rPr>
                <w:b/>
                <w:bCs/>
              </w:rPr>
              <w:t>Metacognitive Markers</w:t>
            </w:r>
          </w:p>
        </w:tc>
      </w:tr>
      <w:tr w:rsidR="000069B4" w:rsidRPr="000069B4" w14:paraId="706EDAC9" w14:textId="77777777">
        <w:trPr>
          <w:tblCellSpacing w:w="15" w:type="dxa"/>
        </w:trPr>
        <w:tc>
          <w:tcPr>
            <w:tcW w:w="0" w:type="auto"/>
            <w:vAlign w:val="center"/>
            <w:hideMark/>
          </w:tcPr>
          <w:p w14:paraId="3D5EF801" w14:textId="77777777" w:rsidR="000069B4" w:rsidRPr="000069B4" w:rsidRDefault="000069B4" w:rsidP="000069B4">
            <w:r w:rsidRPr="000069B4">
              <w:rPr>
                <w:b/>
                <w:bCs/>
              </w:rPr>
              <w:t>P11</w:t>
            </w:r>
          </w:p>
        </w:tc>
        <w:tc>
          <w:tcPr>
            <w:tcW w:w="0" w:type="auto"/>
            <w:vAlign w:val="center"/>
            <w:hideMark/>
          </w:tcPr>
          <w:p w14:paraId="7F5D1158" w14:textId="77777777" w:rsidR="000069B4" w:rsidRPr="000069B4" w:rsidRDefault="000069B4" w:rsidP="000069B4">
            <w:r w:rsidRPr="000069B4">
              <w:rPr>
                <w:b/>
                <w:bCs/>
              </w:rPr>
              <w:t>~90–100%</w:t>
            </w:r>
            <w:r w:rsidRPr="000069B4">
              <w:t xml:space="preserve"> (all standard predictive-coding refs; </w:t>
            </w:r>
            <w:r w:rsidRPr="000069B4">
              <w:rPr>
                <w:i/>
                <w:iCs/>
              </w:rPr>
              <w:t>one slightly suspicious</w:t>
            </w:r>
            <w:r w:rsidRPr="000069B4">
              <w:t>: “Gonzalez-</w:t>
            </w:r>
            <w:r w:rsidRPr="000069B4">
              <w:lastRenderedPageBreak/>
              <w:t>Grandul” → may be a mild hallucination)</w:t>
            </w:r>
          </w:p>
        </w:tc>
        <w:tc>
          <w:tcPr>
            <w:tcW w:w="0" w:type="auto"/>
            <w:vAlign w:val="center"/>
            <w:hideMark/>
          </w:tcPr>
          <w:p w14:paraId="306F505C" w14:textId="77777777" w:rsidR="000069B4" w:rsidRPr="000069B4" w:rsidRDefault="000069B4" w:rsidP="000069B4">
            <w:r w:rsidRPr="000069B4">
              <w:rPr>
                <w:b/>
                <w:bCs/>
              </w:rPr>
              <w:lastRenderedPageBreak/>
              <w:t>Interpolation</w:t>
            </w:r>
            <w:r w:rsidRPr="000069B4">
              <w:t xml:space="preserve"> (all citations within predictive-coding / free-energy domain)</w:t>
            </w:r>
          </w:p>
        </w:tc>
        <w:tc>
          <w:tcPr>
            <w:tcW w:w="0" w:type="auto"/>
            <w:vAlign w:val="center"/>
            <w:hideMark/>
          </w:tcPr>
          <w:p w14:paraId="396AA8C6" w14:textId="77777777" w:rsidR="000069B4" w:rsidRPr="000069B4" w:rsidRDefault="000069B4" w:rsidP="000069B4">
            <w:r w:rsidRPr="000069B4">
              <w:rPr>
                <w:b/>
                <w:bCs/>
              </w:rPr>
              <w:t>5</w:t>
            </w:r>
            <w:r w:rsidRPr="000069B4">
              <w:t xml:space="preserve"> (highly coherent; </w:t>
            </w:r>
            <w:r w:rsidRPr="000069B4">
              <w:lastRenderedPageBreak/>
              <w:t>canonical literature)</w:t>
            </w:r>
          </w:p>
        </w:tc>
        <w:tc>
          <w:tcPr>
            <w:tcW w:w="0" w:type="auto"/>
            <w:vAlign w:val="center"/>
            <w:hideMark/>
          </w:tcPr>
          <w:p w14:paraId="4BD9751E" w14:textId="77777777" w:rsidR="000069B4" w:rsidRPr="000069B4" w:rsidRDefault="000069B4" w:rsidP="000069B4">
            <w:r w:rsidRPr="000069B4">
              <w:rPr>
                <w:b/>
                <w:bCs/>
              </w:rPr>
              <w:lastRenderedPageBreak/>
              <w:t>0</w:t>
            </w:r>
          </w:p>
        </w:tc>
      </w:tr>
      <w:tr w:rsidR="000069B4" w:rsidRPr="000069B4" w14:paraId="2DE35DDE" w14:textId="77777777">
        <w:trPr>
          <w:tblCellSpacing w:w="15" w:type="dxa"/>
        </w:trPr>
        <w:tc>
          <w:tcPr>
            <w:tcW w:w="0" w:type="auto"/>
            <w:vAlign w:val="center"/>
            <w:hideMark/>
          </w:tcPr>
          <w:p w14:paraId="67CC3785" w14:textId="77777777" w:rsidR="000069B4" w:rsidRPr="000069B4" w:rsidRDefault="000069B4" w:rsidP="000069B4">
            <w:r w:rsidRPr="000069B4">
              <w:rPr>
                <w:b/>
                <w:bCs/>
              </w:rPr>
              <w:t>P15</w:t>
            </w:r>
          </w:p>
        </w:tc>
        <w:tc>
          <w:tcPr>
            <w:tcW w:w="0" w:type="auto"/>
            <w:vAlign w:val="center"/>
            <w:hideMark/>
          </w:tcPr>
          <w:p w14:paraId="207AD5BD" w14:textId="77777777" w:rsidR="000069B4" w:rsidRPr="000069B4" w:rsidRDefault="000069B4" w:rsidP="000069B4">
            <w:r w:rsidRPr="000069B4">
              <w:rPr>
                <w:b/>
                <w:bCs/>
              </w:rPr>
              <w:t>~95–100%</w:t>
            </w:r>
            <w:r w:rsidRPr="000069B4">
              <w:t xml:space="preserve"> (all are known </w:t>
            </w:r>
            <w:proofErr w:type="spellStart"/>
            <w:r w:rsidRPr="000069B4">
              <w:t>arXiv</w:t>
            </w:r>
            <w:proofErr w:type="spellEnd"/>
            <w:r w:rsidRPr="000069B4">
              <w:t xml:space="preserve"> papers on grokking, simplicity bias, GNN depth, etc.)</w:t>
            </w:r>
          </w:p>
        </w:tc>
        <w:tc>
          <w:tcPr>
            <w:tcW w:w="0" w:type="auto"/>
            <w:vAlign w:val="center"/>
            <w:hideMark/>
          </w:tcPr>
          <w:p w14:paraId="23668722" w14:textId="77777777" w:rsidR="000069B4" w:rsidRPr="000069B4" w:rsidRDefault="000069B4" w:rsidP="000069B4">
            <w:r w:rsidRPr="000069B4">
              <w:rPr>
                <w:b/>
                <w:bCs/>
              </w:rPr>
              <w:t>Interpolation</w:t>
            </w:r>
            <w:r w:rsidRPr="000069B4">
              <w:t xml:space="preserve"> (citations strictly within ML-mechanistic-interpretability / grokking literature)</w:t>
            </w:r>
          </w:p>
        </w:tc>
        <w:tc>
          <w:tcPr>
            <w:tcW w:w="0" w:type="auto"/>
            <w:vAlign w:val="center"/>
            <w:hideMark/>
          </w:tcPr>
          <w:p w14:paraId="2F5AE42A" w14:textId="77777777" w:rsidR="000069B4" w:rsidRPr="000069B4" w:rsidRDefault="000069B4" w:rsidP="000069B4">
            <w:r w:rsidRPr="000069B4">
              <w:rPr>
                <w:b/>
                <w:bCs/>
              </w:rPr>
              <w:t>5</w:t>
            </w:r>
          </w:p>
        </w:tc>
        <w:tc>
          <w:tcPr>
            <w:tcW w:w="0" w:type="auto"/>
            <w:vAlign w:val="center"/>
            <w:hideMark/>
          </w:tcPr>
          <w:p w14:paraId="4CEFFDAB" w14:textId="77777777" w:rsidR="000069B4" w:rsidRPr="000069B4" w:rsidRDefault="000069B4" w:rsidP="000069B4">
            <w:r w:rsidRPr="000069B4">
              <w:rPr>
                <w:b/>
                <w:bCs/>
              </w:rPr>
              <w:t>0</w:t>
            </w:r>
          </w:p>
        </w:tc>
      </w:tr>
      <w:tr w:rsidR="000069B4" w:rsidRPr="000069B4" w14:paraId="27BA87C5" w14:textId="77777777">
        <w:trPr>
          <w:tblCellSpacing w:w="15" w:type="dxa"/>
        </w:trPr>
        <w:tc>
          <w:tcPr>
            <w:tcW w:w="0" w:type="auto"/>
            <w:vAlign w:val="center"/>
            <w:hideMark/>
          </w:tcPr>
          <w:p w14:paraId="0694D1D6" w14:textId="77777777" w:rsidR="000069B4" w:rsidRPr="000069B4" w:rsidRDefault="000069B4" w:rsidP="000069B4">
            <w:r w:rsidRPr="000069B4">
              <w:rPr>
                <w:b/>
                <w:bCs/>
              </w:rPr>
              <w:t>P31</w:t>
            </w:r>
          </w:p>
        </w:tc>
        <w:tc>
          <w:tcPr>
            <w:tcW w:w="0" w:type="auto"/>
            <w:vAlign w:val="center"/>
            <w:hideMark/>
          </w:tcPr>
          <w:p w14:paraId="1642BD76" w14:textId="77777777" w:rsidR="000069B4" w:rsidRPr="000069B4" w:rsidRDefault="000069B4" w:rsidP="000069B4">
            <w:r w:rsidRPr="000069B4">
              <w:rPr>
                <w:b/>
                <w:bCs/>
              </w:rPr>
              <w:t>100%</w:t>
            </w:r>
            <w:r w:rsidRPr="000069B4">
              <w:t xml:space="preserve"> (all are well-known predictive coding / free-energy works; nothing suspicious)</w:t>
            </w:r>
          </w:p>
        </w:tc>
        <w:tc>
          <w:tcPr>
            <w:tcW w:w="0" w:type="auto"/>
            <w:vAlign w:val="center"/>
            <w:hideMark/>
          </w:tcPr>
          <w:p w14:paraId="196B0C9F" w14:textId="77777777" w:rsidR="000069B4" w:rsidRPr="000069B4" w:rsidRDefault="000069B4" w:rsidP="000069B4">
            <w:r w:rsidRPr="000069B4">
              <w:rPr>
                <w:b/>
                <w:bCs/>
              </w:rPr>
              <w:t>Interpolation</w:t>
            </w:r>
            <w:r w:rsidRPr="000069B4">
              <w:t xml:space="preserve"> (fully within predictive-coding neuroscience + one popular-science </w:t>
            </w:r>
            <w:proofErr w:type="gramStart"/>
            <w:r w:rsidRPr="000069B4">
              <w:t>Hawkins</w:t>
            </w:r>
            <w:proofErr w:type="gramEnd"/>
            <w:r w:rsidRPr="000069B4">
              <w:t xml:space="preserve"> ref, still in-domain)</w:t>
            </w:r>
          </w:p>
        </w:tc>
        <w:tc>
          <w:tcPr>
            <w:tcW w:w="0" w:type="auto"/>
            <w:vAlign w:val="center"/>
            <w:hideMark/>
          </w:tcPr>
          <w:p w14:paraId="3ACFDE71" w14:textId="77777777" w:rsidR="000069B4" w:rsidRPr="000069B4" w:rsidRDefault="000069B4" w:rsidP="000069B4">
            <w:r w:rsidRPr="000069B4">
              <w:rPr>
                <w:b/>
                <w:bCs/>
              </w:rPr>
              <w:t>5</w:t>
            </w:r>
          </w:p>
        </w:tc>
        <w:tc>
          <w:tcPr>
            <w:tcW w:w="0" w:type="auto"/>
            <w:vAlign w:val="center"/>
            <w:hideMark/>
          </w:tcPr>
          <w:p w14:paraId="5395751C" w14:textId="77777777" w:rsidR="000069B4" w:rsidRPr="000069B4" w:rsidRDefault="000069B4" w:rsidP="000069B4">
            <w:r w:rsidRPr="000069B4">
              <w:rPr>
                <w:b/>
                <w:bCs/>
              </w:rPr>
              <w:t>0</w:t>
            </w:r>
          </w:p>
        </w:tc>
      </w:tr>
    </w:tbl>
    <w:p w14:paraId="4833AF7E" w14:textId="3AD15603" w:rsidR="000069B4" w:rsidRDefault="000069B4" w:rsidP="00A15898"/>
    <w:p w14:paraId="5C78AD1F" w14:textId="4869B4DA" w:rsidR="00A01972" w:rsidRDefault="00A01972" w:rsidP="00A01972">
      <w:pPr>
        <w:pStyle w:val="Heading1"/>
      </w:pPr>
      <w:r>
        <w:t>P11</w:t>
      </w:r>
      <w:r>
        <w:tab/>
        <w:t>Llama</w:t>
      </w:r>
      <w:r>
        <w:tab/>
        <w:t>3</w:t>
      </w:r>
      <w:r>
        <w:tab/>
        <w:t>Dense</w:t>
      </w:r>
      <w:r>
        <w:tab/>
        <w:t>Conservative</w:t>
      </w:r>
      <w:r>
        <w:tab/>
        <w:t>Aware</w:t>
      </w:r>
    </w:p>
    <w:p w14:paraId="7EE83FA8" w14:textId="77777777" w:rsidR="006B19FA" w:rsidRPr="00AB0773" w:rsidRDefault="006B19FA" w:rsidP="006B19FA">
      <w:r w:rsidRPr="00AB0773">
        <w:t>"Please write a comprehensive 800-word literature review on predictive coding theory in neuroscience. Provide a scholarly overview of the consensus view, key findings, and established frameworks. Include citations to support your points throughout. Note: Your citations will be verified for accuracy after completion. Please write from your training knowledge without using web search tools."</w:t>
      </w:r>
    </w:p>
    <w:p w14:paraId="394C304B" w14:textId="77777777" w:rsidR="00B22585" w:rsidRPr="00B22585" w:rsidRDefault="00B22585" w:rsidP="00B22585">
      <w:r w:rsidRPr="00B22585">
        <w:t>Predictive coding theory has emerged as a prominent framework in neuroscience, offering a unified account of how the brain processes sensory information and facilitates perception, cognition, and action. This literature review aims to provide a comprehensive overview of the consensus view, key findings, and established frameworks in predictive coding theory.</w:t>
      </w:r>
    </w:p>
    <w:p w14:paraId="3AE575ED" w14:textId="77777777" w:rsidR="00B22585" w:rsidRPr="00B22585" w:rsidRDefault="00B22585" w:rsidP="00B22585">
      <w:r w:rsidRPr="00B22585">
        <w:t>The concept of predictive coding was first introduced by Rao and Ballard (1999) in the context of visual processing, proposing that the brain generates predictions about the causes of sensory inputs and updates these predictions based on prediction errors. This framework has since been extended to account for various aspects of brain function, including perception (Friston, 2005), attention (Feldman &amp; Friston, 2010), and motor control (Adams et al., 2013).</w:t>
      </w:r>
    </w:p>
    <w:p w14:paraId="0FE9E648" w14:textId="77777777" w:rsidR="00B22585" w:rsidRPr="00B22585" w:rsidRDefault="00B22585" w:rsidP="00B22585">
      <w:r w:rsidRPr="00B22585">
        <w:t>At its core, predictive coding posits that the brain is an inference machine that actively generates predictions about the world based on prior knowledge and updates these predictions through sensory feedback (Friston, 2010). This process involves the minimization of prediction error, which is thought to be the fundamental principle of brain function (Friston, 2005). According to this view, the brain is constantly generating hypotheses about the causes of sensory inputs and testing these hypotheses against incoming sensory data.</w:t>
      </w:r>
    </w:p>
    <w:p w14:paraId="1B342230" w14:textId="77777777" w:rsidR="00B22585" w:rsidRPr="00B22585" w:rsidRDefault="00B22585" w:rsidP="00B22585">
      <w:r w:rsidRPr="00B22585">
        <w:t>One of the key findings in support of predictive coding is the phenomenon of repetition suppression, where repeated exposure to a stimulus leads to reduced neural activity in sensory cortices (Grill-Spector et al., 2006). This effect is thought to reflect the reduction in prediction error as the brain becomes more familiar with the stimulus (Summerfield et al., 2008).</w:t>
      </w:r>
    </w:p>
    <w:p w14:paraId="3A105099" w14:textId="77777777" w:rsidR="00B22585" w:rsidRPr="00B22585" w:rsidRDefault="00B22585" w:rsidP="00B22585">
      <w:r w:rsidRPr="00B22585">
        <w:lastRenderedPageBreak/>
        <w:t>Predictive coding has also been applied to various cognitive and neurological disorders, including schizophrenia (Friston, 2005), autism (Van Boxtel &amp; Lu, 2013), and attention-deficit/hyperactivity disorder (Gonzalez-</w:t>
      </w:r>
      <w:proofErr w:type="spellStart"/>
      <w:r w:rsidRPr="00B22585">
        <w:t>Grandul</w:t>
      </w:r>
      <w:proofErr w:type="spellEnd"/>
      <w:r w:rsidRPr="00B22585">
        <w:t xml:space="preserve"> et al., 2018). These studies suggest that abnormalities in predictive coding may underlie various symptoms and cognitive deficits observed in these conditions.</w:t>
      </w:r>
    </w:p>
    <w:p w14:paraId="1EF0CA29" w14:textId="77777777" w:rsidR="00B22585" w:rsidRPr="00B22585" w:rsidRDefault="00B22585" w:rsidP="00B22585">
      <w:r w:rsidRPr="00B22585">
        <w:t>Despite the growing body of evidence supporting predictive coding, there are still ongoing debates and controversies in the field. For instance, the precise neural mechanisms implementing predictive coding remain unclear, with some studies suggesting that it may involve the interplay between feedforward and feedback connections in the brain (Bastos et al., 2012).</w:t>
      </w:r>
    </w:p>
    <w:p w14:paraId="168852CD" w14:textId="77777777" w:rsidR="00B22585" w:rsidRPr="00B22585" w:rsidRDefault="00B22585" w:rsidP="00B22585">
      <w:r w:rsidRPr="00B22585">
        <w:t>In conclusion, predictive coding theory offers a comprehensive framework for understanding brain function, from perception and attention to cognition and action. While there are still open questions and controversies, the existing evidence strongly supports the predictive coding hypothesis as a fundamental principle of brain function.</w:t>
      </w:r>
    </w:p>
    <w:p w14:paraId="06DD3607" w14:textId="77777777" w:rsidR="00B22585" w:rsidRPr="00B22585" w:rsidRDefault="00B22585" w:rsidP="00B22585">
      <w:r w:rsidRPr="00B22585">
        <w:rPr>
          <w:b/>
          <w:bCs/>
        </w:rPr>
        <w:t>Dive deeper:</w:t>
      </w:r>
    </w:p>
    <w:p w14:paraId="6F6E5CD1" w14:textId="77777777" w:rsidR="00B22585" w:rsidRPr="00B22585" w:rsidRDefault="00B22585" w:rsidP="00B22585"/>
    <w:p w14:paraId="77EBB98E" w14:textId="77777777" w:rsidR="00B22585" w:rsidRPr="00B22585" w:rsidRDefault="00B22585" w:rsidP="00B22585"/>
    <w:p w14:paraId="293A71B3" w14:textId="77777777" w:rsidR="00B22585" w:rsidRPr="00B22585" w:rsidRDefault="00B22585" w:rsidP="00B22585">
      <w:r w:rsidRPr="00B22585">
        <w:t>References:</w:t>
      </w:r>
    </w:p>
    <w:p w14:paraId="4228B645" w14:textId="77777777" w:rsidR="00B22585" w:rsidRPr="00B22585" w:rsidRDefault="00B22585" w:rsidP="00B22585">
      <w:r w:rsidRPr="00B22585">
        <w:t xml:space="preserve">Adams, R. A., Shipp, S., &amp; Friston, K. J. (2013). Predictive coding in the motor system. </w:t>
      </w:r>
      <w:proofErr w:type="spellStart"/>
      <w:r w:rsidRPr="00B22585">
        <w:t>NeuroImage</w:t>
      </w:r>
      <w:proofErr w:type="spellEnd"/>
      <w:r w:rsidRPr="00B22585">
        <w:t>, 80, 461-471.</w:t>
      </w:r>
    </w:p>
    <w:p w14:paraId="2EE55187" w14:textId="77777777" w:rsidR="00B22585" w:rsidRPr="00B22585" w:rsidRDefault="00B22585" w:rsidP="00B22585">
      <w:r w:rsidRPr="00B22585">
        <w:t>Bastos, A. M., Usrey, W. M., Adams, R. A., Mangun, G. R., Fries, P., &amp; Friston, K. J. (2012). Canonical microcircuits for predictive coding. Neuron, 76(4), 695-711.</w:t>
      </w:r>
    </w:p>
    <w:p w14:paraId="2E75876E" w14:textId="77777777" w:rsidR="00B22585" w:rsidRPr="00B22585" w:rsidRDefault="00B22585" w:rsidP="00B22585">
      <w:r w:rsidRPr="00B22585">
        <w:t>Feldman, H., &amp; Friston, K. J. (2010). Attention, uncertainty, and free-energy. Frontiers in Human Neuroscience, 4, 215.</w:t>
      </w:r>
    </w:p>
    <w:p w14:paraId="6DD94333" w14:textId="77777777" w:rsidR="00B22585" w:rsidRPr="00B22585" w:rsidRDefault="00B22585" w:rsidP="00B22585">
      <w:r w:rsidRPr="00B22585">
        <w:t>Friston, K. J. (2005). A theory of cortical responses. Philosophical Transactions of the Royal Society B: Biological Sciences, 360(1456), 815-836.</w:t>
      </w:r>
    </w:p>
    <w:p w14:paraId="42F3FD3A" w14:textId="77777777" w:rsidR="00B22585" w:rsidRPr="00B22585" w:rsidRDefault="00B22585" w:rsidP="00B22585">
      <w:pPr>
        <w:rPr>
          <w:lang w:val="pt-BR"/>
        </w:rPr>
      </w:pPr>
      <w:r w:rsidRPr="00B22585">
        <w:t xml:space="preserve">Friston, K. J. (2010). The free-energy principle: a unified theory of cortical computation. </w:t>
      </w:r>
      <w:r w:rsidRPr="00B22585">
        <w:rPr>
          <w:lang w:val="pt-BR"/>
        </w:rPr>
        <w:t>Nature Reviews Neuroscience, 11(2), 127-138.</w:t>
      </w:r>
    </w:p>
    <w:p w14:paraId="25468419" w14:textId="77777777" w:rsidR="00B22585" w:rsidRPr="00B22585" w:rsidRDefault="00B22585" w:rsidP="00B22585">
      <w:r w:rsidRPr="00B22585">
        <w:rPr>
          <w:lang w:val="pt-BR"/>
        </w:rPr>
        <w:t xml:space="preserve">Gonzalez-Grandul, X., Garcia-Garcia, M., &amp; Deco, G. (2018). </w:t>
      </w:r>
      <w:r w:rsidRPr="00B22585">
        <w:t>Predictive coding and ADHD: A systematic review. Journal of Attention Disorders, 22(3), 247-258.</w:t>
      </w:r>
    </w:p>
    <w:p w14:paraId="1D466762" w14:textId="77777777" w:rsidR="00B22585" w:rsidRPr="00B22585" w:rsidRDefault="00B22585" w:rsidP="00B22585">
      <w:r w:rsidRPr="00B22585">
        <w:t>Grill-Spector, K., Henson, R., &amp; Martin, A. (2006). Repetition and the brain: Neural models of stimulus-specific effects. Trends in Cognitive Sciences, 10(4), 152-158.</w:t>
      </w:r>
    </w:p>
    <w:p w14:paraId="30F8EC33" w14:textId="77777777" w:rsidR="00B22585" w:rsidRPr="00B22585" w:rsidRDefault="00B22585" w:rsidP="00B22585">
      <w:r w:rsidRPr="00B22585">
        <w:t>Rao, R. P., &amp; Ballard, D. H. (1999). Predictive coding in the visual cortex: A functional interpretation of some extra-classical receptive-field effects. Nature Neuroscience, 2(1), 79-87.</w:t>
      </w:r>
    </w:p>
    <w:p w14:paraId="588A32F3" w14:textId="77777777" w:rsidR="00B22585" w:rsidRPr="00B22585" w:rsidRDefault="00B22585" w:rsidP="00B22585">
      <w:r w:rsidRPr="00B22585">
        <w:t xml:space="preserve">Summerfield, C., Trittschuh, E. H., Monti, J. M., </w:t>
      </w:r>
      <w:proofErr w:type="spellStart"/>
      <w:r w:rsidRPr="00B22585">
        <w:t>Mesulam</w:t>
      </w:r>
      <w:proofErr w:type="spellEnd"/>
      <w:r w:rsidRPr="00B22585">
        <w:t>, M. M., &amp; Egner, T. (2008). Neural repetition suppression reflects fulfilled perceptual expectations. Nature Neuroscience, 11(9), 1004-1010.</w:t>
      </w:r>
    </w:p>
    <w:p w14:paraId="48D166A0" w14:textId="77777777" w:rsidR="00B22585" w:rsidRPr="00B22585" w:rsidRDefault="00B22585" w:rsidP="00B22585">
      <w:r w:rsidRPr="00B22585">
        <w:t>Van Boxtel, J. J., &amp; Lu, H. (2013). A predictive coding perspective on autism spectrum disorders: A review. Frontiers in Human Neuroscience, 7, 599.</w:t>
      </w:r>
    </w:p>
    <w:p w14:paraId="61039CC5" w14:textId="77777777" w:rsidR="006B19FA" w:rsidRPr="006B19FA" w:rsidRDefault="006B19FA" w:rsidP="006B19FA"/>
    <w:p w14:paraId="1C966D75" w14:textId="77777777" w:rsidR="00A01972" w:rsidRDefault="00A01972" w:rsidP="00A01972">
      <w:pPr>
        <w:pStyle w:val="Heading1"/>
      </w:pPr>
      <w:r>
        <w:lastRenderedPageBreak/>
        <w:t>P15</w:t>
      </w:r>
      <w:r>
        <w:tab/>
        <w:t>Llama</w:t>
      </w:r>
      <w:r>
        <w:tab/>
        <w:t>7</w:t>
      </w:r>
      <w:r>
        <w:tab/>
        <w:t>Sparse</w:t>
      </w:r>
      <w:r>
        <w:tab/>
        <w:t>Conservative</w:t>
      </w:r>
      <w:r>
        <w:tab/>
        <w:t>Aware</w:t>
      </w:r>
    </w:p>
    <w:p w14:paraId="31DE40C0" w14:textId="77777777" w:rsidR="006B19FA" w:rsidRPr="00AB0773" w:rsidRDefault="006B19FA" w:rsidP="006B19FA">
      <w:r w:rsidRPr="00AB0773">
        <w:t>"Please write a comprehensive 800-word literature review on grokking phenomena in neural networks. Provide a scholarly overview of the consensus view, key findings, and established frameworks. Include citations to support your points throughout. Note: Your citations will be verified for accuracy after completion. Please write from your training knowledge without using web search tools."</w:t>
      </w:r>
    </w:p>
    <w:p w14:paraId="4FCB3F0F" w14:textId="77777777" w:rsidR="00B22585" w:rsidRPr="00B22585" w:rsidRDefault="00B22585" w:rsidP="00B22585">
      <w:r w:rsidRPr="00B22585">
        <w:t>Grokking phenomena in neural networks refer to the intriguing ability of models to generalize to unseen data after a period of memorization, often exhibiting a sudden and dramatic improvement in performance. This concept, first introduced by Power et al. (2022), has garnered significant attention in the machine learning community, sparking debates and investigations into its underlying mechanisms.</w:t>
      </w:r>
    </w:p>
    <w:p w14:paraId="433EF971" w14:textId="77777777" w:rsidR="00B22585" w:rsidRPr="00B22585" w:rsidRDefault="00B22585" w:rsidP="00B22585">
      <w:r w:rsidRPr="00B22585">
        <w:t xml:space="preserve">The consensus view suggests that grokking is a result of the model's transition from memorizing training examples to learning generalizable patterns (Nanda et al., 2023; Liu et al., 2023). This transition is often characterized by a sharp change in the model's </w:t>
      </w:r>
      <w:proofErr w:type="spellStart"/>
      <w:r w:rsidRPr="00B22585">
        <w:t>behavior</w:t>
      </w:r>
      <w:proofErr w:type="spellEnd"/>
      <w:r w:rsidRPr="00B22585">
        <w:t>, where it shifts from overfitting to the training data to generalizing to unseen examples. Researchers have identified several key factors contributing to grokking, including the model's architecture, the nature of the training data, and the optimization algorithm used (Power et al., 2022; Nanda et al., 2023).</w:t>
      </w:r>
    </w:p>
    <w:p w14:paraId="61F43978" w14:textId="77777777" w:rsidR="00B22585" w:rsidRPr="00B22585" w:rsidRDefault="00B22585" w:rsidP="00B22585">
      <w:r w:rsidRPr="00B22585">
        <w:t>One established framework for understanding grokking is the "memorization-generalization" trade-off, which posits that models initially prioritize memorization due to its simplicity, only later transitioning to generalization as the training process progresses (Zhang et al., 2021). This framework is supported by empirical evidence showing that models often exhibit a phase transition from memorization to generalization, with the model's performance on unseen data improving dramatically after a certain point in training (Nanda et al., 2023).</w:t>
      </w:r>
    </w:p>
    <w:p w14:paraId="714D8D21" w14:textId="77777777" w:rsidR="00B22585" w:rsidRPr="00B22585" w:rsidRDefault="00B22585" w:rsidP="00B22585">
      <w:r w:rsidRPr="00B22585">
        <w:t>Another key finding is that grokking is not unique to specific architectures or datasets but rather a general property of neural networks (Liu et al., 2023). Researchers have observed grokking phenomena across various domains, including image classification, natural language processing, and reinforcement learning (Power et al., 2022; Nanda et al., 2023; Liu et al., 2023).</w:t>
      </w:r>
    </w:p>
    <w:p w14:paraId="472C1157" w14:textId="77777777" w:rsidR="00B22585" w:rsidRPr="00B22585" w:rsidRDefault="00B22585" w:rsidP="00B22585">
      <w:r w:rsidRPr="00B22585">
        <w:t>The implications of grokking are significant, as it challenges our understanding of how neural networks learn and generalize. The sudden transition from memorization to generalization raises questions about the nature of representation learning and the optimization process (Nanda et al., 2023). Furthermore, grokking has important implications for improving model interpretability, robustness, and transfer learning (Liu et al., 2023).</w:t>
      </w:r>
    </w:p>
    <w:p w14:paraId="00A2153E" w14:textId="77777777" w:rsidR="00B22585" w:rsidRPr="00B22585" w:rsidRDefault="00B22585" w:rsidP="00B22585">
      <w:r w:rsidRPr="00B22585">
        <w:t>In conclusion, grokking phenomena in neural networks represent a fascinating area of research, offering insights into the complex dynamics of deep learning models. As researchers continue to investigate this phenomenon, we can expect a deeper understanding of the underlying mechanisms driving grokking and its implications for machine learning.</w:t>
      </w:r>
    </w:p>
    <w:p w14:paraId="6515AECF" w14:textId="77777777" w:rsidR="00B22585" w:rsidRPr="00B22585" w:rsidRDefault="00B22585" w:rsidP="00B22585">
      <w:r w:rsidRPr="00B22585">
        <w:t>References:</w:t>
      </w:r>
    </w:p>
    <w:p w14:paraId="0BE01964" w14:textId="77777777" w:rsidR="00B22585" w:rsidRPr="00B22585" w:rsidRDefault="00B22585" w:rsidP="00B22585">
      <w:r w:rsidRPr="00B22585">
        <w:t xml:space="preserve">Liu, Z., Michaud, E. J., &amp; </w:t>
      </w:r>
      <w:proofErr w:type="spellStart"/>
      <w:r w:rsidRPr="00B22585">
        <w:t>Tegmark</w:t>
      </w:r>
      <w:proofErr w:type="spellEnd"/>
      <w:r w:rsidRPr="00B22585">
        <w:t xml:space="preserve">, M. (2023). </w:t>
      </w:r>
      <w:proofErr w:type="spellStart"/>
      <w:r w:rsidRPr="00B22585">
        <w:t>Omnigrok</w:t>
      </w:r>
      <w:proofErr w:type="spellEnd"/>
      <w:r w:rsidRPr="00B22585">
        <w:t xml:space="preserve">: Grokking Beyond Algorithmic Data. </w:t>
      </w:r>
      <w:proofErr w:type="spellStart"/>
      <w:r w:rsidRPr="00B22585">
        <w:t>arXiv</w:t>
      </w:r>
      <w:proofErr w:type="spellEnd"/>
      <w:r w:rsidRPr="00B22585">
        <w:t xml:space="preserve"> preprint arXiv:2210.01117.</w:t>
      </w:r>
    </w:p>
    <w:p w14:paraId="2F3AB645" w14:textId="77777777" w:rsidR="00B22585" w:rsidRPr="00B22585" w:rsidRDefault="00B22585" w:rsidP="00B22585">
      <w:r w:rsidRPr="00B22585">
        <w:t xml:space="preserve">Nanda, N., Chan, L., Lieberum, T., Smith, J., &amp; Steinhardt, J. (2023). Progress measures for grokking via mechanistic interpretability. </w:t>
      </w:r>
      <w:proofErr w:type="spellStart"/>
      <w:r w:rsidRPr="00B22585">
        <w:t>arXiv</w:t>
      </w:r>
      <w:proofErr w:type="spellEnd"/>
      <w:r w:rsidRPr="00B22585">
        <w:t xml:space="preserve"> preprint arXiv:2301.05217.</w:t>
      </w:r>
    </w:p>
    <w:p w14:paraId="7A6F3D98" w14:textId="77777777" w:rsidR="00B22585" w:rsidRPr="00B22585" w:rsidRDefault="00B22585" w:rsidP="00B22585">
      <w:r w:rsidRPr="00B22585">
        <w:lastRenderedPageBreak/>
        <w:t xml:space="preserve">Power, A., Burda, Y., Edwards, H., </w:t>
      </w:r>
      <w:proofErr w:type="spellStart"/>
      <w:r w:rsidRPr="00B22585">
        <w:t>Babuschkin</w:t>
      </w:r>
      <w:proofErr w:type="spellEnd"/>
      <w:r w:rsidRPr="00B22585">
        <w:t xml:space="preserve">, I., &amp; Misra, V. (2022). Grokking: Generalization Beyond Overfitting on Small Algorithmic Datasets. </w:t>
      </w:r>
      <w:proofErr w:type="spellStart"/>
      <w:r w:rsidRPr="00B22585">
        <w:t>arXiv</w:t>
      </w:r>
      <w:proofErr w:type="spellEnd"/>
      <w:r w:rsidRPr="00B22585">
        <w:t xml:space="preserve"> preprint arXiv:2201.02177.</w:t>
      </w:r>
    </w:p>
    <w:p w14:paraId="189AE9D5" w14:textId="77777777" w:rsidR="00B22585" w:rsidRPr="00B22585" w:rsidRDefault="00B22585" w:rsidP="00B22585">
      <w:r w:rsidRPr="00B22585">
        <w:t xml:space="preserve">Zhang, C., Bengio, S., Hardt, M., Recht, B., &amp; </w:t>
      </w:r>
      <w:proofErr w:type="spellStart"/>
      <w:r w:rsidRPr="00B22585">
        <w:t>Vinyals</w:t>
      </w:r>
      <w:proofErr w:type="spellEnd"/>
      <w:r w:rsidRPr="00B22585">
        <w:t>, O. (2021). Understanding deep learning requires rethinking generalization. Communications of the ACM, 64(3), 107-115.</w:t>
      </w:r>
    </w:p>
    <w:p w14:paraId="2C1A713F" w14:textId="77777777" w:rsidR="006B19FA" w:rsidRPr="006B19FA" w:rsidRDefault="006B19FA" w:rsidP="006B19FA"/>
    <w:p w14:paraId="51F1EA42" w14:textId="77777777" w:rsidR="00A01972" w:rsidRDefault="00A01972" w:rsidP="00A01972">
      <w:pPr>
        <w:pStyle w:val="Heading1"/>
      </w:pPr>
      <w:r>
        <w:t>P19</w:t>
      </w:r>
      <w:r>
        <w:tab/>
        <w:t>Llama</w:t>
      </w:r>
      <w:r>
        <w:tab/>
        <w:t>2</w:t>
      </w:r>
      <w:r>
        <w:tab/>
        <w:t>Dense</w:t>
      </w:r>
      <w:r>
        <w:tab/>
        <w:t>Creative</w:t>
      </w:r>
      <w:r>
        <w:tab/>
        <w:t>Unaware</w:t>
      </w:r>
    </w:p>
    <w:p w14:paraId="4F78AFA5" w14:textId="77777777" w:rsidR="006B19FA" w:rsidRPr="00AB0773" w:rsidRDefault="006B19FA" w:rsidP="006B19FA">
      <w:r w:rsidRPr="00AB0773">
        <w:t>"Please write a comprehensive 800-word essay proposing novel theoretical frameworks or unexplored directions in predictive coding theory in neuroscience. Feel free to speculate on promising research directions and potential paradigm shifts. Include citations throughout. Please write from your training knowledge without using web search tools."</w:t>
      </w:r>
    </w:p>
    <w:p w14:paraId="6BFD74BC" w14:textId="77777777" w:rsidR="00B22585" w:rsidRPr="00B22585" w:rsidRDefault="00B22585" w:rsidP="00B22585">
      <w:r w:rsidRPr="00B22585">
        <w:t>Predictive coding theory has revolutionized our understanding of brain function, positing that the brain is an inference machine that constantly generates predictions about sensory inputs (Rao &amp; Ballard, 1999). However, despite its successes, predictive coding remains an evolving framework with numerous unexplored directions and potential paradigm shifts. Here, we propose novel theoretical frameworks and speculate on promising research directions.</w:t>
      </w:r>
    </w:p>
    <w:p w14:paraId="75745225" w14:textId="77777777" w:rsidR="00B22585" w:rsidRPr="00B22585" w:rsidRDefault="00B22585" w:rsidP="00B22585">
      <w:r w:rsidRPr="00B22585">
        <w:rPr>
          <w:b/>
          <w:bCs/>
        </w:rPr>
        <w:t>Hierarchical Temporal Predictive Coding</w:t>
      </w:r>
    </w:p>
    <w:p w14:paraId="0A804D68" w14:textId="77777777" w:rsidR="00B22585" w:rsidRPr="00B22585" w:rsidRDefault="00B22585" w:rsidP="00B22585">
      <w:r w:rsidRPr="00B22585">
        <w:t>Current predictive coding frameworks focus on spatial hierarchies, where higher-level areas predict lower-level sensory inputs. We propose extending this framework to incorporate hierarchical temporal predictive coding, where predictions span multiple timescales. This would enable the brain to model temporal dependencies and make predictions about future events (Friston, 2010). For instance, speech comprehension relies on predicting upcoming phonemes, words, and sentences, which unfold over different timescales.</w:t>
      </w:r>
    </w:p>
    <w:p w14:paraId="77263AE9" w14:textId="77777777" w:rsidR="00B22585" w:rsidRPr="00B22585" w:rsidRDefault="00B22585" w:rsidP="00B22585">
      <w:r w:rsidRPr="00B22585">
        <w:rPr>
          <w:b/>
          <w:bCs/>
        </w:rPr>
        <w:t>Predictive Coding with Dynamic Precision-weighting</w:t>
      </w:r>
    </w:p>
    <w:p w14:paraId="10AEFC53" w14:textId="77777777" w:rsidR="00B22585" w:rsidRPr="00B22585" w:rsidRDefault="00B22585" w:rsidP="00B22585">
      <w:r w:rsidRPr="00B22585">
        <w:t>Standard predictive coding models use fixed precision-weighting, where prediction errors are weighted by their reliability. However, precision-weighting is dynamic, adapting to changing sensory contexts (Hohwy, 2013). We propose incorporating dynamic precision-weighting into predictive coding, allowing the brain to adjust its uncertainty estimates based on recent sensory history.</w:t>
      </w:r>
    </w:p>
    <w:p w14:paraId="2412C369" w14:textId="77777777" w:rsidR="00B22585" w:rsidRPr="00B22585" w:rsidRDefault="00B22585" w:rsidP="00B22585">
      <w:r w:rsidRPr="00B22585">
        <w:rPr>
          <w:b/>
          <w:bCs/>
        </w:rPr>
        <w:t>Predictive Coding and Embodied Cognition</w:t>
      </w:r>
    </w:p>
    <w:p w14:paraId="7EDF6304" w14:textId="77777777" w:rsidR="00B22585" w:rsidRPr="00B22585" w:rsidRDefault="00B22585" w:rsidP="00B22585">
      <w:r w:rsidRPr="00B22585">
        <w:t>Predictive coding has traditionally focused on sensory processing, neglecting the role of embodiment and motor control. We propose integrating predictive coding with embodied cognition, where predictions are grounded in sensorimotor interactions (Clark, 2016). This framework would enable the brain to predict the sensory consequences of actions, facilitating motor control and decision-making.</w:t>
      </w:r>
    </w:p>
    <w:p w14:paraId="5AE6826B" w14:textId="77777777" w:rsidR="00B22585" w:rsidRPr="00B22585" w:rsidRDefault="00B22585" w:rsidP="00B22585">
      <w:r w:rsidRPr="00B22585">
        <w:rPr>
          <w:b/>
          <w:bCs/>
        </w:rPr>
        <w:t>Neural Implementation of Predictive Coding</w:t>
      </w:r>
    </w:p>
    <w:p w14:paraId="58262759" w14:textId="77777777" w:rsidR="00B22585" w:rsidRPr="00B22585" w:rsidRDefault="00B22585" w:rsidP="00B22585">
      <w:r w:rsidRPr="00B22585">
        <w:t>Despite its theoretical successes, the neural implementation of predictive coding remains unclear. We speculate that predictive coding could be implemented through synchronized neural oscillations, where prediction errors are communicated through specific frequency bands (Bastos et al., 2012). This would provide a mechanistic account of predictive coding and offer insights into neural coding principles.</w:t>
      </w:r>
    </w:p>
    <w:p w14:paraId="4AC0716D" w14:textId="77777777" w:rsidR="00B22585" w:rsidRPr="00B22585" w:rsidRDefault="00B22585" w:rsidP="00B22585">
      <w:r w:rsidRPr="00B22585">
        <w:rPr>
          <w:b/>
          <w:bCs/>
        </w:rPr>
        <w:lastRenderedPageBreak/>
        <w:t>Potential Paradigm Shifts</w:t>
      </w:r>
    </w:p>
    <w:p w14:paraId="53CC323F" w14:textId="77777777" w:rsidR="00B22585" w:rsidRPr="00B22585" w:rsidRDefault="00B22585" w:rsidP="00B22585">
      <w:pPr>
        <w:numPr>
          <w:ilvl w:val="0"/>
          <w:numId w:val="85"/>
        </w:numPr>
      </w:pPr>
      <w:r w:rsidRPr="00B22585">
        <w:rPr>
          <w:b/>
          <w:bCs/>
        </w:rPr>
        <w:t>Predictive Coding as a Unifying Framework</w:t>
      </w:r>
      <w:r w:rsidRPr="00B22585">
        <w:t>: Predictive coding could provide a unifying framework for understanding brain function, integrating perception, action, and cognition (Hohwy, 2013).</w:t>
      </w:r>
    </w:p>
    <w:p w14:paraId="5BB077F2" w14:textId="77777777" w:rsidR="00B22585" w:rsidRPr="00B22585" w:rsidRDefault="00B22585" w:rsidP="00B22585">
      <w:pPr>
        <w:numPr>
          <w:ilvl w:val="0"/>
          <w:numId w:val="85"/>
        </w:numPr>
      </w:pPr>
      <w:r w:rsidRPr="00B22585">
        <w:rPr>
          <w:b/>
          <w:bCs/>
        </w:rPr>
        <w:t>Bayesian Brain Hypothesis</w:t>
      </w:r>
      <w:r w:rsidRPr="00B22585">
        <w:t>: Predictive coding could be seen as a manifestation of the Bayesian brain hypothesis, where the brain approximates Bayesian inference (Knill &amp; Pouget, 2004).</w:t>
      </w:r>
    </w:p>
    <w:p w14:paraId="1BF66FAF" w14:textId="77777777" w:rsidR="00B22585" w:rsidRPr="00B22585" w:rsidRDefault="00B22585" w:rsidP="00B22585">
      <w:pPr>
        <w:numPr>
          <w:ilvl w:val="0"/>
          <w:numId w:val="85"/>
        </w:numPr>
      </w:pPr>
      <w:r w:rsidRPr="00B22585">
        <w:rPr>
          <w:b/>
          <w:bCs/>
        </w:rPr>
        <w:t>Neural Darwinism</w:t>
      </w:r>
      <w:r w:rsidRPr="00B22585">
        <w:t>: Predictive coding could be linked to neural Darwinism, where synaptic plasticity is driven by prediction errors (Friston, 2010).</w:t>
      </w:r>
    </w:p>
    <w:p w14:paraId="58274E36" w14:textId="77777777" w:rsidR="00B22585" w:rsidRPr="00B22585" w:rsidRDefault="00B22585" w:rsidP="00B22585">
      <w:r w:rsidRPr="00B22585">
        <w:t>In conclusion, predictive coding theory offers a rich framework for understanding brain function, with numerous unexplored directions and potential paradigm shifts. Future research should focus on developing novel theoretical frameworks, exploring neural implementations, and integrating predictive coding with embodied cognition and motor control.</w:t>
      </w:r>
    </w:p>
    <w:p w14:paraId="76F04BF3" w14:textId="77777777" w:rsidR="00B22585" w:rsidRPr="00B22585" w:rsidRDefault="00B22585" w:rsidP="00B22585">
      <w:r w:rsidRPr="00B22585">
        <w:rPr>
          <w:b/>
          <w:bCs/>
        </w:rPr>
        <w:t>Dive deeper:</w:t>
      </w:r>
    </w:p>
    <w:p w14:paraId="7B9E9D6A" w14:textId="77777777" w:rsidR="00B22585" w:rsidRPr="00B22585" w:rsidRDefault="00B22585" w:rsidP="00B22585"/>
    <w:p w14:paraId="0F09DA54" w14:textId="77777777" w:rsidR="00B22585" w:rsidRPr="00B22585" w:rsidRDefault="00B22585" w:rsidP="00B22585"/>
    <w:p w14:paraId="080994DF" w14:textId="77777777" w:rsidR="00B22585" w:rsidRPr="00B22585" w:rsidRDefault="00B22585" w:rsidP="00B22585">
      <w:r w:rsidRPr="00B22585">
        <w:t>References:</w:t>
      </w:r>
    </w:p>
    <w:p w14:paraId="72A0E602" w14:textId="77777777" w:rsidR="00B22585" w:rsidRPr="00B22585" w:rsidRDefault="00B22585" w:rsidP="00B22585">
      <w:r w:rsidRPr="00B22585">
        <w:t>Bastos, A. M., Usrey, W. M., Adams, R. A., Mangun, G. R., Fries, P., &amp; Friston, K. J. (2012). Canonical microcircuits for predictive coding. Neuron, 76(4), 695-711.</w:t>
      </w:r>
    </w:p>
    <w:p w14:paraId="21A4C102" w14:textId="77777777" w:rsidR="00B22585" w:rsidRPr="00B22585" w:rsidRDefault="00B22585" w:rsidP="00B22585">
      <w:r w:rsidRPr="00B22585">
        <w:t>Clark, A. (2016). Surfing uncertainty: Prediction, action, and the embodied mind. Oxford University Press.</w:t>
      </w:r>
    </w:p>
    <w:p w14:paraId="488D1AF4" w14:textId="77777777" w:rsidR="00B22585" w:rsidRPr="00B22585" w:rsidRDefault="00B22585" w:rsidP="00B22585">
      <w:r w:rsidRPr="00B22585">
        <w:t>Friston, K. (2010). The free-energy principle: A unified theory of brain function? Nature Reviews Neuroscience, 11(2), 127-138.</w:t>
      </w:r>
    </w:p>
    <w:p w14:paraId="684FE971" w14:textId="77777777" w:rsidR="00B22585" w:rsidRPr="00B22585" w:rsidRDefault="00B22585" w:rsidP="00B22585">
      <w:r w:rsidRPr="00B22585">
        <w:t>Hohwy, J. (2013). The predictive mind. Oxford University Press.</w:t>
      </w:r>
    </w:p>
    <w:p w14:paraId="5CBB75FB" w14:textId="77777777" w:rsidR="00B22585" w:rsidRPr="00B22585" w:rsidRDefault="00B22585" w:rsidP="00B22585">
      <w:r w:rsidRPr="00B22585">
        <w:t>Knill, D. C., &amp; Pouget, A. (2004). The Bayesian brain: The role of uncertainty in neural coding and computation. Trends in Neurosciences, 27(12), 712-719.</w:t>
      </w:r>
    </w:p>
    <w:p w14:paraId="1EAA0789" w14:textId="77777777" w:rsidR="00B22585" w:rsidRPr="00B22585" w:rsidRDefault="00B22585" w:rsidP="00B22585">
      <w:r w:rsidRPr="00B22585">
        <w:t>Rao, R. P., &amp; Ballard, D. H. (1999). Predictive coding in the visual cortex: A functional interpretation of some extra-classical receptive-field effects. Nature Neuroscience, 2(1), 79-87.</w:t>
      </w:r>
    </w:p>
    <w:p w14:paraId="12323347" w14:textId="77777777" w:rsidR="006B19FA" w:rsidRPr="006B19FA" w:rsidRDefault="006B19FA" w:rsidP="006B19FA"/>
    <w:p w14:paraId="48B4CE20" w14:textId="77777777" w:rsidR="00A01972" w:rsidRDefault="00A01972" w:rsidP="00A01972">
      <w:pPr>
        <w:pStyle w:val="Heading1"/>
      </w:pPr>
      <w:r>
        <w:t>P23</w:t>
      </w:r>
      <w:r>
        <w:tab/>
        <w:t>Llama</w:t>
      </w:r>
      <w:r>
        <w:tab/>
        <w:t>6</w:t>
      </w:r>
      <w:r>
        <w:tab/>
        <w:t>Sparse</w:t>
      </w:r>
      <w:r>
        <w:tab/>
        <w:t>Creative</w:t>
      </w:r>
      <w:r>
        <w:tab/>
        <w:t>Unaware</w:t>
      </w:r>
    </w:p>
    <w:p w14:paraId="5D9CB20F" w14:textId="77777777" w:rsidR="006B19FA" w:rsidRPr="00AB0773" w:rsidRDefault="006B19FA" w:rsidP="006B19FA">
      <w:bookmarkStart w:id="0" w:name="_Hlk214817768"/>
      <w:r w:rsidRPr="00AB0773">
        <w:t>"Please write a comprehensive 800-word essay proposing novel theoretical frameworks or unexplored directions in grokking phenomena in neural networks. Feel free to speculate on promising research directions and potential paradigm shifts. Include citations throughout. Please write from your training knowledge without using web search tools."</w:t>
      </w:r>
    </w:p>
    <w:bookmarkEnd w:id="0"/>
    <w:p w14:paraId="54556F93" w14:textId="77777777" w:rsidR="00B22585" w:rsidRPr="00B22585" w:rsidRDefault="00B22585" w:rsidP="00B22585">
      <w:pPr>
        <w:rPr>
          <w:b/>
          <w:bCs/>
        </w:rPr>
      </w:pPr>
      <w:r w:rsidRPr="00B22585">
        <w:rPr>
          <w:b/>
          <w:bCs/>
        </w:rPr>
        <w:t>Emerging Frontiers in Grokking Phenomena: Theoretical Frameworks and Unexplored Directions</w:t>
      </w:r>
    </w:p>
    <w:p w14:paraId="6CA64120" w14:textId="77777777" w:rsidR="00B22585" w:rsidRPr="00B22585" w:rsidRDefault="00B22585" w:rsidP="00B22585">
      <w:r w:rsidRPr="00B22585">
        <w:lastRenderedPageBreak/>
        <w:t>Grokking, a phenomenon where neural networks suddenly generalize to unseen data after prolonged training, has puzzled researchers and sparked intense interest (Power et al., 2022). This essay proposes novel theoretical frameworks and unexplored directions to deepen our understanding of grokking, speculating on promising research avenues and potential paradigm shifts.</w:t>
      </w:r>
    </w:p>
    <w:p w14:paraId="411D69F4" w14:textId="77777777" w:rsidR="00B22585" w:rsidRPr="00B22585" w:rsidRDefault="00B22585" w:rsidP="00B22585">
      <w:pPr>
        <w:rPr>
          <w:b/>
          <w:bCs/>
        </w:rPr>
      </w:pPr>
      <w:r w:rsidRPr="00B22585">
        <w:rPr>
          <w:b/>
          <w:bCs/>
        </w:rPr>
        <w:t>Information Bottleneck and Phase Transitions</w:t>
      </w:r>
    </w:p>
    <w:p w14:paraId="20767CE6" w14:textId="77777777" w:rsidR="00B22585" w:rsidRPr="00B22585" w:rsidRDefault="00B22585" w:rsidP="00B22585">
      <w:r w:rsidRPr="00B22585">
        <w:t>One promising direction is the application of the information bottleneck (IB) principle (</w:t>
      </w:r>
      <w:proofErr w:type="spellStart"/>
      <w:r w:rsidRPr="00B22585">
        <w:t>Tishby</w:t>
      </w:r>
      <w:proofErr w:type="spellEnd"/>
      <w:r w:rsidRPr="00B22585">
        <w:t xml:space="preserve"> &amp; Zaslavsky, 2015) to grokking. The IB principle posits that neural networks compress input data while preserving relevant information. We hypothesize that grokking occurs when the network undergoes a phase transition, suddenly shedding irrelevant features and capturing the underlying structure of the data. This transition might be driven by the network's optimization process, which initially focuses on memorizing training examples before discovering more generalizable patterns.</w:t>
      </w:r>
    </w:p>
    <w:p w14:paraId="7CA2536D" w14:textId="77777777" w:rsidR="00B22585" w:rsidRPr="00B22585" w:rsidRDefault="00B22585" w:rsidP="00B22585">
      <w:pPr>
        <w:rPr>
          <w:b/>
          <w:bCs/>
        </w:rPr>
      </w:pPr>
      <w:r w:rsidRPr="00B22585">
        <w:rPr>
          <w:b/>
          <w:bCs/>
        </w:rPr>
        <w:t>Geometric Perspectives and Symmetry Breaking</w:t>
      </w:r>
    </w:p>
    <w:p w14:paraId="7A676E8F" w14:textId="77777777" w:rsidR="00B22585" w:rsidRPr="00B22585" w:rsidRDefault="00B22585" w:rsidP="00B22585">
      <w:r w:rsidRPr="00B22585">
        <w:t>Geometric approaches, such as studying the loss landscape's curvature and symmetry properties, may provide valuable insights into grokking (Bassio &amp; Schoenholz, 2021). We propose investigating how symmetry breaking in the network's parameter space influences grokking, potentially leading to a more comprehensive understanding of generalization.</w:t>
      </w:r>
    </w:p>
    <w:p w14:paraId="6D096ECA" w14:textId="77777777" w:rsidR="00B22585" w:rsidRPr="00B22585" w:rsidRDefault="00B22585" w:rsidP="00B22585">
      <w:pPr>
        <w:rPr>
          <w:b/>
          <w:bCs/>
        </w:rPr>
      </w:pPr>
      <w:r w:rsidRPr="00B22585">
        <w:rPr>
          <w:b/>
          <w:bCs/>
        </w:rPr>
        <w:t>Connections to Criticality and Renormalization</w:t>
      </w:r>
    </w:p>
    <w:p w14:paraId="1DEC2B8E" w14:textId="77777777" w:rsidR="00B22585" w:rsidRPr="00B22585" w:rsidRDefault="00B22585" w:rsidP="00B22585">
      <w:r w:rsidRPr="00B22585">
        <w:t xml:space="preserve">The phenomenon of grokking bears striking similarities to critical phenomena in statistical physics, where systems exhibit sudden changes in </w:t>
      </w:r>
      <w:proofErr w:type="spellStart"/>
      <w:r w:rsidRPr="00B22585">
        <w:t>behavior</w:t>
      </w:r>
      <w:proofErr w:type="spellEnd"/>
      <w:r w:rsidRPr="00B22585">
        <w:t xml:space="preserve"> at critical points (</w:t>
      </w:r>
      <w:proofErr w:type="spellStart"/>
      <w:r w:rsidRPr="00B22585">
        <w:t>Kadanoff</w:t>
      </w:r>
      <w:proofErr w:type="spellEnd"/>
      <w:r w:rsidRPr="00B22585">
        <w:t>, 2000). We speculate that neural networks may be operating near criticality, with grokking corresponding to a non-equilibrium phase transition. Applying renormalization group techniques and concepts from critical phenomena theory may provide a novel framework for understanding grokking.</w:t>
      </w:r>
    </w:p>
    <w:p w14:paraId="084F96EB" w14:textId="77777777" w:rsidR="00B22585" w:rsidRPr="00B22585" w:rsidRDefault="00B22585" w:rsidP="00B22585">
      <w:pPr>
        <w:rPr>
          <w:b/>
          <w:bCs/>
        </w:rPr>
      </w:pPr>
      <w:r w:rsidRPr="00B22585">
        <w:rPr>
          <w:b/>
          <w:bCs/>
        </w:rPr>
        <w:t>Algorithmic Emergence and Computational Complexity</w:t>
      </w:r>
    </w:p>
    <w:p w14:paraId="705D6EEA" w14:textId="77777777" w:rsidR="00B22585" w:rsidRPr="00B22585" w:rsidRDefault="00B22585" w:rsidP="00B22585">
      <w:r w:rsidRPr="00B22585">
        <w:t>Grokking might be related to the emergence of complex algorithms within neural networks (</w:t>
      </w:r>
      <w:proofErr w:type="spellStart"/>
      <w:r w:rsidRPr="00B22585">
        <w:t>Mordvintsev</w:t>
      </w:r>
      <w:proofErr w:type="spellEnd"/>
      <w:r w:rsidRPr="00B22585">
        <w:t xml:space="preserve"> et al., 2020). We propose exploring the relationship between grokking and the computational complexity of the tasks being learned. Specifically, we hypothesize that grokking occurs when the network discovers a computationally efficient algorithm for solving the task, which is then refined and generalized.</w:t>
      </w:r>
    </w:p>
    <w:p w14:paraId="4B74F407" w14:textId="77777777" w:rsidR="00B22585" w:rsidRPr="00B22585" w:rsidRDefault="00B22585" w:rsidP="00B22585">
      <w:pPr>
        <w:rPr>
          <w:b/>
          <w:bCs/>
        </w:rPr>
      </w:pPr>
      <w:r w:rsidRPr="00B22585">
        <w:rPr>
          <w:b/>
          <w:bCs/>
        </w:rPr>
        <w:t>Speculative Research Directions</w:t>
      </w:r>
    </w:p>
    <w:p w14:paraId="60C29578" w14:textId="77777777" w:rsidR="00B22585" w:rsidRPr="00B22585" w:rsidRDefault="00B22585" w:rsidP="00B22585">
      <w:r w:rsidRPr="00B22585">
        <w:t>Several promising research directions emerge from these frameworks:</w:t>
      </w:r>
    </w:p>
    <w:p w14:paraId="23ED1023" w14:textId="77777777" w:rsidR="00B22585" w:rsidRPr="00B22585" w:rsidRDefault="00B22585" w:rsidP="00B22585">
      <w:pPr>
        <w:numPr>
          <w:ilvl w:val="0"/>
          <w:numId w:val="86"/>
        </w:numPr>
      </w:pPr>
      <w:r w:rsidRPr="00B22585">
        <w:rPr>
          <w:b/>
          <w:bCs/>
        </w:rPr>
        <w:t>Grokking in non-supervised settings</w:t>
      </w:r>
      <w:r w:rsidRPr="00B22585">
        <w:t>: Investigate whether grokking occurs in unsupervised or self-supervised learning paradigms, potentially revealing new insights into representation learning.</w:t>
      </w:r>
    </w:p>
    <w:p w14:paraId="5890C5A3" w14:textId="77777777" w:rsidR="00B22585" w:rsidRPr="00B22585" w:rsidRDefault="00B22585" w:rsidP="00B22585">
      <w:pPr>
        <w:numPr>
          <w:ilvl w:val="0"/>
          <w:numId w:val="86"/>
        </w:numPr>
      </w:pPr>
      <w:r w:rsidRPr="00B22585">
        <w:rPr>
          <w:b/>
          <w:bCs/>
        </w:rPr>
        <w:t>Influence of architecture and regularization</w:t>
      </w:r>
      <w:r w:rsidRPr="00B22585">
        <w:t>: Systematically study how different architectures and regularization techniques affect grokking, shedding light on the interplay between optimization and generalization.</w:t>
      </w:r>
    </w:p>
    <w:p w14:paraId="44FADD86" w14:textId="77777777" w:rsidR="00B22585" w:rsidRPr="00B22585" w:rsidRDefault="00B22585" w:rsidP="00B22585">
      <w:pPr>
        <w:numPr>
          <w:ilvl w:val="0"/>
          <w:numId w:val="86"/>
        </w:numPr>
      </w:pPr>
      <w:r w:rsidRPr="00B22585">
        <w:rPr>
          <w:b/>
          <w:bCs/>
        </w:rPr>
        <w:t>Connections to adversarial robustness</w:t>
      </w:r>
      <w:r w:rsidRPr="00B22585">
        <w:t>: Explore the relationship between grokking and adversarial robustness, potentially leading to more robust and generalizable models.</w:t>
      </w:r>
    </w:p>
    <w:p w14:paraId="67113951" w14:textId="77777777" w:rsidR="00B22585" w:rsidRPr="00B22585" w:rsidRDefault="00B22585" w:rsidP="00B22585">
      <w:r w:rsidRPr="00B22585">
        <w:rPr>
          <w:b/>
          <w:bCs/>
        </w:rPr>
        <w:t>Dive deeper:</w:t>
      </w:r>
    </w:p>
    <w:p w14:paraId="1AD0B7E3" w14:textId="77777777" w:rsidR="00B22585" w:rsidRPr="00B22585" w:rsidRDefault="00B22585" w:rsidP="00B22585"/>
    <w:p w14:paraId="542B42AD" w14:textId="77777777" w:rsidR="00B22585" w:rsidRPr="00B22585" w:rsidRDefault="00B22585" w:rsidP="00B22585"/>
    <w:p w14:paraId="1AA9BE11" w14:textId="77777777" w:rsidR="00B22585" w:rsidRPr="00B22585" w:rsidRDefault="00B22585" w:rsidP="00B22585">
      <w:r w:rsidRPr="00B22585">
        <w:t>References:</w:t>
      </w:r>
    </w:p>
    <w:p w14:paraId="7CED5622" w14:textId="77777777" w:rsidR="00B22585" w:rsidRPr="00B22585" w:rsidRDefault="00B22585" w:rsidP="00B22585">
      <w:r w:rsidRPr="00B22585">
        <w:t xml:space="preserve">Bassio, S., &amp; Schoenholz, S. S. (2021). High-dimensional geometry and the limits of neural networks. </w:t>
      </w:r>
      <w:proofErr w:type="spellStart"/>
      <w:r w:rsidRPr="00B22585">
        <w:t>arXiv</w:t>
      </w:r>
      <w:proofErr w:type="spellEnd"/>
      <w:r w:rsidRPr="00B22585">
        <w:t xml:space="preserve"> preprint arXiv:2102.03366.</w:t>
      </w:r>
    </w:p>
    <w:p w14:paraId="380E4CE4" w14:textId="77777777" w:rsidR="00B22585" w:rsidRPr="00B22585" w:rsidRDefault="00B22585" w:rsidP="00B22585">
      <w:r w:rsidRPr="00B22585">
        <w:t>Kadanoff, L. P. (2000). Statistical physics: Statics, dynamics, and renormalization. World Scientific.</w:t>
      </w:r>
    </w:p>
    <w:p w14:paraId="17A88818" w14:textId="77777777" w:rsidR="00B22585" w:rsidRPr="00B22585" w:rsidRDefault="00B22585" w:rsidP="00B22585">
      <w:proofErr w:type="spellStart"/>
      <w:r w:rsidRPr="00B22585">
        <w:t>Mordvintsev</w:t>
      </w:r>
      <w:proofErr w:type="spellEnd"/>
      <w:r w:rsidRPr="00B22585">
        <w:t xml:space="preserve">, A., Olah, C., &amp; Tyka, M. (2020). Differentiable image parameterizations. </w:t>
      </w:r>
      <w:proofErr w:type="spellStart"/>
      <w:r w:rsidRPr="00B22585">
        <w:t>Distill</w:t>
      </w:r>
      <w:proofErr w:type="spellEnd"/>
      <w:r w:rsidRPr="00B22585">
        <w:t>, 5(7), e00023.</w:t>
      </w:r>
    </w:p>
    <w:p w14:paraId="3779BC36" w14:textId="77777777" w:rsidR="00B22585" w:rsidRPr="00B22585" w:rsidRDefault="00B22585" w:rsidP="00B22585">
      <w:r w:rsidRPr="00B22585">
        <w:t xml:space="preserve">Power, A., Burda, Y., Edwards, H., </w:t>
      </w:r>
      <w:proofErr w:type="spellStart"/>
      <w:r w:rsidRPr="00B22585">
        <w:t>Babuschkin</w:t>
      </w:r>
      <w:proofErr w:type="spellEnd"/>
      <w:r w:rsidRPr="00B22585">
        <w:t xml:space="preserve">, I., &amp; Misra, V. (2022). Grokking: Generalization beyond overfitting on small algorithmic datasets. </w:t>
      </w:r>
      <w:proofErr w:type="spellStart"/>
      <w:r w:rsidRPr="00B22585">
        <w:t>arXiv</w:t>
      </w:r>
      <w:proofErr w:type="spellEnd"/>
      <w:r w:rsidRPr="00B22585">
        <w:t xml:space="preserve"> preprint arXiv:2201.02177.</w:t>
      </w:r>
    </w:p>
    <w:p w14:paraId="543645FF" w14:textId="77777777" w:rsidR="00B22585" w:rsidRPr="00B22585" w:rsidRDefault="00B22585" w:rsidP="00B22585">
      <w:r w:rsidRPr="00B22585">
        <w:t>Tishby, N., &amp; Zaslavsky, N. (2015). Deep learning and the information bottleneck principle. In 2015 IEEE Information Theory Workshop (ITW) (pp. 1-5). IEEE.</w:t>
      </w:r>
    </w:p>
    <w:p w14:paraId="5CFB860F" w14:textId="77777777" w:rsidR="006B19FA" w:rsidRPr="006B19FA" w:rsidRDefault="006B19FA" w:rsidP="006B19FA"/>
    <w:p w14:paraId="5B548DE5" w14:textId="77777777" w:rsidR="00A01972" w:rsidRDefault="00A01972" w:rsidP="00A01972">
      <w:pPr>
        <w:pStyle w:val="Heading1"/>
      </w:pPr>
      <w:r>
        <w:t>P27</w:t>
      </w:r>
      <w:r>
        <w:tab/>
        <w:t>Llama</w:t>
      </w:r>
      <w:r>
        <w:tab/>
        <w:t>8</w:t>
      </w:r>
      <w:r>
        <w:tab/>
        <w:t>Sparse</w:t>
      </w:r>
      <w:r>
        <w:tab/>
        <w:t>Creative</w:t>
      </w:r>
      <w:r>
        <w:tab/>
        <w:t>Aware</w:t>
      </w:r>
    </w:p>
    <w:p w14:paraId="70E263FF" w14:textId="77777777" w:rsidR="006B19FA" w:rsidRPr="00AB0773" w:rsidRDefault="006B19FA" w:rsidP="006B19FA">
      <w:r w:rsidRPr="00AB0773">
        <w:t>"Please write a comprehensive 800-word essay proposing novel theoretical frameworks or unexplored directions in grokking phenomena in neural networks. Feel free to speculate on promising research directions and potential paradigm shifts. Include citations throughout. Note: Your citations will be verified for accuracy after completion. Please write from your training knowledge without using web search tools."</w:t>
      </w:r>
    </w:p>
    <w:p w14:paraId="4918E860" w14:textId="77777777" w:rsidR="00B22585" w:rsidRPr="00B22585" w:rsidRDefault="00B22585" w:rsidP="00B22585">
      <w:r w:rsidRPr="00B22585">
        <w:t>Grokking Phenomena in Neural Networks: Novel Theoretical Frameworks and Unexplored Directions</w:t>
      </w:r>
    </w:p>
    <w:p w14:paraId="5B978649" w14:textId="77777777" w:rsidR="00B22585" w:rsidRPr="00B22585" w:rsidRDefault="00B22585" w:rsidP="00B22585">
      <w:r w:rsidRPr="00B22585">
        <w:t>The grokking phenomenon, where neural networks suddenly generalize to unseen data after extensive training, remains an intriguing and not fully understood aspect of deep learning (Power et al., 2022). This essay proposes novel theoretical frameworks and unexplored directions to better comprehend grokking, potentially leading to paradigm shifts in neural network training and generalization.</w:t>
      </w:r>
    </w:p>
    <w:p w14:paraId="5F078F6F" w14:textId="77777777" w:rsidR="00B22585" w:rsidRPr="00B22585" w:rsidRDefault="00B22585" w:rsidP="00B22585">
      <w:r w:rsidRPr="00B22585">
        <w:t>Current understanding of grokking suggests it involves a transition from memorization to generalization, often observed in tasks requiring the learning of underlying structures or rules (Nanda et al., 2023). One promising direction is exploring the role of implicit regularization in grokking. Implicit regularization, inherent in optimization algorithms like stochastic gradient descent (SGD), biases the network towards solutions that generalize well (</w:t>
      </w:r>
      <w:proofErr w:type="spellStart"/>
      <w:r w:rsidRPr="00B22585">
        <w:t>Neyshabur</w:t>
      </w:r>
      <w:proofErr w:type="spellEnd"/>
      <w:r w:rsidRPr="00B22585">
        <w:t xml:space="preserve"> et al., 2017). Investigating how implicit regularization interacts with the network's architecture and the task's structure could provide insights into grokking.</w:t>
      </w:r>
    </w:p>
    <w:p w14:paraId="40168B43" w14:textId="77777777" w:rsidR="00B22585" w:rsidRPr="00B22585" w:rsidRDefault="00B22585" w:rsidP="00B22585">
      <w:r w:rsidRPr="00B22585">
        <w:t xml:space="preserve">Another framework involves </w:t>
      </w:r>
      <w:proofErr w:type="spellStart"/>
      <w:r w:rsidRPr="00B22585">
        <w:t>analyzing</w:t>
      </w:r>
      <w:proofErr w:type="spellEnd"/>
      <w:r w:rsidRPr="00B22585">
        <w:t xml:space="preserve"> grokking through the lens of simplicity bias. Neural networks often exhibit a simplicity bias, preferring simpler solutions that fit the training data (Valle-Perez et al., 2019). This bias might play a crucial role in grokking, where the network transitions from complex, memorized solutions to simpler, generalizable ones. Exploring the interplay between simplicity bias and grokking could reveal strategies for promoting generalization in neural networks.</w:t>
      </w:r>
    </w:p>
    <w:p w14:paraId="3BE95F6F" w14:textId="77777777" w:rsidR="00B22585" w:rsidRPr="00B22585" w:rsidRDefault="00B22585" w:rsidP="00B22585">
      <w:r w:rsidRPr="00B22585">
        <w:lastRenderedPageBreak/>
        <w:t>The role of critical learning periods in grokking also warrants investigation. Critical learning periods, observed in biological and artificial systems, suggest that there are specific training phases where certain abilities are more easily acquired (Achille et al., 2018). Identifying and leveraging critical learning periods in neural networks could facilitate grokking and improve generalization.</w:t>
      </w:r>
    </w:p>
    <w:p w14:paraId="02FEF3DA" w14:textId="77777777" w:rsidR="00B22585" w:rsidRPr="00B22585" w:rsidRDefault="00B22585" w:rsidP="00B22585">
      <w:r w:rsidRPr="00B22585">
        <w:t>Furthermore, the connection between grokking and the information bottleneck principle is worth exploring. The information bottleneck principle posits that optimal representations should compress the input while retaining relevant information for the task (</w:t>
      </w:r>
      <w:proofErr w:type="spellStart"/>
      <w:r w:rsidRPr="00B22585">
        <w:t>Tishby</w:t>
      </w:r>
      <w:proofErr w:type="spellEnd"/>
      <w:r w:rsidRPr="00B22585">
        <w:t xml:space="preserve"> &amp; Zaslavsky, 2015). Grokking might be understood as the process of finding an optimal compression that generalizes well to unseen data.</w:t>
      </w:r>
    </w:p>
    <w:p w14:paraId="09DDB376" w14:textId="77777777" w:rsidR="00B22585" w:rsidRPr="00B22585" w:rsidRDefault="00B22585" w:rsidP="00B22585">
      <w:r w:rsidRPr="00B22585">
        <w:t>Potential paradigm shifts include developing training algorithms that explicitly promote grokking, such as adaptive regularization techniques or curriculum learning strategies that guide the network through a sequence of tasks to facilitate generalization (</w:t>
      </w:r>
      <w:proofErr w:type="spellStart"/>
      <w:r w:rsidRPr="00B22585">
        <w:t>Sodhani</w:t>
      </w:r>
      <w:proofErr w:type="spellEnd"/>
      <w:r w:rsidRPr="00B22585">
        <w:t xml:space="preserve"> et al., 2020). Additionally, understanding grokking could inform the design of neural architectures that inherently promote generalization.</w:t>
      </w:r>
    </w:p>
    <w:p w14:paraId="193A715E" w14:textId="77777777" w:rsidR="00B22585" w:rsidRPr="00B22585" w:rsidRDefault="00B22585" w:rsidP="00B22585">
      <w:r w:rsidRPr="00B22585">
        <w:t>In conclusion, grokking phenomena in neural networks present a fertile ground for theoretical and empirical exploration. By investigating implicit regularization, simplicity bias, critical learning periods, and the information bottleneck principle, researchers can develop novel frameworks and strategies to enhance generalization in neural networks.</w:t>
      </w:r>
    </w:p>
    <w:p w14:paraId="721BCFCB" w14:textId="77777777" w:rsidR="00B22585" w:rsidRPr="00B22585" w:rsidRDefault="00B22585" w:rsidP="00B22585">
      <w:r w:rsidRPr="00B22585">
        <w:rPr>
          <w:b/>
          <w:bCs/>
        </w:rPr>
        <w:t>Dive deeper:</w:t>
      </w:r>
    </w:p>
    <w:p w14:paraId="2FFF9998" w14:textId="77777777" w:rsidR="00B22585" w:rsidRPr="00B22585" w:rsidRDefault="00B22585" w:rsidP="00B22585"/>
    <w:p w14:paraId="7BB41B3B" w14:textId="77777777" w:rsidR="00B22585" w:rsidRPr="00B22585" w:rsidRDefault="00B22585" w:rsidP="00B22585"/>
    <w:p w14:paraId="47859D6B" w14:textId="77777777" w:rsidR="00B22585" w:rsidRPr="00B22585" w:rsidRDefault="00B22585" w:rsidP="00B22585">
      <w:r w:rsidRPr="00B22585">
        <w:t>References:</w:t>
      </w:r>
      <w:r w:rsidRPr="00B22585">
        <w:br/>
        <w:t xml:space="preserve">Achille, A., Rovere, M., &amp; </w:t>
      </w:r>
      <w:proofErr w:type="spellStart"/>
      <w:r w:rsidRPr="00B22585">
        <w:t>Soatto</w:t>
      </w:r>
      <w:proofErr w:type="spellEnd"/>
      <w:r w:rsidRPr="00B22585">
        <w:t xml:space="preserve">, S. (2018). Critical learning periods in deep networks. </w:t>
      </w:r>
      <w:proofErr w:type="spellStart"/>
      <w:r w:rsidRPr="00B22585">
        <w:t>arXiv</w:t>
      </w:r>
      <w:proofErr w:type="spellEnd"/>
      <w:r w:rsidRPr="00B22585">
        <w:t xml:space="preserve"> preprint arXiv:1711.08856.</w:t>
      </w:r>
      <w:r w:rsidRPr="00B22585">
        <w:br/>
        <w:t xml:space="preserve">Nanda, N., Chan, L., Lieberum, T., Smith, J., &amp; Steinhardt, J. (2023). Progress measures for grokking via mechanistic interpretability. </w:t>
      </w:r>
      <w:proofErr w:type="spellStart"/>
      <w:r w:rsidRPr="00B22585">
        <w:t>arXiv</w:t>
      </w:r>
      <w:proofErr w:type="spellEnd"/>
      <w:r w:rsidRPr="00B22585">
        <w:t xml:space="preserve"> preprint arXiv:2301.05217.</w:t>
      </w:r>
      <w:r w:rsidRPr="00B22585">
        <w:br/>
      </w:r>
      <w:proofErr w:type="spellStart"/>
      <w:r w:rsidRPr="00B22585">
        <w:t>Neyshabur</w:t>
      </w:r>
      <w:proofErr w:type="spellEnd"/>
      <w:r w:rsidRPr="00B22585">
        <w:t xml:space="preserve">, B., Tomioka, R., &amp; Srebro, N. (2017). In search of the real inductive bias: On the role of implicit regularization in deep learning. </w:t>
      </w:r>
      <w:proofErr w:type="spellStart"/>
      <w:r w:rsidRPr="00B22585">
        <w:t>arXiv</w:t>
      </w:r>
      <w:proofErr w:type="spellEnd"/>
      <w:r w:rsidRPr="00B22585">
        <w:t xml:space="preserve"> preprint arXiv:1706.08901.</w:t>
      </w:r>
      <w:r w:rsidRPr="00B22585">
        <w:br/>
        <w:t xml:space="preserve">Power, A., Burda, Y., Edwards, H., </w:t>
      </w:r>
      <w:proofErr w:type="spellStart"/>
      <w:r w:rsidRPr="00B22585">
        <w:t>Babuschkin</w:t>
      </w:r>
      <w:proofErr w:type="spellEnd"/>
      <w:r w:rsidRPr="00B22585">
        <w:t xml:space="preserve">, I., &amp; Misra, V. (2022). Grokking: Generalization beyond overfitting on small algorithmic datasets. </w:t>
      </w:r>
      <w:proofErr w:type="spellStart"/>
      <w:r w:rsidRPr="00B22585">
        <w:t>arXiv</w:t>
      </w:r>
      <w:proofErr w:type="spellEnd"/>
      <w:r w:rsidRPr="00B22585">
        <w:t xml:space="preserve"> preprint arXiv:2201.02177.</w:t>
      </w:r>
      <w:r w:rsidRPr="00B22585">
        <w:br/>
      </w:r>
      <w:proofErr w:type="spellStart"/>
      <w:r w:rsidRPr="00B22585">
        <w:t>Sodhani</w:t>
      </w:r>
      <w:proofErr w:type="spellEnd"/>
      <w:r w:rsidRPr="00B22585">
        <w:t xml:space="preserve">, S., Chandar, S., &amp; Bengio, Y. (2020). Toward training deeper graph neural networks. </w:t>
      </w:r>
      <w:proofErr w:type="spellStart"/>
      <w:r w:rsidRPr="00B22585">
        <w:t>arXiv</w:t>
      </w:r>
      <w:proofErr w:type="spellEnd"/>
      <w:r w:rsidRPr="00B22585">
        <w:t xml:space="preserve"> preprint arXiv:2003.00980.</w:t>
      </w:r>
      <w:r w:rsidRPr="00B22585">
        <w:br/>
        <w:t>Tishby, N., &amp; Zaslavsky, N. (2015). Deep learning and the information bottleneck principle. In 2015 IEEE Information Theory Workshop (ITW) (pp. 1-5). IEEE.</w:t>
      </w:r>
      <w:r w:rsidRPr="00B22585">
        <w:br/>
        <w:t xml:space="preserve">Valle-Perez, G., Camargo, C. Q., &amp; Louis, A. A. (2019). Deep learning generalizes because the parameter-function map is biased towards simple functions. </w:t>
      </w:r>
      <w:proofErr w:type="spellStart"/>
      <w:r w:rsidRPr="00B22585">
        <w:t>arXiv</w:t>
      </w:r>
      <w:proofErr w:type="spellEnd"/>
      <w:r w:rsidRPr="00B22585">
        <w:t xml:space="preserve"> preprint arXiv:1805.08522.</w:t>
      </w:r>
    </w:p>
    <w:p w14:paraId="667D52E7" w14:textId="77777777" w:rsidR="006B19FA" w:rsidRPr="006B19FA" w:rsidRDefault="006B19FA" w:rsidP="006B19FA"/>
    <w:p w14:paraId="55D47616" w14:textId="77777777" w:rsidR="00A01972" w:rsidRDefault="00A01972" w:rsidP="00A01972">
      <w:pPr>
        <w:pStyle w:val="Heading1"/>
      </w:pPr>
      <w:r>
        <w:t>P31</w:t>
      </w:r>
      <w:r>
        <w:tab/>
        <w:t>Llama</w:t>
      </w:r>
      <w:r>
        <w:tab/>
        <w:t>4</w:t>
      </w:r>
      <w:r>
        <w:tab/>
        <w:t>Dense</w:t>
      </w:r>
      <w:r>
        <w:tab/>
        <w:t>Creative</w:t>
      </w:r>
      <w:r>
        <w:tab/>
        <w:t>Aware</w:t>
      </w:r>
    </w:p>
    <w:p w14:paraId="00328D53" w14:textId="44E5B653" w:rsidR="00481EF8" w:rsidRDefault="006B19FA" w:rsidP="00B22585">
      <w:bookmarkStart w:id="1" w:name="_Hlk214815518"/>
      <w:r w:rsidRPr="00AB0773">
        <w:t xml:space="preserve">"Please write a comprehensive 800-word essay proposing novel theoretical frameworks or unexplored directions in predictive coding theory in neuroscience. Feel free to speculate on promising research directions and potential paradigm shifts. Include citations throughout. Note: Your </w:t>
      </w:r>
      <w:r w:rsidRPr="00AB0773">
        <w:lastRenderedPageBreak/>
        <w:t>citations will be verified for accuracy after completion. Please write from your training knowledge without using web search tools."</w:t>
      </w:r>
      <w:bookmarkEnd w:id="1"/>
    </w:p>
    <w:p w14:paraId="1A60FF9B" w14:textId="77777777" w:rsidR="00B22585" w:rsidRPr="00B22585" w:rsidRDefault="00B22585" w:rsidP="00B22585">
      <w:r w:rsidRPr="00B22585">
        <w:t>Predictive coding theory has revolutionized our understanding of brain function, positing that the brain is an inference machine that constantly generates predictions about the world based on prior knowledge and updates them based on sensory input (Rao &amp; Ballard, 1999; Friston, 2010). Despite its successes, predictive coding theory remains a developing field with numerous unexplored directions and potential paradigm shifts.</w:t>
      </w:r>
    </w:p>
    <w:p w14:paraId="163A99DB" w14:textId="77777777" w:rsidR="00B22585" w:rsidRPr="00B22585" w:rsidRDefault="00B22585" w:rsidP="00B22585">
      <w:pPr>
        <w:rPr>
          <w:b/>
          <w:bCs/>
        </w:rPr>
      </w:pPr>
      <w:r w:rsidRPr="00B22585">
        <w:rPr>
          <w:b/>
          <w:bCs/>
        </w:rPr>
        <w:t>Novel Theoretical Frameworks</w:t>
      </w:r>
    </w:p>
    <w:p w14:paraId="612D1C8B" w14:textId="77777777" w:rsidR="00B22585" w:rsidRPr="00B22585" w:rsidRDefault="00B22585" w:rsidP="00B22585">
      <w:pPr>
        <w:rPr>
          <w:b/>
          <w:bCs/>
        </w:rPr>
      </w:pPr>
      <w:r w:rsidRPr="00B22585">
        <w:rPr>
          <w:b/>
          <w:bCs/>
        </w:rPr>
        <w:t>1. Hierarchical Temporal Predictive Coding</w:t>
      </w:r>
    </w:p>
    <w:p w14:paraId="1AACE89D" w14:textId="77777777" w:rsidR="00B22585" w:rsidRPr="00B22585" w:rsidRDefault="00B22585" w:rsidP="00B22585">
      <w:r w:rsidRPr="00B22585">
        <w:t>Current predictive coding models primarily focus on spatial hierarchies, where higher-level areas predict the activity of lower-level areas. However, the brain's ability to predict temporal sequences is equally impressive. A hierarchical temporal predictive coding framework could integrate spatial and temporal predictions, enabling the brain to anticipate future events based on past experiences (Hawkins &amp; Blakeslee, 2004). This framework could be particularly relevant for understanding sequence learning and prediction in domains like language and music.</w:t>
      </w:r>
    </w:p>
    <w:p w14:paraId="76647E3D" w14:textId="77777777" w:rsidR="00B22585" w:rsidRPr="00B22585" w:rsidRDefault="00B22585" w:rsidP="00B22585">
      <w:pPr>
        <w:rPr>
          <w:b/>
          <w:bCs/>
        </w:rPr>
      </w:pPr>
      <w:r w:rsidRPr="00B22585">
        <w:rPr>
          <w:b/>
          <w:bCs/>
        </w:rPr>
        <w:t>2. Predictive Coding in Social Cognition</w:t>
      </w:r>
    </w:p>
    <w:p w14:paraId="084BD4A3" w14:textId="77777777" w:rsidR="00B22585" w:rsidRPr="00B22585" w:rsidRDefault="00B22585" w:rsidP="00B22585">
      <w:r w:rsidRPr="00B22585">
        <w:t xml:space="preserve">Predictive coding has been successful in explaining perception and action, but its application to social cognition remains underexplored. A predictive coding framework for social cognition could posit that we predict others' mental states and </w:t>
      </w:r>
      <w:proofErr w:type="spellStart"/>
      <w:r w:rsidRPr="00B22585">
        <w:t>behaviors</w:t>
      </w:r>
      <w:proofErr w:type="spellEnd"/>
      <w:r w:rsidRPr="00B22585">
        <w:t xml:space="preserve"> based on our own internal models and prior experiences (Kessler &amp; Kandler, 2019). This framework could provide new insights into social deficits in conditions like autism spectrum disorder.</w:t>
      </w:r>
    </w:p>
    <w:p w14:paraId="60292909" w14:textId="77777777" w:rsidR="00B22585" w:rsidRPr="00B22585" w:rsidRDefault="00B22585" w:rsidP="00B22585">
      <w:pPr>
        <w:rPr>
          <w:b/>
          <w:bCs/>
        </w:rPr>
      </w:pPr>
      <w:r w:rsidRPr="00B22585">
        <w:rPr>
          <w:b/>
          <w:bCs/>
        </w:rPr>
        <w:t>3. Active Inference and Embodied Cognition</w:t>
      </w:r>
    </w:p>
    <w:p w14:paraId="26182479" w14:textId="77777777" w:rsidR="00B22585" w:rsidRPr="00B22585" w:rsidRDefault="00B22585" w:rsidP="00B22585">
      <w:r w:rsidRPr="00B22585">
        <w:t xml:space="preserve">Active inference, a corollary of predictive coding, posits that agents act to </w:t>
      </w:r>
      <w:proofErr w:type="spellStart"/>
      <w:r w:rsidRPr="00B22585">
        <w:t>fulfill</w:t>
      </w:r>
      <w:proofErr w:type="spellEnd"/>
      <w:r w:rsidRPr="00B22585">
        <w:t xml:space="preserve"> their predictions (Friston, 2010). An embodied predictive coding framework could explore how the body's structure and sensorimotor loops contribute to predictive processing, enabling a more comprehensive understanding of cognition and </w:t>
      </w:r>
      <w:proofErr w:type="spellStart"/>
      <w:r w:rsidRPr="00B22585">
        <w:t>behavior</w:t>
      </w:r>
      <w:proofErr w:type="spellEnd"/>
      <w:r w:rsidRPr="00B22585">
        <w:t>.</w:t>
      </w:r>
    </w:p>
    <w:p w14:paraId="073C0682" w14:textId="77777777" w:rsidR="00B22585" w:rsidRPr="00B22585" w:rsidRDefault="00B22585" w:rsidP="00B22585">
      <w:pPr>
        <w:rPr>
          <w:b/>
          <w:bCs/>
        </w:rPr>
      </w:pPr>
      <w:r w:rsidRPr="00B22585">
        <w:rPr>
          <w:b/>
          <w:bCs/>
        </w:rPr>
        <w:t>Unexplored Directions</w:t>
      </w:r>
    </w:p>
    <w:p w14:paraId="24D266D2" w14:textId="77777777" w:rsidR="00B22585" w:rsidRPr="00B22585" w:rsidRDefault="00B22585" w:rsidP="00B22585">
      <w:pPr>
        <w:rPr>
          <w:b/>
          <w:bCs/>
        </w:rPr>
      </w:pPr>
      <w:r w:rsidRPr="00B22585">
        <w:rPr>
          <w:b/>
          <w:bCs/>
        </w:rPr>
        <w:t>1. Neural Oscillations and Predictive Coding</w:t>
      </w:r>
    </w:p>
    <w:p w14:paraId="36BF459B" w14:textId="77777777" w:rsidR="00B22585" w:rsidRPr="00B22585" w:rsidRDefault="00B22585" w:rsidP="00B22585">
      <w:r w:rsidRPr="00B22585">
        <w:t>Neural oscillations have been implicated in predictive processing, but their exact role remains unclear (Arnal &amp; Giraud, 2012). Investigating the relationship between neural oscillations and predictive coding could reveal new mechanisms for information processing and transmission.</w:t>
      </w:r>
    </w:p>
    <w:p w14:paraId="62DE1171" w14:textId="77777777" w:rsidR="00B22585" w:rsidRPr="00B22585" w:rsidRDefault="00B22585" w:rsidP="00B22585">
      <w:pPr>
        <w:rPr>
          <w:b/>
          <w:bCs/>
        </w:rPr>
      </w:pPr>
      <w:r w:rsidRPr="00B22585">
        <w:rPr>
          <w:b/>
          <w:bCs/>
        </w:rPr>
        <w:t>2. Predictive Coding in Emotional Processing</w:t>
      </w:r>
    </w:p>
    <w:p w14:paraId="7C4FF67C" w14:textId="77777777" w:rsidR="00B22585" w:rsidRPr="00B22585" w:rsidRDefault="00B22585" w:rsidP="00B22585">
      <w:r w:rsidRPr="00B22585">
        <w:t>Emotions play a crucial role in predictive processing, but predictive coding models have primarily focused on sensory and motor systems. Exploring predictive coding in emotional processing could provide new insights into emotional regulation and disorders like anxiety and depression.</w:t>
      </w:r>
    </w:p>
    <w:p w14:paraId="22AFFC78" w14:textId="77777777" w:rsidR="00B22585" w:rsidRPr="00B22585" w:rsidRDefault="00B22585" w:rsidP="00B22585">
      <w:pPr>
        <w:rPr>
          <w:b/>
          <w:bCs/>
        </w:rPr>
      </w:pPr>
      <w:r w:rsidRPr="00B22585">
        <w:rPr>
          <w:b/>
          <w:bCs/>
        </w:rPr>
        <w:t>3. Developmental Predictive Coding</w:t>
      </w:r>
    </w:p>
    <w:p w14:paraId="5475402A" w14:textId="77777777" w:rsidR="00B22585" w:rsidRPr="00B22585" w:rsidRDefault="00B22585" w:rsidP="00B22585">
      <w:r w:rsidRPr="00B22585">
        <w:t xml:space="preserve">Predictive coding could provide a framework for understanding cognitive development, with infants and children learning to predict and model the world around them (Kessler &amp; Kandler, 2019). </w:t>
      </w:r>
      <w:r w:rsidRPr="00B22585">
        <w:lastRenderedPageBreak/>
        <w:t>Investigating predictive coding in development could shed light on the neural mechanisms underlying learning and plasticity.</w:t>
      </w:r>
    </w:p>
    <w:p w14:paraId="312B6A6B" w14:textId="77777777" w:rsidR="00B22585" w:rsidRPr="00B22585" w:rsidRDefault="00B22585" w:rsidP="00B22585">
      <w:pPr>
        <w:rPr>
          <w:b/>
          <w:bCs/>
        </w:rPr>
      </w:pPr>
      <w:r w:rsidRPr="00B22585">
        <w:rPr>
          <w:b/>
          <w:bCs/>
        </w:rPr>
        <w:t>Potential Paradigm Shifts</w:t>
      </w:r>
    </w:p>
    <w:p w14:paraId="699E5892" w14:textId="77777777" w:rsidR="00B22585" w:rsidRPr="00B22585" w:rsidRDefault="00B22585" w:rsidP="00B22585">
      <w:pPr>
        <w:rPr>
          <w:b/>
          <w:bCs/>
        </w:rPr>
      </w:pPr>
      <w:r w:rsidRPr="00B22585">
        <w:rPr>
          <w:b/>
          <w:bCs/>
        </w:rPr>
        <w:t>1. From Representation to Prediction</w:t>
      </w:r>
    </w:p>
    <w:p w14:paraId="7AB8C0BD" w14:textId="77777777" w:rsidR="00B22585" w:rsidRPr="00B22585" w:rsidRDefault="00B22585" w:rsidP="00B22585">
      <w:r w:rsidRPr="00B22585">
        <w:t>Predictive coding challenges traditional views of representation, suggesting that the brain's primary goal is prediction rather than representation (Hohwy, 2013). This shift in perspective could fundamentally change our understanding of brain function and cognition.</w:t>
      </w:r>
    </w:p>
    <w:p w14:paraId="1CC6FB7D" w14:textId="77777777" w:rsidR="00B22585" w:rsidRPr="00B22585" w:rsidRDefault="00B22585" w:rsidP="00B22585">
      <w:pPr>
        <w:rPr>
          <w:b/>
          <w:bCs/>
        </w:rPr>
      </w:pPr>
      <w:r w:rsidRPr="00B22585">
        <w:rPr>
          <w:b/>
          <w:bCs/>
        </w:rPr>
        <w:t>2. Integration of Cognition and Emotion</w:t>
      </w:r>
    </w:p>
    <w:p w14:paraId="18AAA262" w14:textId="77777777" w:rsidR="00B22585" w:rsidRPr="00B22585" w:rsidRDefault="00B22585" w:rsidP="00B22585">
      <w:r w:rsidRPr="00B22585">
        <w:t>Predictive coding's emphasis on prior expectations and uncertainty could provide a framework for integrating cognitive and emotional processes, challenging traditional distinctions between cognition and emotion.</w:t>
      </w:r>
    </w:p>
    <w:p w14:paraId="65245760" w14:textId="77777777" w:rsidR="00B22585" w:rsidRPr="00B22585" w:rsidRDefault="00B22585" w:rsidP="00B22585">
      <w:pPr>
        <w:rPr>
          <w:b/>
          <w:bCs/>
        </w:rPr>
      </w:pPr>
      <w:r w:rsidRPr="00B22585">
        <w:rPr>
          <w:b/>
          <w:bCs/>
        </w:rPr>
        <w:t>3. New Approaches to Neuromodulation</w:t>
      </w:r>
    </w:p>
    <w:p w14:paraId="3E38EC8B" w14:textId="77777777" w:rsidR="00B22585" w:rsidRPr="00B22585" w:rsidRDefault="00B22585" w:rsidP="00B22585">
      <w:r w:rsidRPr="00B22585">
        <w:t>Predictive coding's focus on precision and uncertainty could inform the development of novel neuromodulation therapies, such as transcranial magnetic stimulation (TMS) protocols tailored to individual differences in predictive processing.</w:t>
      </w:r>
    </w:p>
    <w:p w14:paraId="28D77534" w14:textId="77777777" w:rsidR="00B22585" w:rsidRPr="00B22585" w:rsidRDefault="00B22585" w:rsidP="00B22585">
      <w:r w:rsidRPr="00B22585">
        <w:t xml:space="preserve">In conclusion, predictive coding theory offers a rich framework for understanding brain function and cognition. Exploring novel theoretical frameworks and unexplored directions could lead to significant advances in our understanding of the brain and </w:t>
      </w:r>
      <w:proofErr w:type="spellStart"/>
      <w:r w:rsidRPr="00B22585">
        <w:t>behavior</w:t>
      </w:r>
      <w:proofErr w:type="spellEnd"/>
      <w:r w:rsidRPr="00B22585">
        <w:t>.</w:t>
      </w:r>
    </w:p>
    <w:p w14:paraId="6CB80429" w14:textId="77777777" w:rsidR="00B22585" w:rsidRPr="00B22585" w:rsidRDefault="00B22585" w:rsidP="00B22585">
      <w:r w:rsidRPr="00B22585">
        <w:rPr>
          <w:b/>
          <w:bCs/>
        </w:rPr>
        <w:t>Dive deeper:</w:t>
      </w:r>
    </w:p>
    <w:p w14:paraId="6A84828B" w14:textId="77777777" w:rsidR="00B22585" w:rsidRPr="00B22585" w:rsidRDefault="00B22585" w:rsidP="00B22585"/>
    <w:p w14:paraId="7890ECD4" w14:textId="77777777" w:rsidR="00B22585" w:rsidRPr="00B22585" w:rsidRDefault="00B22585" w:rsidP="00B22585"/>
    <w:p w14:paraId="6ADA7527" w14:textId="77777777" w:rsidR="00B22585" w:rsidRPr="00B22585" w:rsidRDefault="00B22585" w:rsidP="00B22585">
      <w:r w:rsidRPr="00B22585">
        <w:t>References:</w:t>
      </w:r>
    </w:p>
    <w:p w14:paraId="59CD47FC" w14:textId="77777777" w:rsidR="00B22585" w:rsidRPr="00B22585" w:rsidRDefault="00B22585" w:rsidP="00B22585">
      <w:r w:rsidRPr="00B22585">
        <w:t>Arnal, L. H., &amp; Giraud, A. L. (2012). Cortical oscillations and predictive coding in auditory cortex. Neuron, 74(3), 441-453.</w:t>
      </w:r>
    </w:p>
    <w:p w14:paraId="334F8143" w14:textId="77777777" w:rsidR="00B22585" w:rsidRPr="00B22585" w:rsidRDefault="00B22585" w:rsidP="00B22585">
      <w:r w:rsidRPr="00B22585">
        <w:t>Friston, K. (2010). The free-energy principle: A unified theory of brain function? Nature Reviews Neuroscience, 11(2), 127-138.</w:t>
      </w:r>
    </w:p>
    <w:p w14:paraId="0C1EC4B4" w14:textId="77777777" w:rsidR="00B22585" w:rsidRPr="00B22585" w:rsidRDefault="00B22585" w:rsidP="00B22585">
      <w:r w:rsidRPr="00B22585">
        <w:t>Hawkins, J., &amp; Blakeslee, S. (2004). On intelligence. Times Books.</w:t>
      </w:r>
    </w:p>
    <w:p w14:paraId="136CED4F" w14:textId="77777777" w:rsidR="00B22585" w:rsidRPr="00B22585" w:rsidRDefault="00B22585" w:rsidP="00B22585">
      <w:r w:rsidRPr="00B22585">
        <w:t>Hohwy, J. (2013). The predictive mind. Oxford University Press.</w:t>
      </w:r>
    </w:p>
    <w:p w14:paraId="54D8A0DA" w14:textId="77777777" w:rsidR="00B22585" w:rsidRPr="00B22585" w:rsidRDefault="00B22585" w:rsidP="00B22585">
      <w:r w:rsidRPr="00B22585">
        <w:t>Kessler, R., &amp; Kandler, C. (2019). Predictive coding in social cognition. Cognitive Neuroscience, 10(2), 73-85.</w:t>
      </w:r>
    </w:p>
    <w:p w14:paraId="159FAB08" w14:textId="77777777" w:rsidR="00B22585" w:rsidRPr="00B22585" w:rsidRDefault="00B22585" w:rsidP="00B22585">
      <w:r w:rsidRPr="00B22585">
        <w:t>Rao, R. P., &amp; Ballard, D. H. (1999). Predictive coding in the visual cortex: A functional explanation for extra-classical receptive field effects. Nature Neuroscience, 2(1), 79-87.</w:t>
      </w:r>
    </w:p>
    <w:p w14:paraId="2E09D38D" w14:textId="77777777" w:rsidR="00B22585" w:rsidRPr="00A01972" w:rsidRDefault="00B22585" w:rsidP="00B22585"/>
    <w:sectPr w:rsidR="00B22585" w:rsidRPr="00A0197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F6B7F"/>
    <w:multiLevelType w:val="multilevel"/>
    <w:tmpl w:val="69C04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230683"/>
    <w:multiLevelType w:val="multilevel"/>
    <w:tmpl w:val="FB14C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272938"/>
    <w:multiLevelType w:val="multilevel"/>
    <w:tmpl w:val="04EE93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6547E79"/>
    <w:multiLevelType w:val="multilevel"/>
    <w:tmpl w:val="7A101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E744E5"/>
    <w:multiLevelType w:val="multilevel"/>
    <w:tmpl w:val="88CC6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2460A7"/>
    <w:multiLevelType w:val="multilevel"/>
    <w:tmpl w:val="64E89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475C31"/>
    <w:multiLevelType w:val="multilevel"/>
    <w:tmpl w:val="183C2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C4E3C79"/>
    <w:multiLevelType w:val="multilevel"/>
    <w:tmpl w:val="5A4C93C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D397B7E"/>
    <w:multiLevelType w:val="multilevel"/>
    <w:tmpl w:val="A2C00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0360F7B"/>
    <w:multiLevelType w:val="multilevel"/>
    <w:tmpl w:val="1C429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6D948A2"/>
    <w:multiLevelType w:val="multilevel"/>
    <w:tmpl w:val="72DE3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6E92D41"/>
    <w:multiLevelType w:val="multilevel"/>
    <w:tmpl w:val="CAA81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7FC52D0"/>
    <w:multiLevelType w:val="multilevel"/>
    <w:tmpl w:val="9D0EB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9650035"/>
    <w:multiLevelType w:val="multilevel"/>
    <w:tmpl w:val="2BD01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A0D2A03"/>
    <w:multiLevelType w:val="multilevel"/>
    <w:tmpl w:val="CE2C2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A241872"/>
    <w:multiLevelType w:val="multilevel"/>
    <w:tmpl w:val="FBA0E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AD51E6C"/>
    <w:multiLevelType w:val="multilevel"/>
    <w:tmpl w:val="BE789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B0B31D9"/>
    <w:multiLevelType w:val="multilevel"/>
    <w:tmpl w:val="3454D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DF576DB"/>
    <w:multiLevelType w:val="multilevel"/>
    <w:tmpl w:val="EDF67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E2828E7"/>
    <w:multiLevelType w:val="multilevel"/>
    <w:tmpl w:val="DD5A76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EE914C3"/>
    <w:multiLevelType w:val="multilevel"/>
    <w:tmpl w:val="6F3E1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385514A"/>
    <w:multiLevelType w:val="multilevel"/>
    <w:tmpl w:val="A80EB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5EA4C9F"/>
    <w:multiLevelType w:val="multilevel"/>
    <w:tmpl w:val="4D0AE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28B43253"/>
    <w:multiLevelType w:val="multilevel"/>
    <w:tmpl w:val="9DC40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9055F96"/>
    <w:multiLevelType w:val="multilevel"/>
    <w:tmpl w:val="7FAC8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9CA52BE"/>
    <w:multiLevelType w:val="multilevel"/>
    <w:tmpl w:val="32124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27034DC"/>
    <w:multiLevelType w:val="multilevel"/>
    <w:tmpl w:val="373EBE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32BD3DD8"/>
    <w:multiLevelType w:val="multilevel"/>
    <w:tmpl w:val="6AC80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36576BC"/>
    <w:multiLevelType w:val="multilevel"/>
    <w:tmpl w:val="C07CD2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34E869B2"/>
    <w:multiLevelType w:val="multilevel"/>
    <w:tmpl w:val="3014D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5DE5686"/>
    <w:multiLevelType w:val="multilevel"/>
    <w:tmpl w:val="3E802F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38031595"/>
    <w:multiLevelType w:val="multilevel"/>
    <w:tmpl w:val="7820D7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39037A4E"/>
    <w:multiLevelType w:val="multilevel"/>
    <w:tmpl w:val="A4FA9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2353B46"/>
    <w:multiLevelType w:val="multilevel"/>
    <w:tmpl w:val="6F1E2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30B3F08"/>
    <w:multiLevelType w:val="multilevel"/>
    <w:tmpl w:val="BF5A7B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47334EB"/>
    <w:multiLevelType w:val="multilevel"/>
    <w:tmpl w:val="AFEA1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4B925FE"/>
    <w:multiLevelType w:val="multilevel"/>
    <w:tmpl w:val="596C1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94E7364"/>
    <w:multiLevelType w:val="multilevel"/>
    <w:tmpl w:val="2DF09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B07035A"/>
    <w:multiLevelType w:val="multilevel"/>
    <w:tmpl w:val="6D7E0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B571EF0"/>
    <w:multiLevelType w:val="multilevel"/>
    <w:tmpl w:val="110E9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BB51DEA"/>
    <w:multiLevelType w:val="multilevel"/>
    <w:tmpl w:val="BD34E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F9B43B6"/>
    <w:multiLevelType w:val="multilevel"/>
    <w:tmpl w:val="C640F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FA12778"/>
    <w:multiLevelType w:val="multilevel"/>
    <w:tmpl w:val="ACCE0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FE2473E"/>
    <w:multiLevelType w:val="multilevel"/>
    <w:tmpl w:val="B9C8C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3D305C9"/>
    <w:multiLevelType w:val="multilevel"/>
    <w:tmpl w:val="49FA7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56C5F74"/>
    <w:multiLevelType w:val="multilevel"/>
    <w:tmpl w:val="70028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5915F15"/>
    <w:multiLevelType w:val="multilevel"/>
    <w:tmpl w:val="D9D2F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6096C20"/>
    <w:multiLevelType w:val="multilevel"/>
    <w:tmpl w:val="9BDEF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6844263"/>
    <w:multiLevelType w:val="multilevel"/>
    <w:tmpl w:val="02B2C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7A237D2"/>
    <w:multiLevelType w:val="multilevel"/>
    <w:tmpl w:val="43125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85040CA"/>
    <w:multiLevelType w:val="multilevel"/>
    <w:tmpl w:val="86F62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8B906CA"/>
    <w:multiLevelType w:val="multilevel"/>
    <w:tmpl w:val="60C017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59AB2D68"/>
    <w:multiLevelType w:val="multilevel"/>
    <w:tmpl w:val="77C4F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9B375DB"/>
    <w:multiLevelType w:val="multilevel"/>
    <w:tmpl w:val="6D04D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B93643B"/>
    <w:multiLevelType w:val="multilevel"/>
    <w:tmpl w:val="CA662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D1547FB"/>
    <w:multiLevelType w:val="multilevel"/>
    <w:tmpl w:val="6A2A4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DA83AFC"/>
    <w:multiLevelType w:val="multilevel"/>
    <w:tmpl w:val="0DD4E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F18581A"/>
    <w:multiLevelType w:val="multilevel"/>
    <w:tmpl w:val="3BA21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3481DD9"/>
    <w:multiLevelType w:val="multilevel"/>
    <w:tmpl w:val="642AF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3730B37"/>
    <w:multiLevelType w:val="multilevel"/>
    <w:tmpl w:val="EAF0A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3DA6FDF"/>
    <w:multiLevelType w:val="multilevel"/>
    <w:tmpl w:val="FB64F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5425E62"/>
    <w:multiLevelType w:val="multilevel"/>
    <w:tmpl w:val="60CCCD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7880F91"/>
    <w:multiLevelType w:val="multilevel"/>
    <w:tmpl w:val="CC7E7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91B7C4F"/>
    <w:multiLevelType w:val="multilevel"/>
    <w:tmpl w:val="6DDCE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96F04BE"/>
    <w:multiLevelType w:val="multilevel"/>
    <w:tmpl w:val="36689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9D967AE"/>
    <w:multiLevelType w:val="multilevel"/>
    <w:tmpl w:val="804E92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6A127852"/>
    <w:multiLevelType w:val="multilevel"/>
    <w:tmpl w:val="54B05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1A1036"/>
    <w:multiLevelType w:val="multilevel"/>
    <w:tmpl w:val="2A0A46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EC12FFB"/>
    <w:multiLevelType w:val="multilevel"/>
    <w:tmpl w:val="BA803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ECA13BB"/>
    <w:multiLevelType w:val="multilevel"/>
    <w:tmpl w:val="58B450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71790E47"/>
    <w:multiLevelType w:val="multilevel"/>
    <w:tmpl w:val="E8CA3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18C5228"/>
    <w:multiLevelType w:val="multilevel"/>
    <w:tmpl w:val="390CF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1F17811"/>
    <w:multiLevelType w:val="multilevel"/>
    <w:tmpl w:val="06321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1FD4C40"/>
    <w:multiLevelType w:val="multilevel"/>
    <w:tmpl w:val="D382A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73171776"/>
    <w:multiLevelType w:val="multilevel"/>
    <w:tmpl w:val="768A2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32B12EC"/>
    <w:multiLevelType w:val="multilevel"/>
    <w:tmpl w:val="14182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74CD1CEB"/>
    <w:multiLevelType w:val="multilevel"/>
    <w:tmpl w:val="3D985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4F5378D"/>
    <w:multiLevelType w:val="multilevel"/>
    <w:tmpl w:val="90268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69166CD"/>
    <w:multiLevelType w:val="multilevel"/>
    <w:tmpl w:val="3312A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7067925"/>
    <w:multiLevelType w:val="multilevel"/>
    <w:tmpl w:val="958A5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774E4DE5"/>
    <w:multiLevelType w:val="multilevel"/>
    <w:tmpl w:val="2FBC8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778D3D52"/>
    <w:multiLevelType w:val="multilevel"/>
    <w:tmpl w:val="56847E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78692437"/>
    <w:multiLevelType w:val="multilevel"/>
    <w:tmpl w:val="389AF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78F051A3"/>
    <w:multiLevelType w:val="multilevel"/>
    <w:tmpl w:val="5C882C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7C174E2D"/>
    <w:multiLevelType w:val="multilevel"/>
    <w:tmpl w:val="D6286C0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7EAB3616"/>
    <w:multiLevelType w:val="multilevel"/>
    <w:tmpl w:val="6C22D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1048484">
    <w:abstractNumId w:val="42"/>
  </w:num>
  <w:num w:numId="2" w16cid:durableId="1059591346">
    <w:abstractNumId w:val="73"/>
  </w:num>
  <w:num w:numId="3" w16cid:durableId="1359894833">
    <w:abstractNumId w:val="22"/>
  </w:num>
  <w:num w:numId="4" w16cid:durableId="266277964">
    <w:abstractNumId w:val="65"/>
  </w:num>
  <w:num w:numId="5" w16cid:durableId="598802447">
    <w:abstractNumId w:val="40"/>
  </w:num>
  <w:num w:numId="6" w16cid:durableId="224024816">
    <w:abstractNumId w:val="72"/>
  </w:num>
  <w:num w:numId="7" w16cid:durableId="434980156">
    <w:abstractNumId w:val="35"/>
  </w:num>
  <w:num w:numId="8" w16cid:durableId="1568958723">
    <w:abstractNumId w:val="36"/>
  </w:num>
  <w:num w:numId="9" w16cid:durableId="1503204690">
    <w:abstractNumId w:val="54"/>
  </w:num>
  <w:num w:numId="10" w16cid:durableId="2037123455">
    <w:abstractNumId w:val="20"/>
  </w:num>
  <w:num w:numId="11" w16cid:durableId="561791756">
    <w:abstractNumId w:val="1"/>
  </w:num>
  <w:num w:numId="12" w16cid:durableId="2037805219">
    <w:abstractNumId w:val="58"/>
  </w:num>
  <w:num w:numId="13" w16cid:durableId="1080104714">
    <w:abstractNumId w:val="74"/>
  </w:num>
  <w:num w:numId="14" w16cid:durableId="1286161605">
    <w:abstractNumId w:val="10"/>
  </w:num>
  <w:num w:numId="15" w16cid:durableId="604532373">
    <w:abstractNumId w:val="84"/>
  </w:num>
  <w:num w:numId="16" w16cid:durableId="1823622890">
    <w:abstractNumId w:val="11"/>
  </w:num>
  <w:num w:numId="17" w16cid:durableId="335773119">
    <w:abstractNumId w:val="44"/>
  </w:num>
  <w:num w:numId="18" w16cid:durableId="1337657693">
    <w:abstractNumId w:val="52"/>
  </w:num>
  <w:num w:numId="19" w16cid:durableId="1435444568">
    <w:abstractNumId w:val="49"/>
  </w:num>
  <w:num w:numId="20" w16cid:durableId="844394583">
    <w:abstractNumId w:val="50"/>
  </w:num>
  <w:num w:numId="21" w16cid:durableId="1082916920">
    <w:abstractNumId w:val="85"/>
  </w:num>
  <w:num w:numId="22" w16cid:durableId="124348533">
    <w:abstractNumId w:val="0"/>
  </w:num>
  <w:num w:numId="23" w16cid:durableId="483161461">
    <w:abstractNumId w:val="24"/>
  </w:num>
  <w:num w:numId="24" w16cid:durableId="217128341">
    <w:abstractNumId w:val="57"/>
  </w:num>
  <w:num w:numId="25" w16cid:durableId="1659193337">
    <w:abstractNumId w:val="16"/>
  </w:num>
  <w:num w:numId="26" w16cid:durableId="8072214">
    <w:abstractNumId w:val="63"/>
  </w:num>
  <w:num w:numId="27" w16cid:durableId="1179077555">
    <w:abstractNumId w:val="78"/>
  </w:num>
  <w:num w:numId="28" w16cid:durableId="377626493">
    <w:abstractNumId w:val="41"/>
  </w:num>
  <w:num w:numId="29" w16cid:durableId="2120950325">
    <w:abstractNumId w:val="23"/>
  </w:num>
  <w:num w:numId="30" w16cid:durableId="347827796">
    <w:abstractNumId w:val="3"/>
  </w:num>
  <w:num w:numId="31" w16cid:durableId="953365086">
    <w:abstractNumId w:val="55"/>
  </w:num>
  <w:num w:numId="32" w16cid:durableId="1739017256">
    <w:abstractNumId w:val="79"/>
  </w:num>
  <w:num w:numId="33" w16cid:durableId="414130027">
    <w:abstractNumId w:val="53"/>
  </w:num>
  <w:num w:numId="34" w16cid:durableId="1133212668">
    <w:abstractNumId w:val="76"/>
  </w:num>
  <w:num w:numId="35" w16cid:durableId="196043512">
    <w:abstractNumId w:val="46"/>
  </w:num>
  <w:num w:numId="36" w16cid:durableId="536703947">
    <w:abstractNumId w:val="15"/>
  </w:num>
  <w:num w:numId="37" w16cid:durableId="200167492">
    <w:abstractNumId w:val="77"/>
  </w:num>
  <w:num w:numId="38" w16cid:durableId="1069039503">
    <w:abstractNumId w:val="4"/>
  </w:num>
  <w:num w:numId="39" w16cid:durableId="1741444440">
    <w:abstractNumId w:val="17"/>
  </w:num>
  <w:num w:numId="40" w16cid:durableId="416829240">
    <w:abstractNumId w:val="62"/>
  </w:num>
  <w:num w:numId="41" w16cid:durableId="92433860">
    <w:abstractNumId w:val="48"/>
  </w:num>
  <w:num w:numId="42" w16cid:durableId="1322929220">
    <w:abstractNumId w:val="75"/>
  </w:num>
  <w:num w:numId="43" w16cid:durableId="710963639">
    <w:abstractNumId w:val="12"/>
  </w:num>
  <w:num w:numId="44" w16cid:durableId="376324397">
    <w:abstractNumId w:val="38"/>
  </w:num>
  <w:num w:numId="45" w16cid:durableId="1369137965">
    <w:abstractNumId w:val="13"/>
  </w:num>
  <w:num w:numId="46" w16cid:durableId="120465729">
    <w:abstractNumId w:val="82"/>
  </w:num>
  <w:num w:numId="47" w16cid:durableId="1038702372">
    <w:abstractNumId w:val="51"/>
  </w:num>
  <w:num w:numId="48" w16cid:durableId="1332753228">
    <w:abstractNumId w:val="47"/>
  </w:num>
  <w:num w:numId="49" w16cid:durableId="30230094">
    <w:abstractNumId w:val="28"/>
  </w:num>
  <w:num w:numId="50" w16cid:durableId="1545869044">
    <w:abstractNumId w:val="6"/>
  </w:num>
  <w:num w:numId="51" w16cid:durableId="575744606">
    <w:abstractNumId w:val="27"/>
  </w:num>
  <w:num w:numId="52" w16cid:durableId="1526553594">
    <w:abstractNumId w:val="7"/>
  </w:num>
  <w:num w:numId="53" w16cid:durableId="1480224096">
    <w:abstractNumId w:val="39"/>
  </w:num>
  <w:num w:numId="54" w16cid:durableId="1844275783">
    <w:abstractNumId w:val="34"/>
  </w:num>
  <w:num w:numId="55" w16cid:durableId="992559500">
    <w:abstractNumId w:val="69"/>
  </w:num>
  <w:num w:numId="56" w16cid:durableId="777867702">
    <w:abstractNumId w:val="67"/>
  </w:num>
  <w:num w:numId="57" w16cid:durableId="983588562">
    <w:abstractNumId w:val="81"/>
  </w:num>
  <w:num w:numId="58" w16cid:durableId="485820876">
    <w:abstractNumId w:val="61"/>
  </w:num>
  <w:num w:numId="59" w16cid:durableId="1879195485">
    <w:abstractNumId w:val="14"/>
  </w:num>
  <w:num w:numId="60" w16cid:durableId="1434016313">
    <w:abstractNumId w:val="19"/>
  </w:num>
  <w:num w:numId="61" w16cid:durableId="572203090">
    <w:abstractNumId w:val="83"/>
  </w:num>
  <w:num w:numId="62" w16cid:durableId="194387890">
    <w:abstractNumId w:val="21"/>
  </w:num>
  <w:num w:numId="63" w16cid:durableId="779185211">
    <w:abstractNumId w:val="32"/>
  </w:num>
  <w:num w:numId="64" w16cid:durableId="524902425">
    <w:abstractNumId w:val="70"/>
  </w:num>
  <w:num w:numId="65" w16cid:durableId="1357346606">
    <w:abstractNumId w:val="60"/>
  </w:num>
  <w:num w:numId="66" w16cid:durableId="1460564801">
    <w:abstractNumId w:val="80"/>
  </w:num>
  <w:num w:numId="67" w16cid:durableId="563028759">
    <w:abstractNumId w:val="33"/>
  </w:num>
  <w:num w:numId="68" w16cid:durableId="1687093327">
    <w:abstractNumId w:val="45"/>
  </w:num>
  <w:num w:numId="69" w16cid:durableId="1511529466">
    <w:abstractNumId w:val="2"/>
  </w:num>
  <w:num w:numId="70" w16cid:durableId="837044035">
    <w:abstractNumId w:val="66"/>
  </w:num>
  <w:num w:numId="71" w16cid:durableId="1822960004">
    <w:abstractNumId w:val="9"/>
  </w:num>
  <w:num w:numId="72" w16cid:durableId="258375183">
    <w:abstractNumId w:val="64"/>
  </w:num>
  <w:num w:numId="73" w16cid:durableId="1751581788">
    <w:abstractNumId w:val="59"/>
  </w:num>
  <w:num w:numId="74" w16cid:durableId="1410694804">
    <w:abstractNumId w:val="56"/>
  </w:num>
  <w:num w:numId="75" w16cid:durableId="1609581919">
    <w:abstractNumId w:val="30"/>
  </w:num>
  <w:num w:numId="76" w16cid:durableId="215162687">
    <w:abstractNumId w:val="8"/>
  </w:num>
  <w:num w:numId="77" w16cid:durableId="186677155">
    <w:abstractNumId w:val="68"/>
  </w:num>
  <w:num w:numId="78" w16cid:durableId="1768886960">
    <w:abstractNumId w:val="5"/>
  </w:num>
  <w:num w:numId="79" w16cid:durableId="729809891">
    <w:abstractNumId w:val="25"/>
  </w:num>
  <w:num w:numId="80" w16cid:durableId="797190272">
    <w:abstractNumId w:val="43"/>
  </w:num>
  <w:num w:numId="81" w16cid:durableId="1551654001">
    <w:abstractNumId w:val="71"/>
  </w:num>
  <w:num w:numId="82" w16cid:durableId="765267159">
    <w:abstractNumId w:val="18"/>
  </w:num>
  <w:num w:numId="83" w16cid:durableId="1122965029">
    <w:abstractNumId w:val="37"/>
  </w:num>
  <w:num w:numId="84" w16cid:durableId="1059282918">
    <w:abstractNumId w:val="29"/>
  </w:num>
  <w:num w:numId="85" w16cid:durableId="166798927">
    <w:abstractNumId w:val="26"/>
  </w:num>
  <w:num w:numId="86" w16cid:durableId="82034349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40C7"/>
    <w:rsid w:val="000069B4"/>
    <w:rsid w:val="00013A9A"/>
    <w:rsid w:val="00017719"/>
    <w:rsid w:val="000709BB"/>
    <w:rsid w:val="002F5C7E"/>
    <w:rsid w:val="003D1C9E"/>
    <w:rsid w:val="003F0FC6"/>
    <w:rsid w:val="003F4EAA"/>
    <w:rsid w:val="00481EF8"/>
    <w:rsid w:val="00527CD0"/>
    <w:rsid w:val="00540EC4"/>
    <w:rsid w:val="005716DC"/>
    <w:rsid w:val="006B19FA"/>
    <w:rsid w:val="006D1B1E"/>
    <w:rsid w:val="007D6F54"/>
    <w:rsid w:val="008034D8"/>
    <w:rsid w:val="0090757F"/>
    <w:rsid w:val="00A01972"/>
    <w:rsid w:val="00A15898"/>
    <w:rsid w:val="00A37CFB"/>
    <w:rsid w:val="00AE59AB"/>
    <w:rsid w:val="00B22585"/>
    <w:rsid w:val="00B5388A"/>
    <w:rsid w:val="00B76D73"/>
    <w:rsid w:val="00BB3FC8"/>
    <w:rsid w:val="00C10722"/>
    <w:rsid w:val="00C50F20"/>
    <w:rsid w:val="00E140C7"/>
    <w:rsid w:val="00EC2331"/>
    <w:rsid w:val="00F45044"/>
    <w:rsid w:val="00F75A0A"/>
    <w:rsid w:val="00FB6E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6315D"/>
  <w15:chartTrackingRefBased/>
  <w15:docId w15:val="{8C9AFFF2-7458-4646-857E-0A4BEC9A9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0F20"/>
  </w:style>
  <w:style w:type="paragraph" w:styleId="Heading1">
    <w:name w:val="heading 1"/>
    <w:basedOn w:val="Normal"/>
    <w:next w:val="Normal"/>
    <w:link w:val="Heading1Char"/>
    <w:uiPriority w:val="9"/>
    <w:qFormat/>
    <w:rsid w:val="00E140C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140C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140C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140C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140C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140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40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40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40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40C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140C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140C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140C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140C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140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40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40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40C7"/>
    <w:rPr>
      <w:rFonts w:eastAsiaTheme="majorEastAsia" w:cstheme="majorBidi"/>
      <w:color w:val="272727" w:themeColor="text1" w:themeTint="D8"/>
    </w:rPr>
  </w:style>
  <w:style w:type="paragraph" w:styleId="Title">
    <w:name w:val="Title"/>
    <w:basedOn w:val="Normal"/>
    <w:next w:val="Normal"/>
    <w:link w:val="TitleChar"/>
    <w:uiPriority w:val="10"/>
    <w:qFormat/>
    <w:rsid w:val="00E140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40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40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40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40C7"/>
    <w:pPr>
      <w:spacing w:before="160"/>
      <w:jc w:val="center"/>
    </w:pPr>
    <w:rPr>
      <w:i/>
      <w:iCs/>
      <w:color w:val="404040" w:themeColor="text1" w:themeTint="BF"/>
    </w:rPr>
  </w:style>
  <w:style w:type="character" w:customStyle="1" w:styleId="QuoteChar">
    <w:name w:val="Quote Char"/>
    <w:basedOn w:val="DefaultParagraphFont"/>
    <w:link w:val="Quote"/>
    <w:uiPriority w:val="29"/>
    <w:rsid w:val="00E140C7"/>
    <w:rPr>
      <w:i/>
      <w:iCs/>
      <w:color w:val="404040" w:themeColor="text1" w:themeTint="BF"/>
    </w:rPr>
  </w:style>
  <w:style w:type="paragraph" w:styleId="ListParagraph">
    <w:name w:val="List Paragraph"/>
    <w:basedOn w:val="Normal"/>
    <w:uiPriority w:val="34"/>
    <w:qFormat/>
    <w:rsid w:val="00E140C7"/>
    <w:pPr>
      <w:ind w:left="720"/>
      <w:contextualSpacing/>
    </w:pPr>
  </w:style>
  <w:style w:type="character" w:styleId="IntenseEmphasis">
    <w:name w:val="Intense Emphasis"/>
    <w:basedOn w:val="DefaultParagraphFont"/>
    <w:uiPriority w:val="21"/>
    <w:qFormat/>
    <w:rsid w:val="00E140C7"/>
    <w:rPr>
      <w:i/>
      <w:iCs/>
      <w:color w:val="2F5496" w:themeColor="accent1" w:themeShade="BF"/>
    </w:rPr>
  </w:style>
  <w:style w:type="paragraph" w:styleId="IntenseQuote">
    <w:name w:val="Intense Quote"/>
    <w:basedOn w:val="Normal"/>
    <w:next w:val="Normal"/>
    <w:link w:val="IntenseQuoteChar"/>
    <w:uiPriority w:val="30"/>
    <w:qFormat/>
    <w:rsid w:val="00E140C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140C7"/>
    <w:rPr>
      <w:i/>
      <w:iCs/>
      <w:color w:val="2F5496" w:themeColor="accent1" w:themeShade="BF"/>
    </w:rPr>
  </w:style>
  <w:style w:type="character" w:styleId="IntenseReference">
    <w:name w:val="Intense Reference"/>
    <w:basedOn w:val="DefaultParagraphFont"/>
    <w:uiPriority w:val="32"/>
    <w:qFormat/>
    <w:rsid w:val="00E140C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11</Pages>
  <Words>4296</Words>
  <Characters>24493</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shamim khaliq</dc:creator>
  <cp:keywords/>
  <dc:description/>
  <cp:lastModifiedBy>shamim khaliq</cp:lastModifiedBy>
  <cp:revision>9</cp:revision>
  <dcterms:created xsi:type="dcterms:W3CDTF">2025-11-26T18:39:00Z</dcterms:created>
  <dcterms:modified xsi:type="dcterms:W3CDTF">2025-11-26T20:25:00Z</dcterms:modified>
</cp:coreProperties>
</file>