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FCA44" w14:textId="77777777" w:rsidR="003D3187" w:rsidRPr="00AD17B6" w:rsidRDefault="003D3187" w:rsidP="003D3187">
      <w:pPr>
        <w:spacing w:after="200" w:line="276" w:lineRule="exact"/>
        <w:rPr>
          <w:rFonts w:ascii="Helvetica" w:hAnsi="Helvetica" w:cs="Helvetica"/>
          <w:sz w:val="24"/>
        </w:rPr>
      </w:pPr>
      <w:r w:rsidRPr="00AD17B6">
        <w:rPr>
          <w:rFonts w:ascii="Helvetica" w:hAnsi="Helvetica" w:cs="Helvetica"/>
          <w:sz w:val="24"/>
        </w:rPr>
        <w:t>ANNEX</w:t>
      </w:r>
    </w:p>
    <w:p w14:paraId="5ECF6174" w14:textId="77777777" w:rsidR="003D3187" w:rsidRPr="00AD17B6" w:rsidRDefault="003D3187" w:rsidP="003D3187">
      <w:pPr>
        <w:jc w:val="center"/>
        <w:rPr>
          <w:rFonts w:ascii="Helvetica" w:hAnsi="Helvetica" w:cs="Helvetica"/>
          <w:b/>
          <w:bCs/>
          <w:color w:val="000000" w:themeColor="text1"/>
          <w:sz w:val="24"/>
        </w:rPr>
      </w:pPr>
      <w:r w:rsidRPr="00AD17B6">
        <w:rPr>
          <w:rFonts w:ascii="Helvetica" w:eastAsia="Arial Unicode MS" w:hAnsi="Helvetica" w:cs="Helvetica"/>
          <w:b/>
          <w:bCs/>
          <w:color w:val="000000" w:themeColor="text1"/>
          <w:sz w:val="24"/>
        </w:rPr>
        <w:t xml:space="preserve">A matrix on </w:t>
      </w:r>
      <w:r w:rsidRPr="00AD17B6">
        <w:rPr>
          <w:rFonts w:ascii="Helvetica" w:hAnsi="Helvetica" w:cs="Helvetica"/>
          <w:b/>
          <w:bCs/>
          <w:color w:val="000000" w:themeColor="text1"/>
          <w:sz w:val="24"/>
        </w:rPr>
        <w:t>collection – analysis – inference</w:t>
      </w:r>
    </w:p>
    <w:p w14:paraId="54DA754F" w14:textId="77777777" w:rsidR="003D3187" w:rsidRPr="00AD17B6" w:rsidRDefault="003D3187" w:rsidP="003D3187">
      <w:pPr>
        <w:jc w:val="center"/>
        <w:rPr>
          <w:rFonts w:ascii="Helvetica" w:eastAsia="Arial Unicode MS" w:hAnsi="Helvetica" w:cs="Helvetica"/>
          <w:color w:val="000000" w:themeColor="text1"/>
          <w:sz w:val="24"/>
        </w:rPr>
      </w:pPr>
    </w:p>
    <w:p w14:paraId="5BD32D31" w14:textId="77777777" w:rsidR="003D3187" w:rsidRPr="00AD17B6" w:rsidRDefault="003D3187" w:rsidP="003D3187">
      <w:pPr>
        <w:rPr>
          <w:rFonts w:ascii="Helvetica" w:hAnsi="Helvetica" w:cs="Helvetica"/>
          <w:color w:val="000000" w:themeColor="text1"/>
          <w:sz w:val="24"/>
        </w:rPr>
      </w:pPr>
      <w:r w:rsidRPr="00AD17B6">
        <w:rPr>
          <w:rFonts w:ascii="Helvetica" w:eastAsia="Arial Unicode MS" w:hAnsi="Helvetica" w:cs="Helvetica"/>
          <w:color w:val="000000" w:themeColor="text1"/>
          <w:sz w:val="24"/>
        </w:rPr>
        <w:t xml:space="preserve">This matrix presents </w:t>
      </w:r>
      <w:r w:rsidRPr="00AD17B6">
        <w:rPr>
          <w:rFonts w:ascii="Helvetica" w:hAnsi="Helvetica" w:cs="Helvetica"/>
          <w:color w:val="000000" w:themeColor="text1"/>
          <w:sz w:val="24"/>
        </w:rPr>
        <w:t>variables, indicators, data collection methods, analysis and data inferences of the study on financial inclusion in Tanzania.</w:t>
      </w:r>
    </w:p>
    <w:p w14:paraId="4F79944E" w14:textId="77777777" w:rsidR="003D3187" w:rsidRPr="00AD17B6" w:rsidRDefault="003D3187" w:rsidP="003D3187">
      <w:pPr>
        <w:jc w:val="center"/>
        <w:rPr>
          <w:rFonts w:ascii="Helvetica" w:hAnsi="Helvetica" w:cs="Helvetica"/>
          <w:color w:val="000000" w:themeColor="text1"/>
          <w:sz w:val="24"/>
        </w:rPr>
      </w:pPr>
      <w:r w:rsidRPr="00AD17B6">
        <w:rPr>
          <w:rFonts w:ascii="Helvetica" w:hAnsi="Helvetica" w:cs="Helvetica"/>
          <w:b/>
          <w:bCs/>
          <w:color w:val="000000" w:themeColor="text1"/>
          <w:sz w:val="24"/>
        </w:rPr>
        <w:t>Annex.</w:t>
      </w:r>
      <w:r w:rsidRPr="00AD17B6">
        <w:rPr>
          <w:rFonts w:ascii="Helvetica" w:hAnsi="Helvetica" w:cs="Helvetica"/>
          <w:color w:val="000000" w:themeColor="text1"/>
          <w:sz w:val="24"/>
        </w:rPr>
        <w:t xml:space="preserve"> Data collection – analysis – inference matrix</w:t>
      </w:r>
    </w:p>
    <w:tbl>
      <w:tblPr>
        <w:tblStyle w:val="TableGrid"/>
        <w:tblW w:w="13612" w:type="dxa"/>
        <w:tblLook w:val="04A0" w:firstRow="1" w:lastRow="0" w:firstColumn="1" w:lastColumn="0" w:noHBand="0" w:noVBand="1"/>
      </w:tblPr>
      <w:tblGrid>
        <w:gridCol w:w="1376"/>
        <w:gridCol w:w="1679"/>
        <w:gridCol w:w="3150"/>
        <w:gridCol w:w="3780"/>
        <w:gridCol w:w="3627"/>
      </w:tblGrid>
      <w:tr w:rsidR="003D3187" w:rsidRPr="00AD17B6" w14:paraId="6BFFA62F" w14:textId="77777777" w:rsidTr="00DA72A5">
        <w:trPr>
          <w:trHeight w:val="832"/>
        </w:trPr>
        <w:tc>
          <w:tcPr>
            <w:tcW w:w="1376" w:type="dxa"/>
          </w:tcPr>
          <w:p w14:paraId="063B5692" w14:textId="77777777" w:rsidR="003D3187" w:rsidRPr="00AD17B6" w:rsidRDefault="003D3187" w:rsidP="00DA72A5">
            <w:pPr>
              <w:jc w:val="center"/>
              <w:rPr>
                <w:rFonts w:ascii="Helvetica" w:hAnsi="Helvetica" w:cs="Helvetica"/>
                <w:b/>
                <w:bCs/>
                <w:color w:val="000000" w:themeColor="text1"/>
                <w:sz w:val="24"/>
              </w:rPr>
            </w:pPr>
            <w:r w:rsidRPr="00AD17B6">
              <w:rPr>
                <w:rFonts w:ascii="Helvetica" w:hAnsi="Helvetica" w:cs="Helvetica"/>
                <w:b/>
                <w:bCs/>
                <w:color w:val="000000" w:themeColor="text1"/>
                <w:sz w:val="24"/>
              </w:rPr>
              <w:t>Variable</w:t>
            </w:r>
          </w:p>
        </w:tc>
        <w:tc>
          <w:tcPr>
            <w:tcW w:w="1679" w:type="dxa"/>
          </w:tcPr>
          <w:p w14:paraId="2D74D789" w14:textId="77777777" w:rsidR="003D3187" w:rsidRPr="00AD17B6" w:rsidRDefault="003D3187" w:rsidP="00DA72A5">
            <w:pPr>
              <w:jc w:val="center"/>
              <w:rPr>
                <w:rFonts w:ascii="Helvetica" w:hAnsi="Helvetica" w:cs="Helvetica"/>
                <w:b/>
                <w:bCs/>
                <w:color w:val="000000" w:themeColor="text1"/>
                <w:sz w:val="24"/>
              </w:rPr>
            </w:pPr>
            <w:r w:rsidRPr="00AD17B6">
              <w:rPr>
                <w:rFonts w:ascii="Helvetica" w:hAnsi="Helvetica" w:cs="Helvetica"/>
                <w:b/>
                <w:bCs/>
                <w:color w:val="000000" w:themeColor="text1"/>
                <w:sz w:val="24"/>
              </w:rPr>
              <w:t>Indicator</w:t>
            </w:r>
          </w:p>
        </w:tc>
        <w:tc>
          <w:tcPr>
            <w:tcW w:w="3150" w:type="dxa"/>
          </w:tcPr>
          <w:p w14:paraId="767D7AF5" w14:textId="77777777" w:rsidR="003D3187" w:rsidRPr="00AD17B6" w:rsidRDefault="003D3187" w:rsidP="00DA72A5">
            <w:pPr>
              <w:jc w:val="center"/>
              <w:rPr>
                <w:rFonts w:ascii="Helvetica" w:hAnsi="Helvetica" w:cs="Helvetica"/>
                <w:b/>
                <w:bCs/>
                <w:color w:val="000000" w:themeColor="text1"/>
                <w:sz w:val="24"/>
              </w:rPr>
            </w:pPr>
            <w:r w:rsidRPr="00AD17B6">
              <w:rPr>
                <w:rFonts w:ascii="Helvetica" w:hAnsi="Helvetica" w:cs="Helvetica"/>
                <w:b/>
                <w:bCs/>
                <w:color w:val="000000" w:themeColor="text1"/>
                <w:sz w:val="24"/>
              </w:rPr>
              <w:t>Data Collection Method</w:t>
            </w:r>
          </w:p>
        </w:tc>
        <w:tc>
          <w:tcPr>
            <w:tcW w:w="3780" w:type="dxa"/>
          </w:tcPr>
          <w:p w14:paraId="46E30130" w14:textId="77777777" w:rsidR="003D3187" w:rsidRPr="00AD17B6" w:rsidRDefault="003D3187" w:rsidP="00DA72A5">
            <w:pPr>
              <w:jc w:val="center"/>
              <w:rPr>
                <w:rFonts w:ascii="Helvetica" w:hAnsi="Helvetica" w:cs="Helvetica"/>
                <w:b/>
                <w:bCs/>
                <w:color w:val="000000" w:themeColor="text1"/>
                <w:sz w:val="24"/>
              </w:rPr>
            </w:pPr>
            <w:r w:rsidRPr="00AD17B6">
              <w:rPr>
                <w:rFonts w:ascii="Helvetica" w:hAnsi="Helvetica" w:cs="Helvetica"/>
                <w:b/>
                <w:bCs/>
                <w:color w:val="000000" w:themeColor="text1"/>
                <w:sz w:val="24"/>
              </w:rPr>
              <w:t>Analysis</w:t>
            </w:r>
          </w:p>
        </w:tc>
        <w:tc>
          <w:tcPr>
            <w:tcW w:w="3627" w:type="dxa"/>
          </w:tcPr>
          <w:p w14:paraId="0DB175C4" w14:textId="77777777" w:rsidR="003D3187" w:rsidRPr="00AD17B6" w:rsidRDefault="003D3187" w:rsidP="00DA72A5">
            <w:pPr>
              <w:jc w:val="center"/>
              <w:rPr>
                <w:rFonts w:ascii="Helvetica" w:hAnsi="Helvetica" w:cs="Helvetica"/>
                <w:b/>
                <w:bCs/>
                <w:color w:val="000000" w:themeColor="text1"/>
                <w:sz w:val="24"/>
              </w:rPr>
            </w:pPr>
            <w:r w:rsidRPr="00AD17B6">
              <w:rPr>
                <w:rFonts w:ascii="Helvetica" w:hAnsi="Helvetica" w:cs="Helvetica"/>
                <w:b/>
                <w:bCs/>
                <w:color w:val="000000" w:themeColor="text1"/>
                <w:sz w:val="24"/>
              </w:rPr>
              <w:t>Data Inference</w:t>
            </w:r>
          </w:p>
        </w:tc>
      </w:tr>
      <w:tr w:rsidR="003D3187" w:rsidRPr="00AD17B6" w14:paraId="6498CCF1" w14:textId="77777777" w:rsidTr="00DA72A5">
        <w:trPr>
          <w:trHeight w:val="832"/>
        </w:trPr>
        <w:tc>
          <w:tcPr>
            <w:tcW w:w="1376" w:type="dxa"/>
          </w:tcPr>
          <w:p w14:paraId="49974BF0"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Financial systems</w:t>
            </w:r>
          </w:p>
        </w:tc>
        <w:tc>
          <w:tcPr>
            <w:tcW w:w="1679" w:type="dxa"/>
          </w:tcPr>
          <w:p w14:paraId="4C49218F"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innovations</w:t>
            </w:r>
          </w:p>
        </w:tc>
        <w:tc>
          <w:tcPr>
            <w:tcW w:w="3150" w:type="dxa"/>
          </w:tcPr>
          <w:p w14:paraId="2C994FF4"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Tanzania’s National Microfinance Policy of 2017 </w:t>
            </w:r>
          </w:p>
          <w:p w14:paraId="109D17CA" w14:textId="77777777" w:rsidR="003D3187" w:rsidRPr="00AD17B6" w:rsidRDefault="003D3187" w:rsidP="00DA72A5">
            <w:pPr>
              <w:rPr>
                <w:rFonts w:ascii="Helvetica" w:hAnsi="Helvetica" w:cs="Helvetica"/>
                <w:color w:val="000000" w:themeColor="text1"/>
                <w:sz w:val="24"/>
              </w:rPr>
            </w:pPr>
          </w:p>
        </w:tc>
        <w:tc>
          <w:tcPr>
            <w:tcW w:w="3780" w:type="dxa"/>
          </w:tcPr>
          <w:p w14:paraId="75A6532E"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all key themes found in the </w:t>
            </w:r>
            <w:r w:rsidRPr="00AD17B6">
              <w:rPr>
                <w:rFonts w:ascii="Helvetica" w:hAnsi="Helvetica" w:cs="Helvetica"/>
                <w:color w:val="000000" w:themeColor="text1"/>
                <w:sz w:val="24"/>
              </w:rPr>
              <w:t>Tanzania’s National Microfinance Policy of 2017</w:t>
            </w:r>
          </w:p>
        </w:tc>
        <w:tc>
          <w:tcPr>
            <w:tcW w:w="3627" w:type="dxa"/>
          </w:tcPr>
          <w:p w14:paraId="08D211C3"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policies developed between 2017 and 2023 include “innovations.” we will assume policies supporting innovations </w:t>
            </w:r>
          </w:p>
          <w:p w14:paraId="7E0017AA" w14:textId="77777777" w:rsidR="003D3187" w:rsidRPr="00AD17B6" w:rsidRDefault="003D3187" w:rsidP="00DA72A5">
            <w:pPr>
              <w:rPr>
                <w:rFonts w:ascii="Helvetica" w:hAnsi="Helvetica" w:cs="Helvetica"/>
                <w:color w:val="000000" w:themeColor="text1"/>
                <w:sz w:val="24"/>
              </w:rPr>
            </w:pPr>
          </w:p>
        </w:tc>
      </w:tr>
      <w:tr w:rsidR="003D3187" w:rsidRPr="00AD17B6" w14:paraId="4A8A36C4" w14:textId="77777777" w:rsidTr="00DA72A5">
        <w:trPr>
          <w:trHeight w:val="832"/>
        </w:trPr>
        <w:tc>
          <w:tcPr>
            <w:tcW w:w="1376" w:type="dxa"/>
          </w:tcPr>
          <w:p w14:paraId="54FB20E0" w14:textId="77777777" w:rsidR="003D3187" w:rsidRPr="00AD17B6" w:rsidRDefault="003D3187" w:rsidP="00DA72A5">
            <w:pPr>
              <w:jc w:val="center"/>
              <w:rPr>
                <w:rFonts w:ascii="Helvetica" w:hAnsi="Helvetica" w:cs="Helvetica"/>
                <w:color w:val="000000" w:themeColor="text1"/>
                <w:sz w:val="24"/>
              </w:rPr>
            </w:pPr>
          </w:p>
        </w:tc>
        <w:tc>
          <w:tcPr>
            <w:tcW w:w="1679" w:type="dxa"/>
          </w:tcPr>
          <w:p w14:paraId="41291DB9"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access to finance</w:t>
            </w:r>
          </w:p>
        </w:tc>
        <w:tc>
          <w:tcPr>
            <w:tcW w:w="3150" w:type="dxa"/>
          </w:tcPr>
          <w:p w14:paraId="61660EB5"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Tanzania’s Microfinance Act of 2018 Tanzania’s, and the National Microfinance Policy of 2017 </w:t>
            </w:r>
          </w:p>
          <w:p w14:paraId="234F210E" w14:textId="77777777" w:rsidR="003D3187" w:rsidRPr="00AD17B6" w:rsidRDefault="003D3187" w:rsidP="00DA72A5">
            <w:pPr>
              <w:rPr>
                <w:rFonts w:ascii="Helvetica" w:hAnsi="Helvetica" w:cs="Helvetica"/>
                <w:color w:val="000000" w:themeColor="text1"/>
                <w:sz w:val="24"/>
              </w:rPr>
            </w:pPr>
          </w:p>
        </w:tc>
        <w:tc>
          <w:tcPr>
            <w:tcW w:w="3780" w:type="dxa"/>
          </w:tcPr>
          <w:p w14:paraId="2DB3CDC2"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key themes found in the </w:t>
            </w:r>
            <w:r w:rsidRPr="00AD17B6">
              <w:rPr>
                <w:rFonts w:ascii="Helvetica" w:hAnsi="Helvetica" w:cs="Helvetica"/>
                <w:color w:val="000000" w:themeColor="text1"/>
                <w:sz w:val="24"/>
              </w:rPr>
              <w:t xml:space="preserve">Tanzania’s National Microfinance Policy of 2017, and the Tanzania’s Microfinance Act of 2018 Tanzania’s </w:t>
            </w:r>
          </w:p>
        </w:tc>
        <w:tc>
          <w:tcPr>
            <w:tcW w:w="3627" w:type="dxa"/>
          </w:tcPr>
          <w:p w14:paraId="65E963BD"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policies developed between 2017 and 2023 include “access to finance” we will assume that polices supporting access to finance are present</w:t>
            </w:r>
          </w:p>
          <w:p w14:paraId="45A448D0" w14:textId="77777777" w:rsidR="003D3187" w:rsidRPr="00AD17B6" w:rsidRDefault="003D3187" w:rsidP="00DA72A5">
            <w:pPr>
              <w:rPr>
                <w:rFonts w:ascii="Helvetica" w:hAnsi="Helvetica" w:cs="Helvetica"/>
                <w:color w:val="000000" w:themeColor="text1"/>
                <w:sz w:val="24"/>
              </w:rPr>
            </w:pPr>
          </w:p>
        </w:tc>
      </w:tr>
      <w:tr w:rsidR="003D3187" w:rsidRPr="00AD17B6" w14:paraId="0C6B6F02" w14:textId="77777777" w:rsidTr="00DA72A5">
        <w:trPr>
          <w:trHeight w:val="816"/>
        </w:trPr>
        <w:tc>
          <w:tcPr>
            <w:tcW w:w="1376" w:type="dxa"/>
          </w:tcPr>
          <w:p w14:paraId="3363E9ED" w14:textId="77777777" w:rsidR="003D3187" w:rsidRPr="00AD17B6" w:rsidRDefault="003D3187" w:rsidP="00DA72A5">
            <w:pPr>
              <w:rPr>
                <w:rFonts w:ascii="Helvetica" w:hAnsi="Helvetica" w:cs="Helvetica"/>
                <w:color w:val="000000" w:themeColor="text1"/>
                <w:sz w:val="24"/>
              </w:rPr>
            </w:pPr>
          </w:p>
        </w:tc>
        <w:tc>
          <w:tcPr>
            <w:tcW w:w="1679" w:type="dxa"/>
          </w:tcPr>
          <w:p w14:paraId="1B11F215"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resilient financial system</w:t>
            </w:r>
          </w:p>
        </w:tc>
        <w:tc>
          <w:tcPr>
            <w:tcW w:w="3150" w:type="dxa"/>
          </w:tcPr>
          <w:p w14:paraId="1A80BFF6"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Tanzania’s Microfinance Act of 2018 Tanzania’s, and the National Microfinance Policy of 2017 </w:t>
            </w:r>
          </w:p>
          <w:p w14:paraId="5850F9E9" w14:textId="77777777" w:rsidR="003D3187" w:rsidRPr="00AD17B6" w:rsidRDefault="003D3187" w:rsidP="00DA72A5">
            <w:pPr>
              <w:rPr>
                <w:rFonts w:ascii="Helvetica" w:hAnsi="Helvetica" w:cs="Helvetica"/>
                <w:color w:val="000000" w:themeColor="text1"/>
                <w:sz w:val="24"/>
              </w:rPr>
            </w:pPr>
          </w:p>
        </w:tc>
        <w:tc>
          <w:tcPr>
            <w:tcW w:w="3780" w:type="dxa"/>
          </w:tcPr>
          <w:p w14:paraId="35904CAB"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key themes found in the </w:t>
            </w:r>
            <w:r w:rsidRPr="00AD17B6">
              <w:rPr>
                <w:rFonts w:ascii="Helvetica" w:hAnsi="Helvetica" w:cs="Helvetica"/>
                <w:color w:val="000000" w:themeColor="text1"/>
                <w:sz w:val="24"/>
              </w:rPr>
              <w:t xml:space="preserve">Tanzania’s Microfinance Act of 2018, and the Tanzania’s National Microfinance Policy of 2017 </w:t>
            </w:r>
          </w:p>
        </w:tc>
        <w:tc>
          <w:tcPr>
            <w:tcW w:w="3627" w:type="dxa"/>
          </w:tcPr>
          <w:p w14:paraId="7BD9FA9C"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policies developed between 2017 and 2023 include “financial system.” we will assume policies supporting resilient financial system are present</w:t>
            </w:r>
          </w:p>
          <w:p w14:paraId="74701F3D" w14:textId="77777777" w:rsidR="003D3187" w:rsidRPr="00AD17B6" w:rsidRDefault="003D3187" w:rsidP="00DA72A5">
            <w:pPr>
              <w:rPr>
                <w:rFonts w:ascii="Helvetica" w:hAnsi="Helvetica" w:cs="Helvetica"/>
                <w:color w:val="000000" w:themeColor="text1"/>
                <w:sz w:val="24"/>
              </w:rPr>
            </w:pPr>
          </w:p>
        </w:tc>
      </w:tr>
      <w:tr w:rsidR="003D3187" w:rsidRPr="00AD17B6" w14:paraId="7D7EC3F9" w14:textId="77777777" w:rsidTr="00DA72A5">
        <w:trPr>
          <w:trHeight w:val="832"/>
        </w:trPr>
        <w:tc>
          <w:tcPr>
            <w:tcW w:w="1376" w:type="dxa"/>
          </w:tcPr>
          <w:p w14:paraId="108E5F58" w14:textId="77777777" w:rsidR="003D3187" w:rsidRPr="00AD17B6" w:rsidRDefault="003D3187" w:rsidP="00DA72A5">
            <w:pPr>
              <w:rPr>
                <w:rFonts w:ascii="Helvetica" w:hAnsi="Helvetica" w:cs="Helvetica"/>
                <w:color w:val="000000" w:themeColor="text1"/>
                <w:sz w:val="24"/>
              </w:rPr>
            </w:pPr>
          </w:p>
        </w:tc>
        <w:tc>
          <w:tcPr>
            <w:tcW w:w="1679" w:type="dxa"/>
          </w:tcPr>
          <w:p w14:paraId="40EC6E9D"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protecting consumer’s safety</w:t>
            </w:r>
          </w:p>
        </w:tc>
        <w:tc>
          <w:tcPr>
            <w:tcW w:w="3150" w:type="dxa"/>
          </w:tcPr>
          <w:p w14:paraId="495C46FD"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Document analysis of the Bank of Tanzania (Financial Consumer Protection) Regulations (2019)</w:t>
            </w:r>
          </w:p>
          <w:p w14:paraId="741C3C76" w14:textId="77777777" w:rsidR="003D3187" w:rsidRPr="00AD17B6" w:rsidRDefault="003D3187" w:rsidP="00DA72A5">
            <w:pPr>
              <w:rPr>
                <w:rFonts w:ascii="Helvetica" w:hAnsi="Helvetica" w:cs="Helvetica"/>
                <w:color w:val="000000" w:themeColor="text1"/>
                <w:sz w:val="24"/>
              </w:rPr>
            </w:pPr>
          </w:p>
        </w:tc>
        <w:tc>
          <w:tcPr>
            <w:tcW w:w="3780" w:type="dxa"/>
          </w:tcPr>
          <w:p w14:paraId="7A4871ED"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lastRenderedPageBreak/>
              <w:t xml:space="preserve">Thematic analysis of the key themes found in the </w:t>
            </w:r>
            <w:r w:rsidRPr="00AD17B6">
              <w:rPr>
                <w:rFonts w:ascii="Helvetica" w:hAnsi="Helvetica" w:cs="Helvetica"/>
                <w:color w:val="000000" w:themeColor="text1"/>
                <w:sz w:val="24"/>
              </w:rPr>
              <w:t>Bank of Tanzania (Financial Consumer Protection) Regulations (2019)</w:t>
            </w:r>
          </w:p>
        </w:tc>
        <w:tc>
          <w:tcPr>
            <w:tcW w:w="3627" w:type="dxa"/>
          </w:tcPr>
          <w:p w14:paraId="48478310"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policies developed between 2017 and 2023 include “consumer’s safety.” we will assume that </w:t>
            </w:r>
            <w:r w:rsidRPr="00AD17B6">
              <w:rPr>
                <w:rFonts w:ascii="Helvetica" w:hAnsi="Helvetica" w:cs="Helvetica"/>
                <w:color w:val="000000" w:themeColor="text1"/>
                <w:sz w:val="24"/>
              </w:rPr>
              <w:lastRenderedPageBreak/>
              <w:t>policies protecting consumer’s safety are present</w:t>
            </w:r>
          </w:p>
          <w:p w14:paraId="7A7BE14A" w14:textId="77777777" w:rsidR="003D3187" w:rsidRPr="00AD17B6" w:rsidRDefault="003D3187" w:rsidP="00DA72A5">
            <w:pPr>
              <w:rPr>
                <w:rFonts w:ascii="Helvetica" w:hAnsi="Helvetica" w:cs="Helvetica"/>
                <w:color w:val="000000" w:themeColor="text1"/>
                <w:sz w:val="24"/>
              </w:rPr>
            </w:pPr>
          </w:p>
        </w:tc>
      </w:tr>
      <w:tr w:rsidR="003D3187" w:rsidRPr="00AD17B6" w14:paraId="3B58BE2A" w14:textId="77777777" w:rsidTr="00DA72A5">
        <w:trPr>
          <w:trHeight w:val="1255"/>
        </w:trPr>
        <w:tc>
          <w:tcPr>
            <w:tcW w:w="1376" w:type="dxa"/>
          </w:tcPr>
          <w:p w14:paraId="03311D79" w14:textId="77777777" w:rsidR="003D3187" w:rsidRPr="00AD17B6" w:rsidRDefault="003D3187" w:rsidP="00DA72A5">
            <w:pPr>
              <w:rPr>
                <w:rFonts w:ascii="Helvetica" w:hAnsi="Helvetica" w:cs="Helvetica"/>
                <w:color w:val="000000" w:themeColor="text1"/>
                <w:sz w:val="24"/>
              </w:rPr>
            </w:pPr>
          </w:p>
        </w:tc>
        <w:tc>
          <w:tcPr>
            <w:tcW w:w="1679" w:type="dxa"/>
          </w:tcPr>
          <w:p w14:paraId="0E4461BC"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innovations in the financial systems</w:t>
            </w:r>
          </w:p>
        </w:tc>
        <w:tc>
          <w:tcPr>
            <w:tcW w:w="3150" w:type="dxa"/>
          </w:tcPr>
          <w:p w14:paraId="7066144E"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1725EF39" w14:textId="77777777" w:rsidR="003D3187" w:rsidRPr="00AD17B6" w:rsidRDefault="003D3187" w:rsidP="00DA72A5">
            <w:pPr>
              <w:rPr>
                <w:rFonts w:ascii="Helvetica" w:hAnsi="Helvetica" w:cs="Helvetica"/>
                <w:color w:val="000000" w:themeColor="text1"/>
                <w:sz w:val="24"/>
              </w:rPr>
            </w:pPr>
          </w:p>
        </w:tc>
        <w:tc>
          <w:tcPr>
            <w:tcW w:w="3780" w:type="dxa"/>
          </w:tcPr>
          <w:p w14:paraId="25570CFD"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and content analysis of key themes and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179A10FE"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banks’ reports published between 2017 and 2023 include “innovation” we will assume that innovation is present</w:t>
            </w:r>
          </w:p>
          <w:p w14:paraId="0C8A93E7" w14:textId="77777777" w:rsidR="003D3187" w:rsidRPr="00AD17B6" w:rsidRDefault="003D3187" w:rsidP="00DA72A5">
            <w:pPr>
              <w:rPr>
                <w:rFonts w:ascii="Helvetica" w:hAnsi="Helvetica" w:cs="Helvetica"/>
                <w:color w:val="000000" w:themeColor="text1"/>
                <w:sz w:val="24"/>
              </w:rPr>
            </w:pPr>
          </w:p>
        </w:tc>
      </w:tr>
      <w:tr w:rsidR="003D3187" w:rsidRPr="00AD17B6" w14:paraId="34C07C45" w14:textId="77777777" w:rsidTr="00DA72A5">
        <w:trPr>
          <w:trHeight w:val="1240"/>
        </w:trPr>
        <w:tc>
          <w:tcPr>
            <w:tcW w:w="1376" w:type="dxa"/>
          </w:tcPr>
          <w:p w14:paraId="56842267" w14:textId="77777777" w:rsidR="003D3187" w:rsidRPr="00AD17B6" w:rsidRDefault="003D3187" w:rsidP="00DA72A5">
            <w:pPr>
              <w:rPr>
                <w:rFonts w:ascii="Helvetica" w:hAnsi="Helvetica" w:cs="Helvetica"/>
                <w:color w:val="000000" w:themeColor="text1"/>
                <w:sz w:val="24"/>
              </w:rPr>
            </w:pPr>
          </w:p>
        </w:tc>
        <w:tc>
          <w:tcPr>
            <w:tcW w:w="1679" w:type="dxa"/>
          </w:tcPr>
          <w:p w14:paraId="2628BEC2"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Number of financial agents </w:t>
            </w:r>
          </w:p>
        </w:tc>
        <w:tc>
          <w:tcPr>
            <w:tcW w:w="3150" w:type="dxa"/>
          </w:tcPr>
          <w:p w14:paraId="042ADD31"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7B744390" w14:textId="77777777" w:rsidR="003D3187" w:rsidRPr="00AD17B6" w:rsidRDefault="003D3187" w:rsidP="00DA72A5">
            <w:pPr>
              <w:rPr>
                <w:rFonts w:ascii="Helvetica" w:hAnsi="Helvetica" w:cs="Helvetica"/>
                <w:color w:val="000000" w:themeColor="text1"/>
                <w:sz w:val="24"/>
              </w:rPr>
            </w:pPr>
          </w:p>
        </w:tc>
        <w:tc>
          <w:tcPr>
            <w:tcW w:w="3780" w:type="dxa"/>
          </w:tcPr>
          <w:p w14:paraId="3650F64E" w14:textId="77777777" w:rsidR="003D3187" w:rsidRPr="00AD17B6" w:rsidRDefault="003D3187" w:rsidP="00DA72A5">
            <w:pPr>
              <w:rPr>
                <w:rFonts w:ascii="Helvetica" w:eastAsia="Calibri" w:hAnsi="Helvetica" w:cs="Helvetica"/>
                <w:color w:val="000000" w:themeColor="text1"/>
                <w:sz w:val="24"/>
              </w:rPr>
            </w:pPr>
            <w:r w:rsidRPr="00AD17B6">
              <w:rPr>
                <w:rFonts w:ascii="Helvetica" w:eastAsia="Calibri" w:hAnsi="Helvetica" w:cs="Helvetica"/>
                <w:color w:val="000000" w:themeColor="text1"/>
                <w:sz w:val="24"/>
              </w:rPr>
              <w:t xml:space="preserve">Content analysis of key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5B05E613"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banks’ reports published between 2017 and 2023 show the positive trend “bank agents” we will assume that agents are increasing </w:t>
            </w:r>
          </w:p>
          <w:p w14:paraId="0C585BA5" w14:textId="77777777" w:rsidR="003D3187" w:rsidRPr="00AD17B6" w:rsidRDefault="003D3187" w:rsidP="00DA72A5">
            <w:pPr>
              <w:rPr>
                <w:rFonts w:ascii="Helvetica" w:hAnsi="Helvetica" w:cs="Helvetica"/>
                <w:color w:val="000000" w:themeColor="text1"/>
                <w:sz w:val="24"/>
              </w:rPr>
            </w:pPr>
          </w:p>
        </w:tc>
      </w:tr>
      <w:tr w:rsidR="003D3187" w:rsidRPr="00AD17B6" w14:paraId="7EE889C8" w14:textId="77777777" w:rsidTr="00DA72A5">
        <w:trPr>
          <w:trHeight w:val="832"/>
        </w:trPr>
        <w:tc>
          <w:tcPr>
            <w:tcW w:w="1376" w:type="dxa"/>
          </w:tcPr>
          <w:p w14:paraId="576C26CD" w14:textId="77777777" w:rsidR="003D3187" w:rsidRPr="00AD17B6" w:rsidRDefault="003D3187" w:rsidP="00DA72A5">
            <w:pPr>
              <w:rPr>
                <w:rFonts w:ascii="Helvetica" w:hAnsi="Helvetica" w:cs="Helvetica"/>
                <w:color w:val="000000" w:themeColor="text1"/>
                <w:sz w:val="24"/>
              </w:rPr>
            </w:pPr>
          </w:p>
        </w:tc>
        <w:tc>
          <w:tcPr>
            <w:tcW w:w="1679" w:type="dxa"/>
          </w:tcPr>
          <w:p w14:paraId="6B19681A"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Rate of market expansion for financial services</w:t>
            </w:r>
          </w:p>
        </w:tc>
        <w:tc>
          <w:tcPr>
            <w:tcW w:w="3150" w:type="dxa"/>
          </w:tcPr>
          <w:p w14:paraId="48BBA149"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Vodacom Tanzania Public Limited Company: Annual Integrated Reports released from 2017 to 2024, also documents accessed from the Tanzania invest, and the Developing Telecoms </w:t>
            </w:r>
          </w:p>
          <w:p w14:paraId="61274077" w14:textId="77777777" w:rsidR="003D3187" w:rsidRPr="00AD17B6" w:rsidRDefault="003D3187" w:rsidP="00DA72A5">
            <w:pPr>
              <w:rPr>
                <w:rFonts w:ascii="Helvetica" w:hAnsi="Helvetica" w:cs="Helvetica"/>
                <w:color w:val="000000" w:themeColor="text1"/>
                <w:sz w:val="24"/>
              </w:rPr>
            </w:pPr>
          </w:p>
        </w:tc>
        <w:tc>
          <w:tcPr>
            <w:tcW w:w="3780" w:type="dxa"/>
          </w:tcPr>
          <w:p w14:paraId="39E0F1FE"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Content analysis of key contents of the </w:t>
            </w:r>
            <w:r w:rsidRPr="00AD17B6">
              <w:rPr>
                <w:rFonts w:ascii="Helvetica" w:hAnsi="Helvetica" w:cs="Helvetica"/>
                <w:color w:val="000000" w:themeColor="text1"/>
                <w:sz w:val="24"/>
              </w:rPr>
              <w:t xml:space="preserve">Vodacom Tanzania Public Limited Company: Annual Integrated Reports released from 2017 to 2024, also documents accessed from the Tanzania invest, and the Developing Telecoms </w:t>
            </w:r>
          </w:p>
          <w:p w14:paraId="05B0722C" w14:textId="77777777" w:rsidR="003D3187" w:rsidRPr="00AD17B6" w:rsidRDefault="003D3187" w:rsidP="00DA72A5">
            <w:pPr>
              <w:rPr>
                <w:rFonts w:ascii="Helvetica" w:hAnsi="Helvetica" w:cs="Helvetica"/>
                <w:color w:val="000000" w:themeColor="text1"/>
                <w:sz w:val="24"/>
              </w:rPr>
            </w:pPr>
          </w:p>
        </w:tc>
        <w:tc>
          <w:tcPr>
            <w:tcW w:w="3627" w:type="dxa"/>
          </w:tcPr>
          <w:p w14:paraId="5D18ADBE"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banks’ reports published between 2017 and 2023 show positive trend of “customers” we will assume that there is an expansion of market for financial services</w:t>
            </w:r>
          </w:p>
          <w:p w14:paraId="16CE2EDD" w14:textId="77777777" w:rsidR="003D3187" w:rsidRPr="00AD17B6" w:rsidRDefault="003D3187" w:rsidP="00DA72A5">
            <w:pPr>
              <w:rPr>
                <w:rFonts w:ascii="Helvetica" w:hAnsi="Helvetica" w:cs="Helvetica"/>
                <w:color w:val="000000" w:themeColor="text1"/>
                <w:sz w:val="24"/>
              </w:rPr>
            </w:pPr>
          </w:p>
        </w:tc>
      </w:tr>
      <w:tr w:rsidR="003D3187" w:rsidRPr="00AD17B6" w14:paraId="4D80AAC2" w14:textId="77777777" w:rsidTr="00DA72A5">
        <w:trPr>
          <w:trHeight w:val="1255"/>
        </w:trPr>
        <w:tc>
          <w:tcPr>
            <w:tcW w:w="1376" w:type="dxa"/>
          </w:tcPr>
          <w:p w14:paraId="39FAB205" w14:textId="77777777" w:rsidR="003D3187" w:rsidRPr="00AD17B6" w:rsidRDefault="003D3187" w:rsidP="00DA72A5">
            <w:pPr>
              <w:rPr>
                <w:rFonts w:ascii="Helvetica" w:hAnsi="Helvetica" w:cs="Helvetica"/>
                <w:color w:val="000000" w:themeColor="text1"/>
                <w:sz w:val="24"/>
              </w:rPr>
            </w:pPr>
          </w:p>
        </w:tc>
        <w:tc>
          <w:tcPr>
            <w:tcW w:w="1679" w:type="dxa"/>
          </w:tcPr>
          <w:p w14:paraId="618C471A"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Rate of affordability of formal financial services</w:t>
            </w:r>
          </w:p>
        </w:tc>
        <w:tc>
          <w:tcPr>
            <w:tcW w:w="3150" w:type="dxa"/>
          </w:tcPr>
          <w:p w14:paraId="5D908FC1"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0DE7BAC1" w14:textId="77777777" w:rsidR="003D3187" w:rsidRPr="00AD17B6" w:rsidRDefault="003D3187" w:rsidP="00DA72A5">
            <w:pPr>
              <w:rPr>
                <w:rFonts w:ascii="Helvetica" w:hAnsi="Helvetica" w:cs="Helvetica"/>
                <w:color w:val="000000" w:themeColor="text1"/>
                <w:sz w:val="24"/>
              </w:rPr>
            </w:pPr>
          </w:p>
        </w:tc>
        <w:tc>
          <w:tcPr>
            <w:tcW w:w="3780" w:type="dxa"/>
          </w:tcPr>
          <w:p w14:paraId="0DF43736"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and content analysis of key themes and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6CF6D5D3"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banks’ reports published between 2017 and 2023 show positive trend of “customers” we will assume that there is affordability of the formal financial services</w:t>
            </w:r>
          </w:p>
          <w:p w14:paraId="5475FD3B" w14:textId="77777777" w:rsidR="003D3187" w:rsidRPr="00AD17B6" w:rsidRDefault="003D3187" w:rsidP="00DA72A5">
            <w:pPr>
              <w:rPr>
                <w:rFonts w:ascii="Helvetica" w:hAnsi="Helvetica" w:cs="Helvetica"/>
                <w:color w:val="000000" w:themeColor="text1"/>
                <w:sz w:val="24"/>
              </w:rPr>
            </w:pPr>
          </w:p>
        </w:tc>
      </w:tr>
      <w:tr w:rsidR="003D3187" w:rsidRPr="00AD17B6" w14:paraId="1DE8F173" w14:textId="77777777" w:rsidTr="00DA72A5">
        <w:trPr>
          <w:trHeight w:val="1240"/>
        </w:trPr>
        <w:tc>
          <w:tcPr>
            <w:tcW w:w="1376" w:type="dxa"/>
          </w:tcPr>
          <w:p w14:paraId="5C23A4A6" w14:textId="77777777" w:rsidR="003D3187" w:rsidRPr="00AD17B6" w:rsidRDefault="003D3187" w:rsidP="00DA72A5">
            <w:pPr>
              <w:rPr>
                <w:rFonts w:ascii="Helvetica" w:hAnsi="Helvetica" w:cs="Helvetica"/>
                <w:color w:val="000000" w:themeColor="text1"/>
                <w:sz w:val="24"/>
              </w:rPr>
            </w:pPr>
          </w:p>
        </w:tc>
        <w:tc>
          <w:tcPr>
            <w:tcW w:w="1679" w:type="dxa"/>
          </w:tcPr>
          <w:p w14:paraId="5E705BC7"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Rate of affordability and convenience of digital financial services</w:t>
            </w:r>
          </w:p>
        </w:tc>
        <w:tc>
          <w:tcPr>
            <w:tcW w:w="3150" w:type="dxa"/>
          </w:tcPr>
          <w:p w14:paraId="177DDB94"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Also, the Tanzania’s National Microfinance Policy of 2017, and the Bank of Tanzania (Financial Consumer Protection) Regulations (2019)</w:t>
            </w:r>
          </w:p>
          <w:p w14:paraId="525D8106" w14:textId="77777777" w:rsidR="003D3187" w:rsidRPr="00AD17B6" w:rsidRDefault="003D3187" w:rsidP="00DA72A5">
            <w:pPr>
              <w:rPr>
                <w:rFonts w:ascii="Helvetica" w:hAnsi="Helvetica" w:cs="Helvetica"/>
                <w:color w:val="000000" w:themeColor="text1"/>
                <w:sz w:val="24"/>
              </w:rPr>
            </w:pPr>
          </w:p>
        </w:tc>
        <w:tc>
          <w:tcPr>
            <w:tcW w:w="3780" w:type="dxa"/>
          </w:tcPr>
          <w:p w14:paraId="682BAF39"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and content analysis of key themes and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r w:rsidRPr="00AD17B6">
              <w:rPr>
                <w:rFonts w:ascii="Helvetica" w:eastAsia="Calibri" w:hAnsi="Helvetica" w:cs="Helvetica"/>
                <w:color w:val="000000" w:themeColor="text1"/>
                <w:sz w:val="24"/>
              </w:rPr>
              <w:t xml:space="preserve">, and also </w:t>
            </w:r>
            <w:r w:rsidRPr="00AD17B6">
              <w:rPr>
                <w:rFonts w:ascii="Helvetica" w:hAnsi="Helvetica" w:cs="Helvetica"/>
                <w:color w:val="000000" w:themeColor="text1"/>
                <w:sz w:val="24"/>
              </w:rPr>
              <w:t>the Bank of Tanzania (Financial Consumer Protection) Regulations (2019)</w:t>
            </w:r>
          </w:p>
          <w:p w14:paraId="6EEE1B0F" w14:textId="77777777" w:rsidR="003D3187" w:rsidRPr="00AD17B6" w:rsidRDefault="003D3187" w:rsidP="00DA72A5">
            <w:pPr>
              <w:rPr>
                <w:rFonts w:ascii="Helvetica" w:hAnsi="Helvetica" w:cs="Helvetica"/>
                <w:color w:val="000000" w:themeColor="text1"/>
                <w:sz w:val="24"/>
              </w:rPr>
            </w:pPr>
          </w:p>
        </w:tc>
        <w:tc>
          <w:tcPr>
            <w:tcW w:w="3627" w:type="dxa"/>
          </w:tcPr>
          <w:p w14:paraId="3F910A3B"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mobile operators’ reports published between 2017 and 2023 show positive trend of “customers” we will assume that there is affordability and convenience of digital financial services</w:t>
            </w:r>
          </w:p>
          <w:p w14:paraId="3A4255F9"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 </w:t>
            </w:r>
          </w:p>
        </w:tc>
      </w:tr>
      <w:tr w:rsidR="003D3187" w:rsidRPr="00AD17B6" w14:paraId="626A842B" w14:textId="77777777" w:rsidTr="00DA72A5">
        <w:trPr>
          <w:trHeight w:val="832"/>
        </w:trPr>
        <w:tc>
          <w:tcPr>
            <w:tcW w:w="1376" w:type="dxa"/>
          </w:tcPr>
          <w:p w14:paraId="0C8380E7" w14:textId="77777777" w:rsidR="003D3187" w:rsidRPr="00AD17B6" w:rsidRDefault="003D3187" w:rsidP="00DA72A5">
            <w:pPr>
              <w:rPr>
                <w:rFonts w:ascii="Helvetica" w:hAnsi="Helvetica" w:cs="Helvetica"/>
                <w:color w:val="000000" w:themeColor="text1"/>
                <w:sz w:val="24"/>
              </w:rPr>
            </w:pPr>
          </w:p>
        </w:tc>
        <w:tc>
          <w:tcPr>
            <w:tcW w:w="1679" w:type="dxa"/>
          </w:tcPr>
          <w:p w14:paraId="2BF4D345"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financial agency services</w:t>
            </w:r>
          </w:p>
        </w:tc>
        <w:tc>
          <w:tcPr>
            <w:tcW w:w="3150" w:type="dxa"/>
          </w:tcPr>
          <w:p w14:paraId="6A59BE21"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Document analysis of the Tanzania’s National Microfinance Policy 2017</w:t>
            </w:r>
          </w:p>
        </w:tc>
        <w:tc>
          <w:tcPr>
            <w:tcW w:w="3780" w:type="dxa"/>
          </w:tcPr>
          <w:p w14:paraId="0FDFDD72"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the key themes found in the </w:t>
            </w:r>
            <w:r w:rsidRPr="00AD17B6">
              <w:rPr>
                <w:rFonts w:ascii="Helvetica" w:hAnsi="Helvetica" w:cs="Helvetica"/>
                <w:color w:val="000000" w:themeColor="text1"/>
                <w:sz w:val="24"/>
              </w:rPr>
              <w:t>Tanzania’s National Microfinance Policy 2017</w:t>
            </w:r>
          </w:p>
        </w:tc>
        <w:tc>
          <w:tcPr>
            <w:tcW w:w="3627" w:type="dxa"/>
          </w:tcPr>
          <w:p w14:paraId="1A3F0FA5"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policies developed between 2017 and 2023 include “financial agency” we will assume that policies supporting financial agency are present</w:t>
            </w:r>
          </w:p>
          <w:p w14:paraId="0047ED62" w14:textId="77777777" w:rsidR="003D3187" w:rsidRPr="00AD17B6" w:rsidRDefault="003D3187" w:rsidP="00DA72A5">
            <w:pPr>
              <w:rPr>
                <w:rFonts w:ascii="Helvetica" w:hAnsi="Helvetica" w:cs="Helvetica"/>
                <w:color w:val="000000" w:themeColor="text1"/>
                <w:sz w:val="24"/>
              </w:rPr>
            </w:pPr>
          </w:p>
        </w:tc>
      </w:tr>
      <w:tr w:rsidR="003D3187" w:rsidRPr="00AD17B6" w14:paraId="5168BCD3" w14:textId="77777777" w:rsidTr="00DA72A5">
        <w:trPr>
          <w:trHeight w:val="1255"/>
        </w:trPr>
        <w:tc>
          <w:tcPr>
            <w:tcW w:w="1376" w:type="dxa"/>
          </w:tcPr>
          <w:p w14:paraId="2B5D4EF9" w14:textId="77777777" w:rsidR="003D3187" w:rsidRPr="00AD17B6" w:rsidRDefault="003D3187" w:rsidP="00DA72A5">
            <w:pPr>
              <w:rPr>
                <w:rFonts w:ascii="Helvetica" w:hAnsi="Helvetica" w:cs="Helvetica"/>
                <w:color w:val="000000" w:themeColor="text1"/>
                <w:sz w:val="24"/>
              </w:rPr>
            </w:pPr>
          </w:p>
        </w:tc>
        <w:tc>
          <w:tcPr>
            <w:tcW w:w="1679" w:type="dxa"/>
          </w:tcPr>
          <w:p w14:paraId="35AB7728"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Rate of change in the number of savings accounts</w:t>
            </w:r>
          </w:p>
        </w:tc>
        <w:tc>
          <w:tcPr>
            <w:tcW w:w="3150" w:type="dxa"/>
          </w:tcPr>
          <w:p w14:paraId="0E070510"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3E59EDE3" w14:textId="77777777" w:rsidR="003D3187" w:rsidRPr="00AD17B6" w:rsidRDefault="003D3187" w:rsidP="00DA72A5">
            <w:pPr>
              <w:rPr>
                <w:rFonts w:ascii="Helvetica" w:hAnsi="Helvetica" w:cs="Helvetica"/>
                <w:color w:val="000000" w:themeColor="text1"/>
                <w:sz w:val="24"/>
              </w:rPr>
            </w:pPr>
          </w:p>
        </w:tc>
        <w:tc>
          <w:tcPr>
            <w:tcW w:w="3780" w:type="dxa"/>
          </w:tcPr>
          <w:p w14:paraId="1B07E459"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Content analysis of key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18CFFDBB"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banks’ reports published between 2017 and 2023 show positive trend of “customers” base we will assume that there is positive rate of change in the number of savings accounts.</w:t>
            </w:r>
          </w:p>
          <w:p w14:paraId="7E45A8C6" w14:textId="77777777" w:rsidR="003D3187" w:rsidRPr="00AD17B6" w:rsidRDefault="003D3187" w:rsidP="00DA72A5">
            <w:pPr>
              <w:rPr>
                <w:rFonts w:ascii="Helvetica" w:hAnsi="Helvetica" w:cs="Helvetica"/>
                <w:color w:val="000000" w:themeColor="text1"/>
                <w:sz w:val="24"/>
              </w:rPr>
            </w:pPr>
          </w:p>
        </w:tc>
      </w:tr>
      <w:tr w:rsidR="003D3187" w:rsidRPr="00AD17B6" w14:paraId="584C98ED" w14:textId="77777777" w:rsidTr="00DA72A5">
        <w:trPr>
          <w:trHeight w:val="1240"/>
        </w:trPr>
        <w:tc>
          <w:tcPr>
            <w:tcW w:w="1376" w:type="dxa"/>
          </w:tcPr>
          <w:p w14:paraId="3A20BF19" w14:textId="77777777" w:rsidR="003D3187" w:rsidRPr="00AD17B6" w:rsidRDefault="003D3187" w:rsidP="00DA72A5">
            <w:pPr>
              <w:rPr>
                <w:rFonts w:ascii="Helvetica" w:hAnsi="Helvetica" w:cs="Helvetica"/>
                <w:b/>
                <w:bCs/>
                <w:color w:val="000000" w:themeColor="text1"/>
                <w:sz w:val="24"/>
              </w:rPr>
            </w:pPr>
            <w:r w:rsidRPr="00AD17B6">
              <w:rPr>
                <w:rFonts w:ascii="Helvetica" w:hAnsi="Helvetica" w:cs="Helvetica"/>
                <w:b/>
                <w:bCs/>
                <w:color w:val="000000" w:themeColor="text1"/>
                <w:sz w:val="24"/>
              </w:rPr>
              <w:lastRenderedPageBreak/>
              <w:t>Financial agents</w:t>
            </w:r>
          </w:p>
        </w:tc>
        <w:tc>
          <w:tcPr>
            <w:tcW w:w="1679" w:type="dxa"/>
          </w:tcPr>
          <w:p w14:paraId="154FF0C2"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Business working hours of financial agents</w:t>
            </w:r>
          </w:p>
        </w:tc>
        <w:tc>
          <w:tcPr>
            <w:tcW w:w="3150" w:type="dxa"/>
          </w:tcPr>
          <w:p w14:paraId="36D411AD"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00B6F377" w14:textId="77777777" w:rsidR="003D3187" w:rsidRPr="00AD17B6" w:rsidRDefault="003D3187" w:rsidP="00DA72A5">
            <w:pPr>
              <w:rPr>
                <w:rFonts w:ascii="Helvetica" w:hAnsi="Helvetica" w:cs="Helvetica"/>
                <w:color w:val="000000" w:themeColor="text1"/>
                <w:sz w:val="24"/>
              </w:rPr>
            </w:pPr>
          </w:p>
        </w:tc>
        <w:tc>
          <w:tcPr>
            <w:tcW w:w="3780" w:type="dxa"/>
          </w:tcPr>
          <w:p w14:paraId="05A6D900"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and content analysis of key themes and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6CDF9463"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mobile operators’ reports and banks’ reports published between 2017 and 2023 include “flexibility of financial agents” we will assume that financial agents have extended business working hours </w:t>
            </w:r>
          </w:p>
        </w:tc>
      </w:tr>
      <w:tr w:rsidR="003D3187" w:rsidRPr="00AD17B6" w14:paraId="03E1CDC6" w14:textId="77777777" w:rsidTr="00DA72A5">
        <w:trPr>
          <w:trHeight w:val="1664"/>
        </w:trPr>
        <w:tc>
          <w:tcPr>
            <w:tcW w:w="1376" w:type="dxa"/>
          </w:tcPr>
          <w:p w14:paraId="0D939989" w14:textId="77777777" w:rsidR="003D3187" w:rsidRPr="00AD17B6" w:rsidRDefault="003D3187" w:rsidP="00DA72A5">
            <w:pPr>
              <w:rPr>
                <w:rFonts w:ascii="Helvetica" w:hAnsi="Helvetica" w:cs="Helvetica"/>
                <w:color w:val="000000" w:themeColor="text1"/>
                <w:sz w:val="24"/>
              </w:rPr>
            </w:pPr>
          </w:p>
        </w:tc>
        <w:tc>
          <w:tcPr>
            <w:tcW w:w="1679" w:type="dxa"/>
          </w:tcPr>
          <w:p w14:paraId="7275E3A6"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Locations of financial agents</w:t>
            </w:r>
          </w:p>
        </w:tc>
        <w:tc>
          <w:tcPr>
            <w:tcW w:w="3150" w:type="dxa"/>
          </w:tcPr>
          <w:p w14:paraId="2FAB5111"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5A51B318" w14:textId="77777777" w:rsidR="003D3187" w:rsidRPr="00AD17B6" w:rsidRDefault="003D3187" w:rsidP="00DA72A5">
            <w:pPr>
              <w:rPr>
                <w:rFonts w:ascii="Helvetica" w:hAnsi="Helvetica" w:cs="Helvetica"/>
                <w:color w:val="000000" w:themeColor="text1"/>
                <w:sz w:val="24"/>
              </w:rPr>
            </w:pPr>
          </w:p>
        </w:tc>
        <w:tc>
          <w:tcPr>
            <w:tcW w:w="3780" w:type="dxa"/>
          </w:tcPr>
          <w:p w14:paraId="0B508939"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Content analysis of key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2BACF998"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mobile operators’ reports and banks’ reports published between 2017 and 2023 include “flexibility, ownership, and operations of financial agents” we will assume that financial agents have extended business working hours </w:t>
            </w:r>
          </w:p>
          <w:p w14:paraId="25F0044D" w14:textId="77777777" w:rsidR="003D3187" w:rsidRPr="00AD17B6" w:rsidRDefault="003D3187" w:rsidP="00DA72A5">
            <w:pPr>
              <w:rPr>
                <w:rFonts w:ascii="Helvetica" w:hAnsi="Helvetica" w:cs="Helvetica"/>
                <w:color w:val="000000" w:themeColor="text1"/>
                <w:sz w:val="24"/>
              </w:rPr>
            </w:pPr>
          </w:p>
        </w:tc>
      </w:tr>
      <w:tr w:rsidR="003D3187" w:rsidRPr="00AD17B6" w14:paraId="711C6410" w14:textId="77777777" w:rsidTr="00DA72A5">
        <w:trPr>
          <w:trHeight w:val="408"/>
        </w:trPr>
        <w:tc>
          <w:tcPr>
            <w:tcW w:w="1376" w:type="dxa"/>
          </w:tcPr>
          <w:p w14:paraId="089FE991" w14:textId="77777777" w:rsidR="003D3187" w:rsidRPr="00AD17B6" w:rsidRDefault="003D3187" w:rsidP="00DA72A5">
            <w:pPr>
              <w:rPr>
                <w:rFonts w:ascii="Helvetica" w:hAnsi="Helvetica" w:cs="Helvetica"/>
                <w:b/>
                <w:bCs/>
                <w:color w:val="000000" w:themeColor="text1"/>
                <w:sz w:val="24"/>
              </w:rPr>
            </w:pPr>
            <w:r w:rsidRPr="00AD17B6">
              <w:rPr>
                <w:rFonts w:ascii="Helvetica" w:hAnsi="Helvetica" w:cs="Helvetica"/>
                <w:b/>
                <w:bCs/>
                <w:color w:val="000000" w:themeColor="text1"/>
                <w:sz w:val="24"/>
              </w:rPr>
              <w:t>Financial literacy</w:t>
            </w:r>
          </w:p>
        </w:tc>
        <w:tc>
          <w:tcPr>
            <w:tcW w:w="1679" w:type="dxa"/>
          </w:tcPr>
          <w:p w14:paraId="79D021D6"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financial education</w:t>
            </w:r>
          </w:p>
        </w:tc>
        <w:tc>
          <w:tcPr>
            <w:tcW w:w="3150" w:type="dxa"/>
          </w:tcPr>
          <w:p w14:paraId="40AEF77E"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Bank of Tanzania (Financial Consumer Protection) Regulations (2019) </w:t>
            </w:r>
          </w:p>
          <w:p w14:paraId="13597438" w14:textId="77777777" w:rsidR="003D3187" w:rsidRPr="00AD17B6" w:rsidRDefault="003D3187" w:rsidP="00DA72A5">
            <w:pPr>
              <w:rPr>
                <w:rFonts w:ascii="Helvetica" w:hAnsi="Helvetica" w:cs="Helvetica"/>
                <w:color w:val="000000" w:themeColor="text1"/>
                <w:sz w:val="24"/>
              </w:rPr>
            </w:pPr>
          </w:p>
        </w:tc>
        <w:tc>
          <w:tcPr>
            <w:tcW w:w="3780" w:type="dxa"/>
          </w:tcPr>
          <w:p w14:paraId="69CC3AD8"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the key themes found in the </w:t>
            </w:r>
            <w:r w:rsidRPr="00AD17B6">
              <w:rPr>
                <w:rFonts w:ascii="Helvetica" w:hAnsi="Helvetica" w:cs="Helvetica"/>
                <w:color w:val="000000" w:themeColor="text1"/>
                <w:sz w:val="24"/>
              </w:rPr>
              <w:t>Bank of Tanzania (Financial Consumer Protection) Regulations (2019)</w:t>
            </w:r>
          </w:p>
        </w:tc>
        <w:tc>
          <w:tcPr>
            <w:tcW w:w="3627" w:type="dxa"/>
          </w:tcPr>
          <w:p w14:paraId="5AFA5AA4"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policies developed between 2017 and 2023 include “financial education.” we will assume that policies supporting financial education are present</w:t>
            </w:r>
          </w:p>
          <w:p w14:paraId="51742E2D" w14:textId="77777777" w:rsidR="003D3187" w:rsidRPr="00AD17B6" w:rsidRDefault="003D3187" w:rsidP="00DA72A5">
            <w:pPr>
              <w:rPr>
                <w:rFonts w:ascii="Helvetica" w:hAnsi="Helvetica" w:cs="Helvetica"/>
                <w:color w:val="000000" w:themeColor="text1"/>
                <w:sz w:val="24"/>
              </w:rPr>
            </w:pPr>
          </w:p>
        </w:tc>
      </w:tr>
      <w:tr w:rsidR="003D3187" w:rsidRPr="00AD17B6" w14:paraId="31A00DE3" w14:textId="77777777" w:rsidTr="00DA72A5">
        <w:trPr>
          <w:trHeight w:val="1255"/>
        </w:trPr>
        <w:tc>
          <w:tcPr>
            <w:tcW w:w="1376" w:type="dxa"/>
          </w:tcPr>
          <w:p w14:paraId="6937B358" w14:textId="77777777" w:rsidR="003D3187" w:rsidRPr="00AD17B6" w:rsidRDefault="003D3187" w:rsidP="00DA72A5">
            <w:pPr>
              <w:rPr>
                <w:rFonts w:ascii="Helvetica" w:hAnsi="Helvetica" w:cs="Helvetica"/>
                <w:color w:val="000000" w:themeColor="text1"/>
                <w:sz w:val="24"/>
              </w:rPr>
            </w:pPr>
          </w:p>
        </w:tc>
        <w:tc>
          <w:tcPr>
            <w:tcW w:w="1679" w:type="dxa"/>
          </w:tcPr>
          <w:p w14:paraId="18E828CA"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bank programs on financial education</w:t>
            </w:r>
          </w:p>
        </w:tc>
        <w:tc>
          <w:tcPr>
            <w:tcW w:w="3150" w:type="dxa"/>
          </w:tcPr>
          <w:p w14:paraId="1D717D7D" w14:textId="77777777" w:rsidR="003D3187" w:rsidRPr="00AD17B6" w:rsidRDefault="003D3187" w:rsidP="00DA72A5">
            <w:pPr>
              <w:rPr>
                <w:rFonts w:ascii="Helvetica" w:eastAsia="Arial Unicode MS" w:hAnsi="Helvetica" w:cs="Helvetica"/>
                <w:color w:val="000000" w:themeColor="text1"/>
                <w:sz w:val="24"/>
              </w:rPr>
            </w:pPr>
            <w:r w:rsidRPr="00AD17B6">
              <w:rPr>
                <w:rFonts w:ascii="Helvetica" w:hAnsi="Helvetica" w:cs="Helvetica"/>
                <w:color w:val="000000" w:themeColor="text1"/>
                <w:sz w:val="24"/>
              </w:rPr>
              <w:t xml:space="preserve">Document analysis of the 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 </w:t>
            </w:r>
          </w:p>
          <w:p w14:paraId="25E7EF6A" w14:textId="77777777" w:rsidR="003D3187" w:rsidRPr="00AD17B6" w:rsidRDefault="003D3187" w:rsidP="00DA72A5">
            <w:pPr>
              <w:rPr>
                <w:rFonts w:ascii="Helvetica" w:hAnsi="Helvetica" w:cs="Helvetica"/>
                <w:color w:val="000000" w:themeColor="text1"/>
                <w:sz w:val="24"/>
              </w:rPr>
            </w:pPr>
          </w:p>
        </w:tc>
        <w:tc>
          <w:tcPr>
            <w:tcW w:w="3780" w:type="dxa"/>
          </w:tcPr>
          <w:p w14:paraId="4DD88887"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Content analysis of key contents of the </w:t>
            </w:r>
            <w:r w:rsidRPr="00AD17B6">
              <w:rPr>
                <w:rFonts w:ascii="Helvetica" w:hAnsi="Helvetica" w:cs="Helvetica"/>
                <w:color w:val="000000" w:themeColor="text1"/>
                <w:sz w:val="24"/>
              </w:rPr>
              <w:t xml:space="preserve">integrated annual reports of the </w:t>
            </w:r>
            <w:r w:rsidRPr="00AD17B6">
              <w:rPr>
                <w:rFonts w:ascii="Helvetica" w:eastAsia="Calibri" w:hAnsi="Helvetica" w:cs="Helvetica"/>
                <w:color w:val="000000" w:themeColor="text1"/>
                <w:sz w:val="24"/>
              </w:rPr>
              <w:t>CRDB Bank and the National Microfinance Bank (NMB).</w:t>
            </w:r>
            <w:r w:rsidRPr="00AD17B6">
              <w:rPr>
                <w:rFonts w:ascii="Helvetica" w:hAnsi="Helvetica" w:cs="Helvetica"/>
                <w:color w:val="000000" w:themeColor="text1"/>
                <w:sz w:val="24"/>
              </w:rPr>
              <w:t xml:space="preserve"> released from 2017 to 2023</w:t>
            </w:r>
          </w:p>
        </w:tc>
        <w:tc>
          <w:tcPr>
            <w:tcW w:w="3627" w:type="dxa"/>
          </w:tcPr>
          <w:p w14:paraId="06FA86C7"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If several Tanzanian banks’ reports published between 2017 and 2023 include “financial literacy programs” we will assume that banks programs on financial education are present </w:t>
            </w:r>
          </w:p>
          <w:p w14:paraId="54112AB4" w14:textId="77777777" w:rsidR="003D3187" w:rsidRPr="00AD17B6" w:rsidRDefault="003D3187" w:rsidP="00DA72A5">
            <w:pPr>
              <w:rPr>
                <w:rFonts w:ascii="Helvetica" w:hAnsi="Helvetica" w:cs="Helvetica"/>
                <w:color w:val="000000" w:themeColor="text1"/>
                <w:sz w:val="24"/>
              </w:rPr>
            </w:pPr>
          </w:p>
        </w:tc>
      </w:tr>
      <w:tr w:rsidR="003D3187" w:rsidRPr="00AD17B6" w14:paraId="6894EE57" w14:textId="77777777" w:rsidTr="00DA72A5">
        <w:trPr>
          <w:trHeight w:val="1240"/>
        </w:trPr>
        <w:tc>
          <w:tcPr>
            <w:tcW w:w="1376" w:type="dxa"/>
          </w:tcPr>
          <w:p w14:paraId="644196C7" w14:textId="77777777" w:rsidR="003D3187" w:rsidRPr="00AD17B6" w:rsidRDefault="003D3187" w:rsidP="00DA72A5">
            <w:pPr>
              <w:rPr>
                <w:rFonts w:ascii="Helvetica" w:hAnsi="Helvetica" w:cs="Helvetica"/>
                <w:color w:val="000000" w:themeColor="text1"/>
                <w:sz w:val="24"/>
              </w:rPr>
            </w:pPr>
          </w:p>
        </w:tc>
        <w:tc>
          <w:tcPr>
            <w:tcW w:w="1679" w:type="dxa"/>
          </w:tcPr>
          <w:p w14:paraId="43423DEA"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Presence of policies supporting partnership and sharing in the financial sector</w:t>
            </w:r>
          </w:p>
        </w:tc>
        <w:tc>
          <w:tcPr>
            <w:tcW w:w="3150" w:type="dxa"/>
          </w:tcPr>
          <w:p w14:paraId="5F4E09E1"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 xml:space="preserve">Document analysis of the Tanzania’s National Microfinance Policy of 2017 </w:t>
            </w:r>
          </w:p>
          <w:p w14:paraId="4FDDEEB4" w14:textId="77777777" w:rsidR="003D3187" w:rsidRPr="00AD17B6" w:rsidRDefault="003D3187" w:rsidP="00DA72A5">
            <w:pPr>
              <w:rPr>
                <w:rFonts w:ascii="Helvetica" w:hAnsi="Helvetica" w:cs="Helvetica"/>
                <w:color w:val="000000" w:themeColor="text1"/>
                <w:sz w:val="24"/>
              </w:rPr>
            </w:pPr>
          </w:p>
        </w:tc>
        <w:tc>
          <w:tcPr>
            <w:tcW w:w="3780" w:type="dxa"/>
          </w:tcPr>
          <w:p w14:paraId="101B53CC" w14:textId="77777777" w:rsidR="003D3187" w:rsidRPr="00AD17B6" w:rsidRDefault="003D3187" w:rsidP="00DA72A5">
            <w:pPr>
              <w:rPr>
                <w:rFonts w:ascii="Helvetica" w:hAnsi="Helvetica" w:cs="Helvetica"/>
                <w:color w:val="000000" w:themeColor="text1"/>
                <w:sz w:val="24"/>
              </w:rPr>
            </w:pPr>
            <w:r w:rsidRPr="00AD17B6">
              <w:rPr>
                <w:rFonts w:ascii="Helvetica" w:eastAsia="Calibri" w:hAnsi="Helvetica" w:cs="Helvetica"/>
                <w:color w:val="000000" w:themeColor="text1"/>
                <w:sz w:val="24"/>
              </w:rPr>
              <w:t xml:space="preserve">Thematic analysis of key themes found in the </w:t>
            </w:r>
            <w:r w:rsidRPr="00AD17B6">
              <w:rPr>
                <w:rFonts w:ascii="Helvetica" w:hAnsi="Helvetica" w:cs="Helvetica"/>
                <w:color w:val="000000" w:themeColor="text1"/>
                <w:sz w:val="24"/>
              </w:rPr>
              <w:t>Tanzania’s National Microfinance Policy of 2017</w:t>
            </w:r>
          </w:p>
        </w:tc>
        <w:tc>
          <w:tcPr>
            <w:tcW w:w="3627" w:type="dxa"/>
          </w:tcPr>
          <w:p w14:paraId="036A7BE0" w14:textId="77777777" w:rsidR="003D3187" w:rsidRPr="00AD17B6" w:rsidRDefault="003D3187" w:rsidP="00DA72A5">
            <w:pPr>
              <w:rPr>
                <w:rFonts w:ascii="Helvetica" w:hAnsi="Helvetica" w:cs="Helvetica"/>
                <w:color w:val="000000" w:themeColor="text1"/>
                <w:sz w:val="24"/>
              </w:rPr>
            </w:pPr>
            <w:r w:rsidRPr="00AD17B6">
              <w:rPr>
                <w:rFonts w:ascii="Helvetica" w:hAnsi="Helvetica" w:cs="Helvetica"/>
                <w:color w:val="000000" w:themeColor="text1"/>
                <w:sz w:val="24"/>
              </w:rPr>
              <w:t>If several Tanzanian policies developed between 2017 and 2023 include “partnership” we will assume that policies supporting partnership and sharing are present</w:t>
            </w:r>
          </w:p>
          <w:p w14:paraId="271EEDC9" w14:textId="77777777" w:rsidR="003D3187" w:rsidRPr="00AD17B6" w:rsidRDefault="003D3187" w:rsidP="00DA72A5">
            <w:pPr>
              <w:rPr>
                <w:rFonts w:ascii="Helvetica" w:hAnsi="Helvetica" w:cs="Helvetica"/>
                <w:color w:val="000000" w:themeColor="text1"/>
                <w:sz w:val="24"/>
              </w:rPr>
            </w:pPr>
          </w:p>
        </w:tc>
      </w:tr>
    </w:tbl>
    <w:p w14:paraId="348873E5" w14:textId="77777777" w:rsidR="003D3187" w:rsidRPr="00AD17B6" w:rsidRDefault="003D3187" w:rsidP="003D3187">
      <w:pPr>
        <w:jc w:val="both"/>
        <w:rPr>
          <w:rFonts w:ascii="Helvetica" w:hAnsi="Helvetica" w:cs="Helvetica"/>
          <w:color w:val="000000" w:themeColor="text1"/>
          <w:sz w:val="24"/>
        </w:rPr>
      </w:pPr>
    </w:p>
    <w:p w14:paraId="71D2EE6E" w14:textId="77777777" w:rsidR="003D3187" w:rsidRPr="00AD17B6" w:rsidRDefault="003D3187" w:rsidP="003D3187">
      <w:pPr>
        <w:jc w:val="both"/>
        <w:rPr>
          <w:rFonts w:ascii="Helvetica" w:hAnsi="Helvetica" w:cs="Helvetica"/>
          <w:color w:val="000000" w:themeColor="text1"/>
          <w:sz w:val="24"/>
        </w:rPr>
      </w:pPr>
    </w:p>
    <w:p w14:paraId="4411F4C9" w14:textId="77777777" w:rsidR="003D3187" w:rsidRPr="00AD17B6" w:rsidRDefault="003D3187" w:rsidP="003D3187">
      <w:pPr>
        <w:jc w:val="both"/>
        <w:rPr>
          <w:rFonts w:ascii="Helvetica" w:hAnsi="Helvetica" w:cs="Helvetica"/>
          <w:color w:val="000000" w:themeColor="text1"/>
          <w:sz w:val="24"/>
          <w:lang w:val="id-ID"/>
        </w:rPr>
      </w:pPr>
    </w:p>
    <w:p w14:paraId="7FE8A28D" w14:textId="77777777" w:rsidR="003D3187" w:rsidRPr="00AD17B6" w:rsidRDefault="003D3187" w:rsidP="003D3187">
      <w:pPr>
        <w:jc w:val="both"/>
        <w:rPr>
          <w:rFonts w:ascii="Helvetica" w:hAnsi="Helvetica" w:cs="Helvetica"/>
          <w:color w:val="000000" w:themeColor="text1"/>
          <w:sz w:val="24"/>
        </w:rPr>
      </w:pPr>
    </w:p>
    <w:p w14:paraId="1AB0EBC4" w14:textId="77777777" w:rsidR="003D3187" w:rsidRPr="00AD17B6" w:rsidRDefault="003D3187" w:rsidP="003D3187">
      <w:pPr>
        <w:jc w:val="both"/>
        <w:rPr>
          <w:rFonts w:ascii="Helvetica" w:hAnsi="Helvetica" w:cs="Helvetica"/>
          <w:color w:val="000000" w:themeColor="text1"/>
          <w:sz w:val="24"/>
        </w:rPr>
      </w:pPr>
    </w:p>
    <w:p w14:paraId="10519174" w14:textId="77777777" w:rsidR="003D3187" w:rsidRPr="00AD17B6" w:rsidRDefault="003D3187" w:rsidP="003D3187">
      <w:pPr>
        <w:rPr>
          <w:rFonts w:ascii="Helvetica" w:hAnsi="Helvetica" w:cs="Helvetica"/>
        </w:rPr>
      </w:pPr>
    </w:p>
    <w:p w14:paraId="3C71E8BB" w14:textId="77777777" w:rsidR="00767E38" w:rsidRDefault="00767E38"/>
    <w:sectPr w:rsidR="00767E38" w:rsidSect="003D3187">
      <w:headerReference w:type="even" r:id="rId4"/>
      <w:headerReference w:type="default" r:id="rId5"/>
      <w:footerReference w:type="even" r:id="rId6"/>
      <w:footerReference w:type="default" r:id="rId7"/>
      <w:footnotePr>
        <w:pos w:val="beneathText"/>
      </w:footnotePr>
      <w:pgSz w:w="16840" w:h="11900" w:orient="landscape" w:code="9"/>
      <w:pgMar w:top="1021" w:right="1247" w:bottom="985" w:left="851" w:header="737" w:footer="567" w:gutter="0"/>
      <w:cols w:space="5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8C3BB" w14:textId="77777777" w:rsidR="003D3187" w:rsidRPr="0014767D" w:rsidRDefault="003D3187">
    <w:pPr>
      <w:pStyle w:val="Footer"/>
      <w:jc w:val="center"/>
      <w:rPr>
        <w:rFonts w:ascii="Book Antiqua" w:hAnsi="Book Antiqua"/>
        <w:b/>
        <w:sz w:val="20"/>
        <w:szCs w:val="20"/>
      </w:rPr>
    </w:pPr>
  </w:p>
  <w:p w14:paraId="59A99A13" w14:textId="77777777" w:rsidR="003D3187" w:rsidRPr="001A6F61" w:rsidRDefault="003D3187" w:rsidP="001A0D89">
    <w:pPr>
      <w:pStyle w:val="Footer"/>
      <w:ind w:right="360"/>
      <w:rPr>
        <w:lang w:val="id-ID"/>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6E737" w14:textId="77777777" w:rsidR="003D3187" w:rsidRPr="00AD038E" w:rsidRDefault="003D3187">
    <w:pPr>
      <w:pStyle w:val="Footer"/>
      <w:jc w:val="center"/>
      <w:rPr>
        <w:rFonts w:ascii="Book Antiqua" w:hAnsi="Book Antiqua"/>
        <w:b/>
        <w:sz w:val="20"/>
        <w:szCs w:val="20"/>
      </w:rPr>
    </w:pPr>
  </w:p>
  <w:p w14:paraId="2EC0F81B" w14:textId="77777777" w:rsidR="003D3187" w:rsidRDefault="003D3187" w:rsidP="001A0D89">
    <w:pPr>
      <w:pStyle w:val="Footer"/>
      <w:tabs>
        <w:tab w:val="clear" w:pos="4680"/>
        <w:tab w:val="center" w:pos="5103"/>
      </w:tabs>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5BB0D" w14:textId="77777777" w:rsidR="003D3187" w:rsidRPr="001E01DB" w:rsidRDefault="003D3187" w:rsidP="00B528CC">
    <w:pPr>
      <w:pStyle w:val="Header"/>
    </w:pPr>
    <w:r w:rsidRPr="00934606">
      <w:rPr>
        <w:rFonts w:ascii="Calibri" w:hAnsi="Calibri" w:cs="Calibri"/>
        <w:sz w:val="22"/>
        <w:szCs w:val="22"/>
      </w:rPr>
      <w:fldChar w:fldCharType="begin"/>
    </w:r>
    <w:r w:rsidRPr="00934606">
      <w:rPr>
        <w:rFonts w:ascii="Calibri" w:hAnsi="Calibri" w:cs="Calibri"/>
        <w:sz w:val="22"/>
        <w:szCs w:val="22"/>
      </w:rPr>
      <w:instrText xml:space="preserve"> PAGE   \* MERGEFORMAT </w:instrText>
    </w:r>
    <w:r w:rsidRPr="00934606">
      <w:rPr>
        <w:rFonts w:ascii="Calibri" w:hAnsi="Calibri" w:cs="Calibri"/>
        <w:sz w:val="22"/>
        <w:szCs w:val="22"/>
      </w:rPr>
      <w:fldChar w:fldCharType="separate"/>
    </w:r>
    <w:r w:rsidRPr="00934606">
      <w:rPr>
        <w:rFonts w:ascii="Calibri" w:hAnsi="Calibri" w:cs="Calibri"/>
        <w:sz w:val="22"/>
        <w:szCs w:val="22"/>
      </w:rPr>
      <w:t>2</w:t>
    </w:r>
    <w:r w:rsidRPr="00934606">
      <w:rPr>
        <w:rFonts w:ascii="Calibri" w:hAnsi="Calibri" w:cs="Calibri"/>
        <w:noProof/>
        <w:sz w:val="22"/>
        <w:szCs w:val="22"/>
      </w:rPr>
      <w:fldChar w:fldCharType="end"/>
    </w:r>
    <w:r>
      <w:rPr>
        <w:noProof/>
      </w:rPr>
      <w:t xml:space="preserve">     </w:t>
    </w:r>
    <w:r w:rsidRPr="007379C5">
      <w:rPr>
        <w:rFonts w:ascii="Calibri" w:hAnsi="Calibri" w:cs="Calibri"/>
        <w:i/>
        <w:iCs/>
        <w:sz w:val="20"/>
        <w:szCs w:val="20"/>
      </w:rPr>
      <w:t>Marcapada: Jurnal Kebijakan Pertanahan</w:t>
    </w:r>
    <w:r w:rsidRPr="001E01DB">
      <w:rPr>
        <w:rFonts w:ascii="Calibri" w:hAnsi="Calibri" w:cs="Calibri"/>
        <w:sz w:val="20"/>
        <w:szCs w:val="20"/>
      </w:rPr>
      <w:t xml:space="preserve"> | </w:t>
    </w:r>
    <w:r>
      <w:rPr>
        <w:rFonts w:ascii="Calibri" w:hAnsi="Calibri" w:cs="Calibri"/>
        <w:sz w:val="20"/>
        <w:szCs w:val="20"/>
      </w:rPr>
      <w:t xml:space="preserve">Issue 4 </w:t>
    </w:r>
    <w:r w:rsidRPr="001E01DB">
      <w:rPr>
        <w:rFonts w:ascii="Calibri" w:hAnsi="Calibri" w:cs="Calibri"/>
        <w:sz w:val="20"/>
        <w:szCs w:val="20"/>
      </w:rPr>
      <w:t xml:space="preserve">No. </w:t>
    </w:r>
    <w:r>
      <w:rPr>
        <w:rFonts w:ascii="Calibri" w:hAnsi="Calibri" w:cs="Calibri"/>
        <w:sz w:val="20"/>
        <w:szCs w:val="20"/>
      </w:rPr>
      <w:t xml:space="preserve">2 </w:t>
    </w:r>
    <w:r w:rsidRPr="001E01DB">
      <w:rPr>
        <w:rFonts w:ascii="Calibri" w:hAnsi="Calibri" w:cs="Calibri"/>
        <w:sz w:val="20"/>
        <w:szCs w:val="20"/>
      </w:rPr>
      <w:t>(</w:t>
    </w:r>
    <w:r>
      <w:rPr>
        <w:rFonts w:ascii="Calibri" w:hAnsi="Calibri" w:cs="Calibri"/>
        <w:sz w:val="20"/>
        <w:szCs w:val="20"/>
      </w:rPr>
      <w:t xml:space="preserve">May </w:t>
    </w:r>
    <w:r w:rsidRPr="001E01DB">
      <w:rPr>
        <w:rFonts w:ascii="Calibri" w:hAnsi="Calibri" w:cs="Calibri"/>
        <w:sz w:val="20"/>
        <w:szCs w:val="20"/>
      </w:rPr>
      <w:t>202</w:t>
    </w:r>
    <w:r>
      <w:rPr>
        <w:rFonts w:ascii="Calibri" w:hAnsi="Calibri" w:cs="Calibri"/>
        <w:sz w:val="20"/>
        <w:szCs w:val="20"/>
      </w:rPr>
      <w:t>4</w:t>
    </w:r>
    <w:r w:rsidRPr="001E01DB">
      <w:rPr>
        <w:rFonts w:ascii="Calibri" w:hAnsi="Calibri" w:cs="Calibri"/>
        <w:sz w:val="20"/>
        <w:szCs w:val="20"/>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339F9" w14:textId="77777777" w:rsidR="003D3187" w:rsidRPr="00B528CC" w:rsidRDefault="003D3187" w:rsidP="00B528CC">
    <w:pPr>
      <w:pStyle w:val="Header"/>
      <w:jc w:val="right"/>
      <w:rPr>
        <w:rFonts w:ascii="Calibri" w:hAnsi="Calibri" w:cs="Calibri"/>
        <w:sz w:val="20"/>
        <w:szCs w:val="20"/>
        <w:lang w:val="id-ID"/>
      </w:rPr>
    </w:pPr>
    <w:r w:rsidRPr="00B528CC">
      <w:rPr>
        <w:lang w:val="id-ID"/>
      </w:rPr>
      <w:t xml:space="preserve">     </w:t>
    </w:r>
  </w:p>
  <w:p w14:paraId="0EB3D436" w14:textId="77777777" w:rsidR="003D3187" w:rsidRPr="00B528CC" w:rsidRDefault="003D3187" w:rsidP="00B528CC">
    <w:pPr>
      <w:pStyle w:val="Header"/>
      <w:rPr>
        <w:lang w:val="id-ID"/>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187"/>
    <w:rsid w:val="003D3187"/>
    <w:rsid w:val="00767E38"/>
    <w:rsid w:val="00866F7D"/>
    <w:rsid w:val="00DC1248"/>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CA727"/>
  <w15:chartTrackingRefBased/>
  <w15:docId w15:val="{3C743F54-4675-4D93-AA2F-9F66EFF6E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187"/>
    <w:pPr>
      <w:spacing w:after="0" w:line="240" w:lineRule="auto"/>
    </w:pPr>
    <w:rPr>
      <w:rFonts w:ascii="Times New Roman" w:hAnsi="Times New Roman"/>
      <w:kern w:val="0"/>
      <w:sz w:val="18"/>
      <w:lang w:val="en-US"/>
      <w14:ligatures w14:val="none"/>
    </w:rPr>
  </w:style>
  <w:style w:type="paragraph" w:styleId="Heading1">
    <w:name w:val="heading 1"/>
    <w:basedOn w:val="Normal"/>
    <w:next w:val="Normal"/>
    <w:link w:val="Heading1Char"/>
    <w:uiPriority w:val="9"/>
    <w:qFormat/>
    <w:rsid w:val="003D31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3D31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3D318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3D318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lang w:val="en-IN"/>
      <w14:ligatures w14:val="standardContextual"/>
    </w:rPr>
  </w:style>
  <w:style w:type="paragraph" w:styleId="Heading5">
    <w:name w:val="heading 5"/>
    <w:basedOn w:val="Normal"/>
    <w:next w:val="Normal"/>
    <w:link w:val="Heading5Char"/>
    <w:uiPriority w:val="9"/>
    <w:semiHidden/>
    <w:unhideWhenUsed/>
    <w:qFormat/>
    <w:rsid w:val="003D318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lang w:val="en-IN"/>
      <w14:ligatures w14:val="standardContextual"/>
    </w:rPr>
  </w:style>
  <w:style w:type="paragraph" w:styleId="Heading6">
    <w:name w:val="heading 6"/>
    <w:basedOn w:val="Normal"/>
    <w:next w:val="Normal"/>
    <w:link w:val="Heading6Char"/>
    <w:uiPriority w:val="9"/>
    <w:semiHidden/>
    <w:unhideWhenUsed/>
    <w:qFormat/>
    <w:rsid w:val="003D3187"/>
    <w:pPr>
      <w:keepNext/>
      <w:keepLines/>
      <w:spacing w:before="40" w:line="278" w:lineRule="auto"/>
      <w:outlineLvl w:val="5"/>
    </w:pPr>
    <w:rPr>
      <w:rFonts w:asciiTheme="minorHAnsi" w:eastAsiaTheme="majorEastAsia" w:hAnsiTheme="minorHAnsi" w:cstheme="majorBidi"/>
      <w:i/>
      <w:iCs/>
      <w:color w:val="595959" w:themeColor="text1" w:themeTint="A6"/>
      <w:kern w:val="2"/>
      <w:sz w:val="24"/>
      <w:lang w:val="en-IN"/>
      <w14:ligatures w14:val="standardContextual"/>
    </w:rPr>
  </w:style>
  <w:style w:type="paragraph" w:styleId="Heading7">
    <w:name w:val="heading 7"/>
    <w:basedOn w:val="Normal"/>
    <w:next w:val="Normal"/>
    <w:link w:val="Heading7Char"/>
    <w:uiPriority w:val="9"/>
    <w:semiHidden/>
    <w:unhideWhenUsed/>
    <w:qFormat/>
    <w:rsid w:val="003D3187"/>
    <w:pPr>
      <w:keepNext/>
      <w:keepLines/>
      <w:spacing w:before="40" w:line="278" w:lineRule="auto"/>
      <w:outlineLvl w:val="6"/>
    </w:pPr>
    <w:rPr>
      <w:rFonts w:asciiTheme="minorHAnsi" w:eastAsiaTheme="majorEastAsia" w:hAnsiTheme="minorHAnsi" w:cstheme="majorBidi"/>
      <w:color w:val="595959" w:themeColor="text1" w:themeTint="A6"/>
      <w:kern w:val="2"/>
      <w:sz w:val="24"/>
      <w:lang w:val="en-IN"/>
      <w14:ligatures w14:val="standardContextual"/>
    </w:rPr>
  </w:style>
  <w:style w:type="paragraph" w:styleId="Heading8">
    <w:name w:val="heading 8"/>
    <w:basedOn w:val="Normal"/>
    <w:next w:val="Normal"/>
    <w:link w:val="Heading8Char"/>
    <w:uiPriority w:val="9"/>
    <w:semiHidden/>
    <w:unhideWhenUsed/>
    <w:qFormat/>
    <w:rsid w:val="003D3187"/>
    <w:pPr>
      <w:keepNext/>
      <w:keepLines/>
      <w:spacing w:line="278" w:lineRule="auto"/>
      <w:outlineLvl w:val="7"/>
    </w:pPr>
    <w:rPr>
      <w:rFonts w:asciiTheme="minorHAnsi" w:eastAsiaTheme="majorEastAsia" w:hAnsiTheme="minorHAnsi" w:cstheme="majorBidi"/>
      <w:i/>
      <w:iCs/>
      <w:color w:val="272727" w:themeColor="text1" w:themeTint="D8"/>
      <w:kern w:val="2"/>
      <w:sz w:val="24"/>
      <w:lang w:val="en-IN"/>
      <w14:ligatures w14:val="standardContextual"/>
    </w:rPr>
  </w:style>
  <w:style w:type="paragraph" w:styleId="Heading9">
    <w:name w:val="heading 9"/>
    <w:basedOn w:val="Normal"/>
    <w:next w:val="Normal"/>
    <w:link w:val="Heading9Char"/>
    <w:uiPriority w:val="9"/>
    <w:semiHidden/>
    <w:unhideWhenUsed/>
    <w:qFormat/>
    <w:rsid w:val="003D3187"/>
    <w:pPr>
      <w:keepNext/>
      <w:keepLines/>
      <w:spacing w:line="278" w:lineRule="auto"/>
      <w:outlineLvl w:val="8"/>
    </w:pPr>
    <w:rPr>
      <w:rFonts w:asciiTheme="minorHAnsi" w:eastAsiaTheme="majorEastAsia" w:hAnsiTheme="minorHAnsi" w:cstheme="majorBidi"/>
      <w:color w:val="272727" w:themeColor="text1" w:themeTint="D8"/>
      <w:kern w:val="2"/>
      <w:sz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31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31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31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31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31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31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31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31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3187"/>
    <w:rPr>
      <w:rFonts w:eastAsiaTheme="majorEastAsia" w:cstheme="majorBidi"/>
      <w:color w:val="272727" w:themeColor="text1" w:themeTint="D8"/>
    </w:rPr>
  </w:style>
  <w:style w:type="paragraph" w:styleId="Title">
    <w:name w:val="Title"/>
    <w:basedOn w:val="Normal"/>
    <w:next w:val="Normal"/>
    <w:link w:val="TitleChar"/>
    <w:uiPriority w:val="10"/>
    <w:qFormat/>
    <w:rsid w:val="003D3187"/>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3D31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318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3D31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3187"/>
    <w:pPr>
      <w:spacing w:before="160" w:after="160" w:line="278" w:lineRule="auto"/>
      <w:jc w:val="center"/>
    </w:pPr>
    <w:rPr>
      <w:rFonts w:asciiTheme="minorHAnsi" w:hAnsiTheme="minorHAnsi"/>
      <w:i/>
      <w:iCs/>
      <w:color w:val="404040" w:themeColor="text1" w:themeTint="BF"/>
      <w:kern w:val="2"/>
      <w:sz w:val="24"/>
      <w:lang w:val="en-IN"/>
      <w14:ligatures w14:val="standardContextual"/>
    </w:rPr>
  </w:style>
  <w:style w:type="character" w:customStyle="1" w:styleId="QuoteChar">
    <w:name w:val="Quote Char"/>
    <w:basedOn w:val="DefaultParagraphFont"/>
    <w:link w:val="Quote"/>
    <w:uiPriority w:val="29"/>
    <w:rsid w:val="003D3187"/>
    <w:rPr>
      <w:i/>
      <w:iCs/>
      <w:color w:val="404040" w:themeColor="text1" w:themeTint="BF"/>
    </w:rPr>
  </w:style>
  <w:style w:type="paragraph" w:styleId="ListParagraph">
    <w:name w:val="List Paragraph"/>
    <w:basedOn w:val="Normal"/>
    <w:uiPriority w:val="34"/>
    <w:qFormat/>
    <w:rsid w:val="003D3187"/>
    <w:pPr>
      <w:spacing w:after="160" w:line="278" w:lineRule="auto"/>
      <w:ind w:left="720"/>
      <w:contextualSpacing/>
    </w:pPr>
    <w:rPr>
      <w:rFonts w:asciiTheme="minorHAnsi" w:hAnsiTheme="minorHAnsi"/>
      <w:kern w:val="2"/>
      <w:sz w:val="24"/>
      <w:lang w:val="en-IN"/>
      <w14:ligatures w14:val="standardContextual"/>
    </w:rPr>
  </w:style>
  <w:style w:type="character" w:styleId="IntenseEmphasis">
    <w:name w:val="Intense Emphasis"/>
    <w:basedOn w:val="DefaultParagraphFont"/>
    <w:uiPriority w:val="21"/>
    <w:qFormat/>
    <w:rsid w:val="003D3187"/>
    <w:rPr>
      <w:i/>
      <w:iCs/>
      <w:color w:val="0F4761" w:themeColor="accent1" w:themeShade="BF"/>
    </w:rPr>
  </w:style>
  <w:style w:type="paragraph" w:styleId="IntenseQuote">
    <w:name w:val="Intense Quote"/>
    <w:basedOn w:val="Normal"/>
    <w:next w:val="Normal"/>
    <w:link w:val="IntenseQuoteChar"/>
    <w:uiPriority w:val="30"/>
    <w:qFormat/>
    <w:rsid w:val="003D31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lang w:val="en-IN"/>
      <w14:ligatures w14:val="standardContextual"/>
    </w:rPr>
  </w:style>
  <w:style w:type="character" w:customStyle="1" w:styleId="IntenseQuoteChar">
    <w:name w:val="Intense Quote Char"/>
    <w:basedOn w:val="DefaultParagraphFont"/>
    <w:link w:val="IntenseQuote"/>
    <w:uiPriority w:val="30"/>
    <w:rsid w:val="003D3187"/>
    <w:rPr>
      <w:i/>
      <w:iCs/>
      <w:color w:val="0F4761" w:themeColor="accent1" w:themeShade="BF"/>
    </w:rPr>
  </w:style>
  <w:style w:type="character" w:styleId="IntenseReference">
    <w:name w:val="Intense Reference"/>
    <w:basedOn w:val="DefaultParagraphFont"/>
    <w:uiPriority w:val="32"/>
    <w:qFormat/>
    <w:rsid w:val="003D3187"/>
    <w:rPr>
      <w:b/>
      <w:bCs/>
      <w:smallCaps/>
      <w:color w:val="0F4761" w:themeColor="accent1" w:themeShade="BF"/>
      <w:spacing w:val="5"/>
    </w:rPr>
  </w:style>
  <w:style w:type="paragraph" w:styleId="Header">
    <w:name w:val="header"/>
    <w:basedOn w:val="Normal"/>
    <w:link w:val="HeaderChar"/>
    <w:uiPriority w:val="99"/>
    <w:unhideWhenUsed/>
    <w:rsid w:val="003D3187"/>
    <w:pPr>
      <w:tabs>
        <w:tab w:val="center" w:pos="4680"/>
        <w:tab w:val="right" w:pos="9360"/>
      </w:tabs>
    </w:pPr>
  </w:style>
  <w:style w:type="character" w:customStyle="1" w:styleId="HeaderChar">
    <w:name w:val="Header Char"/>
    <w:basedOn w:val="DefaultParagraphFont"/>
    <w:link w:val="Header"/>
    <w:uiPriority w:val="99"/>
    <w:rsid w:val="003D3187"/>
    <w:rPr>
      <w:rFonts w:ascii="Times New Roman" w:hAnsi="Times New Roman"/>
      <w:kern w:val="0"/>
      <w:sz w:val="18"/>
      <w:lang w:val="en-US"/>
      <w14:ligatures w14:val="none"/>
    </w:rPr>
  </w:style>
  <w:style w:type="paragraph" w:styleId="Footer">
    <w:name w:val="footer"/>
    <w:basedOn w:val="Normal"/>
    <w:link w:val="FooterChar"/>
    <w:uiPriority w:val="99"/>
    <w:unhideWhenUsed/>
    <w:rsid w:val="003D3187"/>
    <w:pPr>
      <w:tabs>
        <w:tab w:val="center" w:pos="4680"/>
        <w:tab w:val="right" w:pos="9360"/>
      </w:tabs>
    </w:pPr>
  </w:style>
  <w:style w:type="character" w:customStyle="1" w:styleId="FooterChar">
    <w:name w:val="Footer Char"/>
    <w:basedOn w:val="DefaultParagraphFont"/>
    <w:link w:val="Footer"/>
    <w:uiPriority w:val="99"/>
    <w:rsid w:val="003D3187"/>
    <w:rPr>
      <w:rFonts w:ascii="Times New Roman" w:hAnsi="Times New Roman"/>
      <w:kern w:val="0"/>
      <w:sz w:val="18"/>
      <w:lang w:val="en-US"/>
      <w14:ligatures w14:val="none"/>
    </w:rPr>
  </w:style>
  <w:style w:type="table" w:styleId="TableGrid">
    <w:name w:val="Table Grid"/>
    <w:basedOn w:val="TableNormal"/>
    <w:uiPriority w:val="39"/>
    <w:rsid w:val="003D3187"/>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1222</Words>
  <Characters>7285</Characters>
  <Application>Microsoft Office Word</Application>
  <DocSecurity>0</DocSecurity>
  <Lines>173</Lines>
  <Paragraphs>42</Paragraphs>
  <ScaleCrop>false</ScaleCrop>
  <Company/>
  <LinksUpToDate>false</LinksUpToDate>
  <CharactersWithSpaces>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2026-03-26T15:58:00Z</dcterms:created>
  <dcterms:modified xsi:type="dcterms:W3CDTF">2026-03-26T15:58:00Z</dcterms:modified>
</cp:coreProperties>
</file>