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86AC7" w14:textId="77777777" w:rsidR="00154D4E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</w:p>
    <w:p w14:paraId="04451470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>
        <w:rPr>
          <w:rFonts w:ascii="Segoe UI" w:eastAsia="Segoe UI" w:hAnsi="Segoe UI" w:cs="Segoe UI"/>
          <w:noProof/>
          <w:sz w:val="24"/>
          <w:szCs w:val="24"/>
          <w:lang w:val="en-US"/>
        </w:rPr>
        <w:lastRenderedPageBreak/>
        <w:drawing>
          <wp:inline distT="0" distB="0" distL="0" distR="0" wp14:anchorId="5222C630" wp14:editId="1B19FB74">
            <wp:extent cx="5760720" cy="8147050"/>
            <wp:effectExtent l="0" t="0" r="0" b="6350"/>
            <wp:docPr id="669051216" name="Obrázek 6" descr="Obsah obrázku text, diagra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051216" name="Obrázek 6" descr="Obsah obrázku text, diagram&#10;&#10;Obsah generovaný pomocí AI může být nesprávný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DAC61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Extended Data Fig. 1. Overview of cryo-EM data processing and resolution estimation for </w:t>
      </w:r>
      <w:r w:rsidRPr="00964ED6">
        <w:rPr>
          <w:rFonts w:ascii="Segoe UI" w:eastAsia="Segoe UI" w:hAnsi="Segoe UI" w:cs="Segoe UI"/>
          <w:b/>
          <w:bCs/>
          <w:i/>
          <w:iCs/>
          <w:sz w:val="24"/>
          <w:szCs w:val="24"/>
          <w:lang w:val="en-US"/>
        </w:rPr>
        <w:t>S. aureus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 70S lincosamide-sensitive ribosome in complex with CLC. 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Cryo-EM data processing workflow in Relion v.4.0 </w:t>
      </w:r>
      <w:sdt>
        <w:sdtPr>
          <w:rPr>
            <w:rFonts w:ascii="Segoe UI" w:hAnsi="Segoe UI" w:cs="Segoe UI"/>
            <w:color w:val="000000"/>
            <w:sz w:val="24"/>
            <w:lang w:val="en-US"/>
          </w:rPr>
          <w:tag w:val="MENDELEY_CITATION_v3_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"/>
          <w:id w:val="1675921931"/>
          <w:placeholder>
            <w:docPart w:val="4D06B7CE0F304623ACEDC0D65847C703"/>
          </w:placeholder>
        </w:sdtPr>
        <w:sdtContent>
          <w:r w:rsidRPr="007B2A1A">
            <w:rPr>
              <w:rFonts w:ascii="Segoe UI" w:hAnsi="Segoe UI" w:cs="Segoe UI"/>
              <w:color w:val="000000"/>
              <w:sz w:val="24"/>
              <w:lang w:val="en-US"/>
            </w:rPr>
            <w:t>(Kimanius et al., 2021)</w:t>
          </w:r>
        </w:sdtContent>
      </w:sdt>
      <w:r w:rsidRPr="00964ED6">
        <w:rPr>
          <w:rFonts w:ascii="Segoe UI" w:eastAsia="Segoe UI" w:hAnsi="Segoe UI" w:cs="Segoe UI"/>
          <w:sz w:val="24"/>
          <w:szCs w:val="24"/>
          <w:lang w:val="en-US"/>
        </w:rPr>
        <w:t>.</w:t>
      </w:r>
      <w:r>
        <w:rPr>
          <w:rFonts w:ascii="Segoe UI" w:eastAsia="Segoe UI" w:hAnsi="Segoe UI" w:cs="Segoe UI"/>
          <w:sz w:val="24"/>
          <w:szCs w:val="24"/>
          <w:lang w:val="en-US"/>
        </w:rPr>
        <w:t xml:space="preserve"> The mask used for P-tRNA-focused classification is shown in red.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>
        <w:rPr>
          <w:rFonts w:ascii="Segoe UI" w:eastAsia="Segoe UI" w:hAnsi="Segoe UI" w:cs="Segoe UI"/>
          <w:sz w:val="24"/>
          <w:szCs w:val="24"/>
          <w:lang w:val="en-US"/>
        </w:rPr>
        <w:t>) M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odel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to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map correlation curve.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Fourier Shell Correlation (FSC) curve of the fully refined particle. The overall resolution is estimated to be 2.98 Å using the gold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standard criterion (FSC = 0.143).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-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Cryo-EM density map used for model building, colored by local resolution estimation values generated in Phenix v.1.20.1-4487 </w:t>
      </w:r>
      <w:sdt>
        <w:sdtPr>
          <w:rPr>
            <w:rFonts w:ascii="Segoe UI" w:hAnsi="Segoe UI" w:cs="Segoe UI"/>
            <w:color w:val="000000"/>
            <w:sz w:val="24"/>
            <w:lang w:val="en-US"/>
          </w:rPr>
          <w:tag w:val="MENDELEY_CITATION_v3_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"/>
          <w:id w:val="-2016528115"/>
          <w:placeholder>
            <w:docPart w:val="F433256406EA49CEA3C09A7F2406627A"/>
          </w:placeholder>
        </w:sdtPr>
        <w:sdtContent>
          <w:r w:rsidRPr="007B2A1A">
            <w:rPr>
              <w:rFonts w:ascii="Segoe UI" w:hAnsi="Segoe UI" w:cs="Segoe UI"/>
              <w:color w:val="000000"/>
              <w:sz w:val="24"/>
              <w:lang w:val="en-US"/>
            </w:rPr>
            <w:t>(Liebschner et al., 2019)</w:t>
          </w:r>
        </w:sdtContent>
      </w:sdt>
      <w:r w:rsidRPr="00964ED6">
        <w:rPr>
          <w:rFonts w:ascii="Segoe UI" w:eastAsia="Segoe UI" w:hAnsi="Segoe UI" w:cs="Segoe UI"/>
          <w:sz w:val="24"/>
          <w:szCs w:val="24"/>
          <w:lang w:val="en-US"/>
        </w:rPr>
        <w:t>. L1-stalk side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and L7/L12-stalk side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views of the ribosome.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Cross-section of the ribosome seen from the L7/L12-stalk side.</w:t>
      </w:r>
    </w:p>
    <w:p w14:paraId="183AFF13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</w:p>
    <w:p w14:paraId="2A583CB8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>
        <w:rPr>
          <w:rFonts w:ascii="Segoe UI" w:eastAsia="Segoe UI" w:hAnsi="Segoe UI" w:cs="Segoe UI"/>
          <w:b/>
          <w:bCs/>
          <w:noProof/>
          <w:sz w:val="24"/>
          <w:szCs w:val="24"/>
          <w:lang w:val="en-US"/>
        </w:rPr>
        <w:drawing>
          <wp:inline distT="0" distB="0" distL="0" distR="0" wp14:anchorId="4ED046B7" wp14:editId="2735AF73">
            <wp:extent cx="5760720" cy="4191000"/>
            <wp:effectExtent l="0" t="0" r="0" b="0"/>
            <wp:docPr id="380410960" name="Obrázek 7" descr="Obsah obrázku kresba, map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410960" name="Obrázek 7" descr="Obsah obrázku kresba, mapa&#10;&#10;Obsah generovaný pomocí AI může být nesprávný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3" b="4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Extended Data Fig. 2. 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CLC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-ribosome complexes contain initiator fMet-tRNA in the P-site.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Isolated density (mesh) and molecular model of P-tRNA in lincosamide-sensitive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and lincosamide-resistant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ribosome complex. In both models, the tRNA density is compatible with a CAU anticodon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typical for tRNA</w:t>
      </w:r>
      <w:r w:rsidRPr="00964ED6">
        <w:rPr>
          <w:rFonts w:ascii="Segoe UI" w:eastAsia="Segoe UI" w:hAnsi="Segoe UI" w:cs="Segoe UI"/>
          <w:sz w:val="24"/>
          <w:szCs w:val="24"/>
          <w:vertAlign w:val="superscript"/>
          <w:lang w:val="en-US"/>
        </w:rPr>
        <w:t>fMet/Met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, and the three consecutive G-C pairs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that are conserved in the initiator tRNA</w:t>
      </w:r>
      <w:r w:rsidRPr="00964ED6">
        <w:rPr>
          <w:rFonts w:ascii="Segoe UI" w:eastAsia="Segoe UI" w:hAnsi="Segoe UI" w:cs="Segoe UI"/>
          <w:sz w:val="24"/>
          <w:szCs w:val="24"/>
          <w:vertAlign w:val="superscript"/>
          <w:lang w:val="en-US"/>
        </w:rPr>
        <w:t>fMet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and distinguish it from the elongator tRNA</w:t>
      </w:r>
      <w:r w:rsidRPr="00964ED6">
        <w:rPr>
          <w:rFonts w:ascii="Segoe UI" w:eastAsia="Segoe UI" w:hAnsi="Segoe UI" w:cs="Segoe UI"/>
          <w:sz w:val="24"/>
          <w:szCs w:val="24"/>
          <w:vertAlign w:val="superscript"/>
          <w:lang w:val="en-US"/>
        </w:rPr>
        <w:t>Met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.</w:t>
      </w:r>
    </w:p>
    <w:p w14:paraId="161E16E5" w14:textId="77777777" w:rsidR="00154D4E" w:rsidRPr="00964ED6" w:rsidRDefault="00154D4E" w:rsidP="00154D4E">
      <w:pPr>
        <w:spacing w:after="0" w:line="360" w:lineRule="auto"/>
        <w:jc w:val="both"/>
        <w:rPr>
          <w:rFonts w:ascii="Segoe UI" w:hAnsi="Segoe UI" w:cs="Segoe UI"/>
          <w:sz w:val="24"/>
          <w:szCs w:val="24"/>
          <w:lang w:val="en-US"/>
        </w:rPr>
      </w:pPr>
    </w:p>
    <w:p w14:paraId="1B60FD93" w14:textId="77777777" w:rsidR="00154D4E" w:rsidRPr="00964ED6" w:rsidRDefault="00154D4E" w:rsidP="00154D4E">
      <w:pPr>
        <w:spacing w:after="0" w:line="360" w:lineRule="auto"/>
        <w:jc w:val="both"/>
        <w:rPr>
          <w:rFonts w:ascii="Segoe UI" w:hAnsi="Segoe UI" w:cs="Segoe UI"/>
          <w:sz w:val="24"/>
          <w:szCs w:val="24"/>
          <w:lang w:val="en-US"/>
        </w:rPr>
      </w:pPr>
      <w:r>
        <w:rPr>
          <w:rFonts w:ascii="Segoe UI" w:hAnsi="Segoe UI" w:cs="Segoe UI"/>
          <w:noProof/>
          <w:sz w:val="24"/>
          <w:szCs w:val="24"/>
          <w:lang w:val="en-US"/>
        </w:rPr>
        <w:drawing>
          <wp:inline distT="0" distB="0" distL="0" distR="0" wp14:anchorId="5198A7DE" wp14:editId="686CC85D">
            <wp:extent cx="5760720" cy="2235200"/>
            <wp:effectExtent l="0" t="0" r="0" b="0"/>
            <wp:docPr id="1808158424" name="Obrázek 8" descr="Obsah obrázku tex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158424" name="Obrázek 8" descr="Obsah obrázku text&#10;&#10;Obsah generovaný pomocí AI může být nesprávný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7" b="71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3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CB496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Extended Data Fig. 3. Coulomb potential maps and models of CLC and representative 23S rRNA residues.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The less-well-resolved part of the CLC density map in both lincosamide-sensitive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and lincosamide-resistant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ribosome complexes indicates the internal flexibility of the salicylate moiety in the bound state. Two different map threshold levels are shown as surface or mesh representations, respectively. Representative cryo-EM densities of three residues in the CLC binding site are shown at the indicated threshold level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).</w:t>
      </w:r>
    </w:p>
    <w:p w14:paraId="7DD8C391" w14:textId="77777777" w:rsidR="004E780C" w:rsidRDefault="004E780C"/>
    <w:p w14:paraId="27DAFB1E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>
        <w:rPr>
          <w:rFonts w:ascii="Segoe UI" w:eastAsia="Segoe UI" w:hAnsi="Segoe UI" w:cs="Segoe UI"/>
          <w:noProof/>
          <w:sz w:val="24"/>
          <w:szCs w:val="24"/>
          <w:lang w:val="en-US"/>
        </w:rPr>
        <w:drawing>
          <wp:inline distT="0" distB="0" distL="0" distR="0" wp14:anchorId="4F4062FF" wp14:editId="7422A59B">
            <wp:extent cx="5760720" cy="8147050"/>
            <wp:effectExtent l="0" t="0" r="0" b="6350"/>
            <wp:docPr id="140413762" name="Obrázek 10" descr="Obsah obrázku tex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13762" name="Obrázek 10" descr="Obsah obrázku text&#10;&#10;Obsah generovaný pomocí AI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73CF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Extended Data Fig. 4. Overview of cryo-EM data processing and resolution estimation for </w:t>
      </w:r>
      <w:r w:rsidRPr="00964ED6">
        <w:rPr>
          <w:rFonts w:ascii="Segoe UI" w:eastAsia="Segoe UI" w:hAnsi="Segoe UI" w:cs="Segoe UI"/>
          <w:b/>
          <w:bCs/>
          <w:i/>
          <w:iCs/>
          <w:sz w:val="24"/>
          <w:szCs w:val="24"/>
          <w:lang w:val="en-US"/>
        </w:rPr>
        <w:t>S. aureus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 70S lincosamide-resistant ribosome in complex with CLC. 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Cryo-EM data processing workflow in Relion v.4.0 </w:t>
      </w:r>
      <w:sdt>
        <w:sdtPr>
          <w:rPr>
            <w:rFonts w:ascii="Segoe UI" w:hAnsi="Segoe UI" w:cs="Segoe UI"/>
            <w:color w:val="000000"/>
            <w:sz w:val="24"/>
            <w:lang w:val="en-US"/>
          </w:rPr>
          <w:tag w:val="MENDELEY_CITATION_v3_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"/>
          <w:id w:val="217259905"/>
          <w:placeholder>
            <w:docPart w:val="5B4922FB1090468FAD6DC6C68A6A70CD"/>
          </w:placeholder>
        </w:sdtPr>
        <w:sdtContent>
          <w:r w:rsidRPr="007B2A1A">
            <w:rPr>
              <w:rFonts w:ascii="Segoe UI" w:hAnsi="Segoe UI" w:cs="Segoe UI"/>
              <w:color w:val="000000"/>
              <w:sz w:val="24"/>
              <w:lang w:val="en-US"/>
            </w:rPr>
            <w:t>(Kimanius et al., 2021)</w:t>
          </w:r>
        </w:sdtContent>
      </w:sdt>
      <w:r w:rsidRPr="00964ED6">
        <w:rPr>
          <w:rFonts w:ascii="Segoe UI" w:eastAsia="Segoe UI" w:hAnsi="Segoe UI" w:cs="Segoe UI"/>
          <w:sz w:val="24"/>
          <w:szCs w:val="24"/>
          <w:lang w:val="en-US"/>
        </w:rPr>
        <w:t>.</w:t>
      </w:r>
      <w:r>
        <w:rPr>
          <w:rFonts w:ascii="Segoe UI" w:eastAsia="Segoe UI" w:hAnsi="Segoe UI" w:cs="Segoe UI"/>
          <w:sz w:val="24"/>
          <w:szCs w:val="24"/>
          <w:lang w:val="en-US"/>
        </w:rPr>
        <w:t xml:space="preserve"> The mask used for P-tRNA-focused classification is shown in red.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>
        <w:rPr>
          <w:rFonts w:ascii="Segoe UI" w:eastAsia="Segoe UI" w:hAnsi="Segoe UI" w:cs="Segoe UI"/>
          <w:sz w:val="24"/>
          <w:szCs w:val="24"/>
          <w:lang w:val="en-US"/>
        </w:rPr>
        <w:t>) No density (mesh) corresponding to CLC (cyan) was found in the intermediately rotated 70S ribosomes containing the E, P, and A-tRNAs.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</w:t>
      </w:r>
      <w:r>
        <w:rPr>
          <w:rFonts w:ascii="Segoe UI" w:eastAsia="Segoe UI" w:hAnsi="Segoe UI" w:cs="Segoe UI"/>
          <w:sz w:val="24"/>
          <w:szCs w:val="24"/>
          <w:lang w:val="en-US"/>
        </w:rPr>
        <w:t>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>
        <w:rPr>
          <w:rFonts w:ascii="Segoe UI" w:eastAsia="Segoe UI" w:hAnsi="Segoe UI" w:cs="Segoe UI"/>
          <w:sz w:val="24"/>
          <w:szCs w:val="24"/>
          <w:lang w:val="en-US"/>
        </w:rPr>
        <w:t>) M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odel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to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1A1B98">
        <w:rPr>
          <w:rFonts w:ascii="Segoe UI" w:eastAsia="Segoe UI" w:hAnsi="Segoe UI" w:cs="Segoe UI"/>
          <w:sz w:val="24"/>
          <w:szCs w:val="24"/>
          <w:lang w:val="en-US"/>
        </w:rPr>
        <w:t>map correlation curve.</w:t>
      </w:r>
      <w:r>
        <w:rPr>
          <w:rFonts w:ascii="Segoe UI" w:eastAsia="Segoe UI" w:hAnsi="Segoe UI" w:cs="Segoe UI"/>
          <w:sz w:val="24"/>
          <w:szCs w:val="24"/>
          <w:lang w:val="en-US"/>
        </w:rPr>
        <w:t xml:space="preserve"> 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Fourier Shell Correlation (FSC) curve of the fully refined particle. The overall resolution is estimated to be 3.01 Å using the gold</w:t>
      </w:r>
      <w:r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standard criterion (FSC = 0.143).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-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G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Cryo-EM density map used for model building, colored by local resolution estimation values generated in Phenix v.1.20.1-4487 </w:t>
      </w:r>
      <w:sdt>
        <w:sdtPr>
          <w:rPr>
            <w:rFonts w:ascii="Segoe UI" w:hAnsi="Segoe UI" w:cs="Segoe UI"/>
            <w:color w:val="000000"/>
            <w:sz w:val="24"/>
            <w:lang w:val="en-US"/>
          </w:rPr>
          <w:tag w:val="MENDELEY_CITATION_v3_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"/>
          <w:id w:val="-1249805222"/>
          <w:placeholder>
            <w:docPart w:val="CEFF6396DFAE46C184E0F3B1DCAF57CF"/>
          </w:placeholder>
        </w:sdtPr>
        <w:sdtContent>
          <w:r w:rsidRPr="007B2A1A">
            <w:rPr>
              <w:rFonts w:ascii="Segoe UI" w:hAnsi="Segoe UI" w:cs="Segoe UI"/>
              <w:color w:val="000000"/>
              <w:sz w:val="24"/>
              <w:lang w:val="en-US"/>
            </w:rPr>
            <w:t>(Liebschner et al., 2019)</w:t>
          </w:r>
        </w:sdtContent>
      </w:sdt>
      <w:r w:rsidRPr="00964ED6">
        <w:rPr>
          <w:rFonts w:ascii="Segoe UI" w:eastAsia="Segoe UI" w:hAnsi="Segoe UI" w:cs="Segoe UI"/>
          <w:sz w:val="24"/>
          <w:szCs w:val="24"/>
          <w:lang w:val="en-US"/>
        </w:rPr>
        <w:t>. L1-stalk side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and L7/L12-stalk side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 views of the ribosome. (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G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Cross-section of the ribosome seen from the L7/L12-stalk side. </w:t>
      </w:r>
    </w:p>
    <w:p w14:paraId="3BC791BC" w14:textId="77777777" w:rsidR="00154D4E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</w:p>
    <w:p w14:paraId="722EA259" w14:textId="77777777" w:rsidR="00154D4E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b/>
          <w:bCs/>
          <w:sz w:val="24"/>
          <w:szCs w:val="24"/>
          <w:lang w:val="en-US"/>
        </w:rPr>
      </w:pPr>
      <w:r>
        <w:rPr>
          <w:rFonts w:ascii="Segoe UI" w:eastAsia="Segoe UI" w:hAnsi="Segoe UI" w:cs="Segoe UI"/>
          <w:b/>
          <w:bCs/>
          <w:noProof/>
          <w:sz w:val="24"/>
          <w:szCs w:val="24"/>
          <w:lang w:val="en-US"/>
        </w:rPr>
        <w:drawing>
          <wp:inline distT="0" distB="0" distL="0" distR="0" wp14:anchorId="70381B66" wp14:editId="33800E11">
            <wp:extent cx="5760720" cy="5435600"/>
            <wp:effectExtent l="0" t="0" r="0" b="0"/>
            <wp:docPr id="1854555387" name="Obrázek 11" descr="Obsah obrázku text, kresba, diagram, kruh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555387" name="Obrázek 11" descr="Obsah obrázku text, kresba, diagram, kruh&#10;&#10;Obsah generovaný pomocí AI může být nesprávný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3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17345C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Extended Data F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ig. 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5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. Experimental cryo-EM density map suggests high-level flexibility of the salicylate moiety of 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CLC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. 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The electron density maps, displayed at a very low map threshold level in ChimeraX, show multiple densities potentially corresponding to the salicylate moiety of </w:t>
      </w:r>
      <w:r>
        <w:rPr>
          <w:rFonts w:ascii="Segoe UI" w:eastAsia="Segoe UI" w:hAnsi="Segoe UI" w:cs="Segoe UI"/>
          <w:sz w:val="24"/>
          <w:szCs w:val="24"/>
          <w:lang w:val="en-US"/>
        </w:rPr>
        <w:t>CLC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at alternative positions in both models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). Alternative weak electron densities are labeled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I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–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IV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in the lincosamide-sensitive ribosome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 and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I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–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V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in the lincosamide-resistant ribosome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-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), with the Roman numerals in both models indicating electron density clouds occupying equivalent spatial positions. Electron density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V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is present merely in the lincosamide-resistant ribosome. Three different viewing positions are shown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/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D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/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E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/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F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). </w:t>
      </w:r>
    </w:p>
    <w:p w14:paraId="6EDEC16B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</w:p>
    <w:p w14:paraId="72AF2608" w14:textId="77777777" w:rsidR="00154D4E" w:rsidRPr="00964ED6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>
        <w:rPr>
          <w:rFonts w:ascii="Segoe UI" w:eastAsia="Segoe UI" w:hAnsi="Segoe UI" w:cs="Segoe UI"/>
          <w:noProof/>
          <w:sz w:val="24"/>
          <w:szCs w:val="24"/>
          <w:lang w:val="en-US"/>
        </w:rPr>
        <w:drawing>
          <wp:inline distT="0" distB="0" distL="0" distR="0" wp14:anchorId="408393BA" wp14:editId="12C72894">
            <wp:extent cx="5760720" cy="7543800"/>
            <wp:effectExtent l="0" t="0" r="0" b="0"/>
            <wp:docPr id="1998638023" name="Obrázek 2" descr="Obsah obrázku text, snímek obrazovky, diagram, Paralel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638023" name="Obrázek 2" descr="Obsah obrázku text, snímek obrazovky, diagram, Paralelní&#10;&#10;Obsah generovaný pomocí AI může být nesprávný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3" b="5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4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308C0" w14:textId="77777777" w:rsidR="00154D4E" w:rsidRDefault="00154D4E" w:rsidP="00154D4E">
      <w:pPr>
        <w:spacing w:after="0" w:line="360" w:lineRule="auto"/>
        <w:jc w:val="both"/>
        <w:rPr>
          <w:rFonts w:ascii="Segoe UI" w:eastAsia="Segoe UI" w:hAnsi="Segoe UI" w:cs="Segoe UI"/>
          <w:sz w:val="24"/>
          <w:szCs w:val="24"/>
          <w:lang w:val="en-US"/>
        </w:rPr>
      </w:pP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 xml:space="preserve">Extended Data Fig. </w:t>
      </w:r>
      <w:r>
        <w:rPr>
          <w:rFonts w:ascii="Segoe UI" w:eastAsia="Segoe UI" w:hAnsi="Segoe UI" w:cs="Segoe UI"/>
          <w:b/>
          <w:bCs/>
          <w:sz w:val="24"/>
          <w:szCs w:val="24"/>
          <w:lang w:val="en-US"/>
        </w:rPr>
        <w:t>6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. Validation of lincosamide-resistant ribosomes for cryo-EM analysis.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A fully inhibitory concentration of CLC (750 µM) was used to prepare the antibiotic-ribosome complex for cryo-EM analysis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A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). The presence of the resistance A2058 modification was confirmed by toeprinting and primer extension inhibition (PEI) assay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, 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). The decreased activity of clindamycin against A2058-dimethylated ribosomes (full inhibition by more than 5 µM) compared to lincosamide-sensitive ribosomes (full inhibition by 0.5 µM) was confirmed by the toeprinting assay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B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). The same batch of ribosomes was used for cryo-EM sample preparation. The level of methylation conferred by the constitutively expressed ErmB methyltransferase was analysed by PEI assay performed on total RNA isolated from the respective strain (</w:t>
      </w:r>
      <w:r w:rsidRPr="00964ED6">
        <w:rPr>
          <w:rFonts w:ascii="Segoe UI" w:eastAsia="Segoe UI" w:hAnsi="Segoe UI" w:cs="Segoe UI"/>
          <w:b/>
          <w:bCs/>
          <w:sz w:val="24"/>
          <w:szCs w:val="24"/>
          <w:lang w:val="en-US"/>
        </w:rPr>
        <w:t>C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). Overview of the PEI assay: fluorescently labeled primer complementary to the region 2038-2055 of staphylococcal 23S rRNA (</w:t>
      </w:r>
      <w:r w:rsidRPr="00964ED6">
        <w:rPr>
          <w:rFonts w:ascii="Segoe UI" w:eastAsia="Segoe UI" w:hAnsi="Segoe UI" w:cs="Segoe UI"/>
          <w:i/>
          <w:iCs/>
          <w:sz w:val="24"/>
          <w:szCs w:val="24"/>
          <w:lang w:val="en-US"/>
        </w:rPr>
        <w:t>E. coli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numbering) is extended during the reverse transcription until it is disrupted due to the presence of methylation (red arrow) or until ddCTP is incorporated (blue arrow), respectively. Total RNA samples from </w:t>
      </w:r>
      <w:r w:rsidRPr="00964ED6">
        <w:rPr>
          <w:rFonts w:ascii="Segoe UI" w:eastAsia="Segoe UI" w:hAnsi="Segoe UI" w:cs="Segoe UI"/>
          <w:i/>
          <w:iCs/>
          <w:sz w:val="24"/>
          <w:szCs w:val="24"/>
          <w:lang w:val="en-US"/>
        </w:rPr>
        <w:t>Staphylococcus aureus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strains JE2, NE1858 (JE2 constitutively expressing </w:t>
      </w:r>
      <w:r w:rsidRPr="00964ED6">
        <w:rPr>
          <w:rFonts w:ascii="Segoe UI" w:eastAsia="Segoe UI" w:hAnsi="Segoe UI" w:cs="Segoe UI"/>
          <w:i/>
          <w:iCs/>
          <w:sz w:val="24"/>
          <w:szCs w:val="24"/>
          <w:lang w:val="en-US"/>
        </w:rPr>
        <w:t>erm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>B), and NE1858 cultivated in the presence of erythromycin (</w:t>
      </w:r>
      <w:r>
        <w:rPr>
          <w:rFonts w:ascii="Segoe UI" w:eastAsia="Segoe UI" w:hAnsi="Segoe UI" w:cs="Segoe UI"/>
          <w:sz w:val="24"/>
          <w:szCs w:val="24"/>
          <w:lang w:val="en-US"/>
        </w:rPr>
        <w:t xml:space="preserve">ERY; 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50 μg/ml) were tested. The illustrative gel </w:t>
      </w:r>
      <w:r>
        <w:rPr>
          <w:rFonts w:ascii="Segoe UI" w:eastAsia="Segoe UI" w:hAnsi="Segoe UI" w:cs="Segoe UI"/>
          <w:sz w:val="24"/>
          <w:szCs w:val="24"/>
          <w:lang w:val="en-US"/>
        </w:rPr>
        <w:t>from three fully independent experiments, along with the quantification graph (normalized to the total loading), is</w:t>
      </w:r>
      <w:r w:rsidRPr="00964ED6">
        <w:rPr>
          <w:rFonts w:ascii="Segoe UI" w:eastAsia="Segoe UI" w:hAnsi="Segoe UI" w:cs="Segoe UI"/>
          <w:sz w:val="24"/>
          <w:szCs w:val="24"/>
          <w:lang w:val="en-US"/>
        </w:rPr>
        <w:t xml:space="preserve"> shown. Fluorescently labeled oligonucleotides were used as markers.</w:t>
      </w:r>
    </w:p>
    <w:p w14:paraId="2D1B5471" w14:textId="77777777" w:rsidR="00154D4E" w:rsidRDefault="00154D4E"/>
    <w:sectPr w:rsidR="00154D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D4E"/>
    <w:rsid w:val="0013174A"/>
    <w:rsid w:val="00154D4E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6D07"/>
  <w15:chartTrackingRefBased/>
  <w15:docId w15:val="{517DDE83-B5C2-4DF7-9926-8D584734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D4E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4D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D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D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D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D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D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D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D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D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D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54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D4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54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D4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54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D4E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54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D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glossaryDocument" Target="glossary/document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D06B7CE0F304623ACEDC0D65847C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39A56A-66EA-404B-B232-8BA81688E118}"/>
      </w:docPartPr>
      <w:docPartBody>
        <w:p w:rsidR="00000000" w:rsidRDefault="00C30C5E" w:rsidP="00C30C5E">
          <w:pPr>
            <w:pStyle w:val="4D06B7CE0F304623ACEDC0D65847C703"/>
          </w:pPr>
          <w:r w:rsidRPr="00F92C1D">
            <w:rPr>
              <w:rStyle w:val="PlaceholderText"/>
            </w:rPr>
            <w:t>Klikněte nebo klepněte sem a zadejte text.</w:t>
          </w:r>
        </w:p>
      </w:docPartBody>
    </w:docPart>
    <w:docPart>
      <w:docPartPr>
        <w:name w:val="F433256406EA49CEA3C09A7F24066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C017F-DA54-4086-9438-962BF0E80B45}"/>
      </w:docPartPr>
      <w:docPartBody>
        <w:p w:rsidR="00000000" w:rsidRDefault="00C30C5E" w:rsidP="00C30C5E">
          <w:pPr>
            <w:pStyle w:val="F433256406EA49CEA3C09A7F2406627A"/>
          </w:pPr>
          <w:r w:rsidRPr="00F92C1D">
            <w:rPr>
              <w:rStyle w:val="PlaceholderText"/>
            </w:rPr>
            <w:t>Klikněte nebo klepněte sem a zadejte text.</w:t>
          </w:r>
        </w:p>
      </w:docPartBody>
    </w:docPart>
    <w:docPart>
      <w:docPartPr>
        <w:name w:val="5B4922FB1090468FAD6DC6C68A6A7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33013C-B614-4936-B728-E7C95472E068}"/>
      </w:docPartPr>
      <w:docPartBody>
        <w:p w:rsidR="00000000" w:rsidRDefault="00C30C5E" w:rsidP="00C30C5E">
          <w:pPr>
            <w:pStyle w:val="5B4922FB1090468FAD6DC6C68A6A70CD"/>
          </w:pPr>
          <w:r w:rsidRPr="00F92C1D">
            <w:rPr>
              <w:rStyle w:val="PlaceholderText"/>
            </w:rPr>
            <w:t>Klikněte nebo klepněte sem a zadejte text.</w:t>
          </w:r>
        </w:p>
      </w:docPartBody>
    </w:docPart>
    <w:docPart>
      <w:docPartPr>
        <w:name w:val="CEFF6396DFAE46C184E0F3B1DCAF57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637996-E74D-46C5-BB0E-1135B5A39F25}"/>
      </w:docPartPr>
      <w:docPartBody>
        <w:p w:rsidR="00000000" w:rsidRDefault="00C30C5E" w:rsidP="00C30C5E">
          <w:pPr>
            <w:pStyle w:val="CEFF6396DFAE46C184E0F3B1DCAF57CF"/>
          </w:pPr>
          <w:r w:rsidRPr="00F92C1D">
            <w:rPr>
              <w:rStyle w:val="Placeholder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C5E"/>
    <w:rsid w:val="0013174A"/>
    <w:rsid w:val="002F0999"/>
    <w:rsid w:val="00C3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0C5E"/>
    <w:rPr>
      <w:color w:val="666666"/>
    </w:rPr>
  </w:style>
  <w:style w:type="paragraph" w:customStyle="1" w:styleId="4D06B7CE0F304623ACEDC0D65847C703">
    <w:name w:val="4D06B7CE0F304623ACEDC0D65847C703"/>
    <w:rsid w:val="00C30C5E"/>
  </w:style>
  <w:style w:type="paragraph" w:customStyle="1" w:styleId="F433256406EA49CEA3C09A7F2406627A">
    <w:name w:val="F433256406EA49CEA3C09A7F2406627A"/>
    <w:rsid w:val="00C30C5E"/>
  </w:style>
  <w:style w:type="paragraph" w:customStyle="1" w:styleId="5B4922FB1090468FAD6DC6C68A6A70CD">
    <w:name w:val="5B4922FB1090468FAD6DC6C68A6A70CD"/>
    <w:rsid w:val="00C30C5E"/>
  </w:style>
  <w:style w:type="paragraph" w:customStyle="1" w:styleId="CEFF6396DFAE46C184E0F3B1DCAF57CF">
    <w:name w:val="CEFF6396DFAE46C184E0F3B1DCAF57CF"/>
    <w:rsid w:val="00C30C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742</Words>
  <Characters>4276</Characters>
  <Application>Microsoft Office Word</Application>
  <DocSecurity>0</DocSecurity>
  <Lines>85</Lines>
  <Paragraphs>9</Paragraphs>
  <ScaleCrop>false</ScaleCrop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2026-02-25T10:35:00Z</dcterms:created>
  <dcterms:modified xsi:type="dcterms:W3CDTF">2026-02-25T10:36:00Z</dcterms:modified>
</cp:coreProperties>
</file>