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EB9A9" w14:textId="173DB54D" w:rsidR="00702F65" w:rsidRPr="006C2950" w:rsidRDefault="00834CD7">
      <w:pPr>
        <w:rPr>
          <w:rFonts w:ascii="Calibri" w:eastAsia="Calibri" w:hAnsi="Calibri" w:cs="Calibri"/>
          <w:bCs/>
        </w:rPr>
      </w:pPr>
      <w:r>
        <w:rPr>
          <w:rFonts w:ascii="Calibri" w:eastAsia="Calibri" w:hAnsi="Calibri" w:cs="Calibri"/>
          <w:b/>
          <w:color w:val="000000"/>
        </w:rPr>
        <w:t>SPIRIT 2025 checklist of items to address in a randomized trial protocol</w:t>
      </w:r>
      <w:r w:rsidR="006C2950" w:rsidRPr="00DB2CA8">
        <w:rPr>
          <w:rFonts w:ascii="Calibri" w:eastAsia="Calibri" w:hAnsi="Calibri" w:cs="Calibri"/>
          <w:bCs/>
          <w:color w:val="000000"/>
        </w:rPr>
        <w:t>*</w:t>
      </w:r>
    </w:p>
    <w:tbl>
      <w:tblPr>
        <w:tblStyle w:val="a0"/>
        <w:tblW w:w="12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567"/>
        <w:gridCol w:w="8723"/>
        <w:gridCol w:w="1260"/>
      </w:tblGrid>
      <w:tr w:rsidR="009F67E7" w14:paraId="14F2E775" w14:textId="0C205F3F" w:rsidTr="00E94F88">
        <w:trPr>
          <w:trHeight w:val="276"/>
        </w:trPr>
        <w:tc>
          <w:tcPr>
            <w:tcW w:w="2405" w:type="dxa"/>
            <w:shd w:val="clear" w:color="auto" w:fill="BFBFBF"/>
            <w:vAlign w:val="center"/>
          </w:tcPr>
          <w:p w14:paraId="7A04EC6C"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Section / Topic</w:t>
            </w:r>
          </w:p>
        </w:tc>
        <w:tc>
          <w:tcPr>
            <w:tcW w:w="567" w:type="dxa"/>
            <w:shd w:val="clear" w:color="auto" w:fill="BFBFBF"/>
            <w:vAlign w:val="center"/>
          </w:tcPr>
          <w:p w14:paraId="29EED868"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No</w:t>
            </w:r>
          </w:p>
        </w:tc>
        <w:tc>
          <w:tcPr>
            <w:tcW w:w="8723" w:type="dxa"/>
            <w:shd w:val="clear" w:color="auto" w:fill="BFBFBF"/>
            <w:vAlign w:val="center"/>
          </w:tcPr>
          <w:p w14:paraId="4AF0DA48" w14:textId="3C96A954" w:rsidR="009F67E7" w:rsidRDefault="009F67E7" w:rsidP="009F67E7">
            <w:pPr>
              <w:rPr>
                <w:rFonts w:ascii="Calibri" w:eastAsia="Calibri" w:hAnsi="Calibri" w:cs="Calibri"/>
                <w:b/>
                <w:sz w:val="20"/>
                <w:szCs w:val="20"/>
              </w:rPr>
            </w:pPr>
            <w:r>
              <w:rPr>
                <w:rFonts w:ascii="Calibri" w:eastAsia="Calibri" w:hAnsi="Calibri" w:cs="Calibri"/>
                <w:b/>
                <w:sz w:val="20"/>
                <w:szCs w:val="20"/>
              </w:rPr>
              <w:t>SPIRIT 2025 checklist item description</w:t>
            </w:r>
          </w:p>
        </w:tc>
        <w:tc>
          <w:tcPr>
            <w:tcW w:w="1260" w:type="dxa"/>
            <w:shd w:val="clear" w:color="auto" w:fill="BFBFBF"/>
            <w:vAlign w:val="center"/>
          </w:tcPr>
          <w:p w14:paraId="50F2A890" w14:textId="45E148B9" w:rsidR="009F67E7" w:rsidRDefault="009F67E7" w:rsidP="009F67E7">
            <w:pPr>
              <w:rPr>
                <w:rFonts w:ascii="Calibri" w:eastAsia="Calibri" w:hAnsi="Calibri" w:cs="Calibri"/>
                <w:b/>
                <w:sz w:val="20"/>
                <w:szCs w:val="20"/>
              </w:rPr>
            </w:pPr>
            <w:r w:rsidRPr="009F67E7">
              <w:rPr>
                <w:rFonts w:ascii="Calibri" w:eastAsia="Calibri" w:hAnsi="Calibri" w:cs="Calibri"/>
                <w:b/>
                <w:sz w:val="20"/>
                <w:szCs w:val="20"/>
              </w:rPr>
              <w:t>Reported on page no.</w:t>
            </w:r>
          </w:p>
        </w:tc>
      </w:tr>
      <w:tr w:rsidR="009F67E7" w14:paraId="12D3359E" w14:textId="08396A64" w:rsidTr="00E94F88">
        <w:trPr>
          <w:trHeight w:val="268"/>
        </w:trPr>
        <w:tc>
          <w:tcPr>
            <w:tcW w:w="11695" w:type="dxa"/>
            <w:gridSpan w:val="3"/>
            <w:shd w:val="clear" w:color="auto" w:fill="B4C6E7"/>
          </w:tcPr>
          <w:p w14:paraId="45A62B2D"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Administrative information</w:t>
            </w:r>
          </w:p>
        </w:tc>
        <w:tc>
          <w:tcPr>
            <w:tcW w:w="1260" w:type="dxa"/>
            <w:shd w:val="clear" w:color="auto" w:fill="B4C6E7"/>
          </w:tcPr>
          <w:p w14:paraId="1DB33C25" w14:textId="77777777" w:rsidR="009F67E7" w:rsidRDefault="009F67E7" w:rsidP="009F67E7">
            <w:pPr>
              <w:rPr>
                <w:rFonts w:ascii="Calibri" w:eastAsia="Calibri" w:hAnsi="Calibri" w:cs="Calibri"/>
                <w:b/>
                <w:sz w:val="20"/>
                <w:szCs w:val="20"/>
              </w:rPr>
            </w:pPr>
          </w:p>
        </w:tc>
      </w:tr>
      <w:tr w:rsidR="009F67E7" w14:paraId="6CC70222" w14:textId="00172BAA" w:rsidTr="00E94F88">
        <w:trPr>
          <w:trHeight w:val="276"/>
        </w:trPr>
        <w:tc>
          <w:tcPr>
            <w:tcW w:w="2405" w:type="dxa"/>
            <w:vMerge w:val="restart"/>
          </w:tcPr>
          <w:p w14:paraId="4BBCA0D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Title and structured summary</w:t>
            </w:r>
          </w:p>
        </w:tc>
        <w:tc>
          <w:tcPr>
            <w:tcW w:w="567" w:type="dxa"/>
          </w:tcPr>
          <w:p w14:paraId="1E72A1D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1a</w:t>
            </w:r>
          </w:p>
        </w:tc>
        <w:tc>
          <w:tcPr>
            <w:tcW w:w="8723" w:type="dxa"/>
          </w:tcPr>
          <w:p w14:paraId="2EB83B48" w14:textId="7AEADA72" w:rsidR="009F67E7" w:rsidRDefault="009F67E7" w:rsidP="009F67E7">
            <w:pPr>
              <w:rPr>
                <w:rFonts w:ascii="Calibri" w:eastAsia="Calibri" w:hAnsi="Calibri" w:cs="Calibri"/>
                <w:sz w:val="20"/>
                <w:szCs w:val="20"/>
              </w:rPr>
            </w:pPr>
            <w:r>
              <w:rPr>
                <w:rFonts w:ascii="Calibri" w:eastAsia="Calibri" w:hAnsi="Calibri" w:cs="Calibri"/>
                <w:sz w:val="20"/>
                <w:szCs w:val="20"/>
              </w:rPr>
              <w:t>Title stating the trial design, population, and interventions, with identification as a protocol</w:t>
            </w:r>
          </w:p>
        </w:tc>
        <w:tc>
          <w:tcPr>
            <w:tcW w:w="1260" w:type="dxa"/>
          </w:tcPr>
          <w:p w14:paraId="13F2D288" w14:textId="25F077FE" w:rsidR="009F67E7" w:rsidRDefault="000D46EB" w:rsidP="009F67E7">
            <w:pPr>
              <w:rPr>
                <w:rFonts w:ascii="Calibri" w:eastAsia="Calibri" w:hAnsi="Calibri" w:cs="Calibri"/>
                <w:sz w:val="20"/>
                <w:szCs w:val="20"/>
              </w:rPr>
            </w:pPr>
            <w:r>
              <w:rPr>
                <w:rFonts w:ascii="Calibri" w:eastAsia="Calibri" w:hAnsi="Calibri" w:cs="Calibri"/>
                <w:sz w:val="20"/>
                <w:szCs w:val="20"/>
              </w:rPr>
              <w:t>1</w:t>
            </w:r>
          </w:p>
        </w:tc>
      </w:tr>
      <w:tr w:rsidR="009F67E7" w14:paraId="69C889BF" w14:textId="6583609B" w:rsidTr="00E94F88">
        <w:trPr>
          <w:trHeight w:val="262"/>
        </w:trPr>
        <w:tc>
          <w:tcPr>
            <w:tcW w:w="2405" w:type="dxa"/>
            <w:vMerge/>
          </w:tcPr>
          <w:p w14:paraId="29A9CF6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vAlign w:val="center"/>
          </w:tcPr>
          <w:p w14:paraId="7286A8C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1b</w:t>
            </w:r>
          </w:p>
        </w:tc>
        <w:tc>
          <w:tcPr>
            <w:tcW w:w="8723" w:type="dxa"/>
            <w:vAlign w:val="center"/>
          </w:tcPr>
          <w:p w14:paraId="330534D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Structured summary of trial design and methods, including items from the World Health Organization Trial Registration Data Set</w:t>
            </w:r>
          </w:p>
        </w:tc>
        <w:tc>
          <w:tcPr>
            <w:tcW w:w="1260" w:type="dxa"/>
          </w:tcPr>
          <w:p w14:paraId="7C1E0074" w14:textId="4819C499" w:rsidR="009F67E7" w:rsidRDefault="000D46EB" w:rsidP="009F67E7">
            <w:pPr>
              <w:rPr>
                <w:rFonts w:ascii="Calibri" w:eastAsia="Calibri" w:hAnsi="Calibri" w:cs="Calibri"/>
                <w:sz w:val="20"/>
                <w:szCs w:val="20"/>
              </w:rPr>
            </w:pPr>
            <w:r>
              <w:rPr>
                <w:rFonts w:ascii="Calibri" w:eastAsia="Calibri" w:hAnsi="Calibri" w:cs="Calibri"/>
                <w:sz w:val="20"/>
                <w:szCs w:val="20"/>
              </w:rPr>
              <w:t>1,3,4</w:t>
            </w:r>
          </w:p>
        </w:tc>
      </w:tr>
      <w:tr w:rsidR="009F67E7" w14:paraId="5C5AA670" w14:textId="26044A38" w:rsidTr="00E94F88">
        <w:trPr>
          <w:trHeight w:val="280"/>
        </w:trPr>
        <w:tc>
          <w:tcPr>
            <w:tcW w:w="2405" w:type="dxa"/>
          </w:tcPr>
          <w:p w14:paraId="4D59515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version</w:t>
            </w:r>
          </w:p>
        </w:tc>
        <w:tc>
          <w:tcPr>
            <w:tcW w:w="567" w:type="dxa"/>
          </w:tcPr>
          <w:p w14:paraId="769207C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w:t>
            </w:r>
          </w:p>
        </w:tc>
        <w:tc>
          <w:tcPr>
            <w:tcW w:w="8723" w:type="dxa"/>
          </w:tcPr>
          <w:p w14:paraId="5B40B488" w14:textId="78536109"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Version </w:t>
            </w:r>
            <w:r>
              <w:rPr>
                <w:rFonts w:ascii="Calibri" w:eastAsia="Calibri" w:hAnsi="Calibri" w:cs="Calibri"/>
                <w:color w:val="000000"/>
                <w:sz w:val="20"/>
                <w:szCs w:val="20"/>
              </w:rPr>
              <w:t>date and identifier</w:t>
            </w:r>
          </w:p>
        </w:tc>
        <w:tc>
          <w:tcPr>
            <w:tcW w:w="1260" w:type="dxa"/>
          </w:tcPr>
          <w:p w14:paraId="0DA0055D" w14:textId="26EF70BF" w:rsidR="009F67E7" w:rsidRDefault="000D46EB" w:rsidP="009F67E7">
            <w:pPr>
              <w:rPr>
                <w:rFonts w:ascii="Calibri" w:eastAsia="Calibri" w:hAnsi="Calibri" w:cs="Calibri"/>
                <w:sz w:val="20"/>
                <w:szCs w:val="20"/>
              </w:rPr>
            </w:pPr>
            <w:r>
              <w:rPr>
                <w:rFonts w:ascii="Calibri" w:eastAsia="Calibri" w:hAnsi="Calibri" w:cs="Calibri"/>
                <w:sz w:val="20"/>
                <w:szCs w:val="20"/>
              </w:rPr>
              <w:t xml:space="preserve">Version 1.0 &amp; </w:t>
            </w:r>
            <w:r w:rsidRPr="000D46EB">
              <w:rPr>
                <w:rFonts w:ascii="Calibri" w:eastAsia="Calibri" w:hAnsi="Calibri" w:cs="Calibri"/>
                <w:sz w:val="20"/>
                <w:szCs w:val="20"/>
              </w:rPr>
              <w:t>AIIMS-EBB-TXA-001</w:t>
            </w:r>
          </w:p>
        </w:tc>
      </w:tr>
      <w:tr w:rsidR="009F67E7" w14:paraId="4C5EBD59" w14:textId="4EFA6B0B" w:rsidTr="000D46EB">
        <w:trPr>
          <w:trHeight w:val="128"/>
        </w:trPr>
        <w:tc>
          <w:tcPr>
            <w:tcW w:w="2405" w:type="dxa"/>
            <w:vMerge w:val="restart"/>
            <w:tcBorders>
              <w:top w:val="single" w:sz="4" w:space="0" w:color="000000"/>
              <w:left w:val="single" w:sz="4" w:space="0" w:color="000000"/>
              <w:right w:val="single" w:sz="4" w:space="0" w:color="000000"/>
            </w:tcBorders>
          </w:tcPr>
          <w:p w14:paraId="1CAFF92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Roles and responsibilities</w:t>
            </w:r>
          </w:p>
          <w:p w14:paraId="25F5CDD8" w14:textId="77777777" w:rsidR="009F67E7" w:rsidRDefault="009F67E7" w:rsidP="009F67E7">
            <w:pPr>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1E6A34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3a</w:t>
            </w:r>
          </w:p>
        </w:tc>
        <w:tc>
          <w:tcPr>
            <w:tcW w:w="8723" w:type="dxa"/>
            <w:tcBorders>
              <w:top w:val="single" w:sz="4" w:space="0" w:color="000000"/>
              <w:left w:val="single" w:sz="4" w:space="0" w:color="000000"/>
              <w:right w:val="single" w:sz="4" w:space="0" w:color="000000"/>
            </w:tcBorders>
          </w:tcPr>
          <w:p w14:paraId="68136D8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Names, affiliations, and roles of protocol contributors</w:t>
            </w:r>
          </w:p>
        </w:tc>
        <w:tc>
          <w:tcPr>
            <w:tcW w:w="1260" w:type="dxa"/>
            <w:tcBorders>
              <w:top w:val="single" w:sz="4" w:space="0" w:color="000000"/>
              <w:left w:val="single" w:sz="4" w:space="0" w:color="000000"/>
              <w:right w:val="single" w:sz="4" w:space="0" w:color="000000"/>
            </w:tcBorders>
          </w:tcPr>
          <w:p w14:paraId="77E96FEA" w14:textId="46243208" w:rsidR="009F67E7" w:rsidRDefault="000D46EB" w:rsidP="009F67E7">
            <w:pPr>
              <w:rPr>
                <w:rFonts w:ascii="Calibri" w:eastAsia="Calibri" w:hAnsi="Calibri" w:cs="Calibri"/>
                <w:sz w:val="20"/>
                <w:szCs w:val="20"/>
              </w:rPr>
            </w:pPr>
            <w:r>
              <w:rPr>
                <w:rFonts w:ascii="Calibri" w:eastAsia="Calibri" w:hAnsi="Calibri" w:cs="Calibri"/>
                <w:sz w:val="20"/>
                <w:szCs w:val="20"/>
              </w:rPr>
              <w:t>3, 4</w:t>
            </w:r>
          </w:p>
        </w:tc>
      </w:tr>
      <w:tr w:rsidR="009F67E7" w14:paraId="554D2C13" w14:textId="51776BED" w:rsidTr="00E94F88">
        <w:trPr>
          <w:trHeight w:val="122"/>
        </w:trPr>
        <w:tc>
          <w:tcPr>
            <w:tcW w:w="2405" w:type="dxa"/>
            <w:vMerge/>
            <w:tcBorders>
              <w:top w:val="single" w:sz="4" w:space="0" w:color="000000"/>
              <w:left w:val="single" w:sz="4" w:space="0" w:color="000000"/>
              <w:right w:val="single" w:sz="4" w:space="0" w:color="000000"/>
            </w:tcBorders>
          </w:tcPr>
          <w:p w14:paraId="6992D43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0E4873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3b</w:t>
            </w:r>
          </w:p>
        </w:tc>
        <w:tc>
          <w:tcPr>
            <w:tcW w:w="8723" w:type="dxa"/>
            <w:tcBorders>
              <w:left w:val="single" w:sz="4" w:space="0" w:color="000000"/>
              <w:right w:val="single" w:sz="4" w:space="0" w:color="000000"/>
            </w:tcBorders>
          </w:tcPr>
          <w:p w14:paraId="1A233FA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 and contact information for the trial sponsor</w:t>
            </w:r>
          </w:p>
        </w:tc>
        <w:tc>
          <w:tcPr>
            <w:tcW w:w="1260" w:type="dxa"/>
            <w:tcBorders>
              <w:left w:val="single" w:sz="4" w:space="0" w:color="000000"/>
              <w:right w:val="single" w:sz="4" w:space="0" w:color="000000"/>
            </w:tcBorders>
          </w:tcPr>
          <w:p w14:paraId="6D74501E" w14:textId="1EA60BF5" w:rsidR="009F67E7" w:rsidRDefault="000D46EB" w:rsidP="009F67E7">
            <w:pPr>
              <w:rPr>
                <w:rFonts w:ascii="Calibri" w:eastAsia="Calibri" w:hAnsi="Calibri" w:cs="Calibri"/>
                <w:sz w:val="20"/>
                <w:szCs w:val="20"/>
              </w:rPr>
            </w:pPr>
            <w:r>
              <w:rPr>
                <w:rFonts w:ascii="Calibri" w:eastAsia="Calibri" w:hAnsi="Calibri" w:cs="Calibri"/>
                <w:sz w:val="20"/>
                <w:szCs w:val="20"/>
              </w:rPr>
              <w:t>NA</w:t>
            </w:r>
          </w:p>
        </w:tc>
      </w:tr>
      <w:tr w:rsidR="009F67E7" w14:paraId="1BF5FD18" w14:textId="223273C1" w:rsidTr="00E94F88">
        <w:trPr>
          <w:trHeight w:val="122"/>
        </w:trPr>
        <w:tc>
          <w:tcPr>
            <w:tcW w:w="2405" w:type="dxa"/>
            <w:vMerge/>
            <w:tcBorders>
              <w:top w:val="single" w:sz="4" w:space="0" w:color="000000"/>
              <w:left w:val="single" w:sz="4" w:space="0" w:color="000000"/>
              <w:right w:val="single" w:sz="4" w:space="0" w:color="000000"/>
            </w:tcBorders>
          </w:tcPr>
          <w:p w14:paraId="0CA0C945"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F5612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3c</w:t>
            </w:r>
          </w:p>
        </w:tc>
        <w:tc>
          <w:tcPr>
            <w:tcW w:w="8723" w:type="dxa"/>
            <w:tcBorders>
              <w:left w:val="single" w:sz="4" w:space="0" w:color="000000"/>
              <w:right w:val="single" w:sz="4" w:space="0" w:color="000000"/>
            </w:tcBorders>
          </w:tcPr>
          <w:p w14:paraId="7420735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 of trial sponsor and funders in design, conduct, analysis, and reporting of trial; including any authority over these activities</w:t>
            </w:r>
          </w:p>
        </w:tc>
        <w:tc>
          <w:tcPr>
            <w:tcW w:w="1260" w:type="dxa"/>
            <w:tcBorders>
              <w:left w:val="single" w:sz="4" w:space="0" w:color="000000"/>
              <w:right w:val="single" w:sz="4" w:space="0" w:color="000000"/>
            </w:tcBorders>
          </w:tcPr>
          <w:p w14:paraId="048F797A" w14:textId="2FADC9F1" w:rsidR="009F67E7" w:rsidRDefault="000D46EB" w:rsidP="009F67E7">
            <w:pPr>
              <w:rPr>
                <w:rFonts w:ascii="Calibri" w:eastAsia="Calibri" w:hAnsi="Calibri" w:cs="Calibri"/>
                <w:sz w:val="20"/>
                <w:szCs w:val="20"/>
              </w:rPr>
            </w:pPr>
            <w:r>
              <w:rPr>
                <w:rFonts w:ascii="Calibri" w:eastAsia="Calibri" w:hAnsi="Calibri" w:cs="Calibri"/>
                <w:sz w:val="20"/>
                <w:szCs w:val="20"/>
              </w:rPr>
              <w:t>NA</w:t>
            </w:r>
          </w:p>
        </w:tc>
      </w:tr>
      <w:tr w:rsidR="009F67E7" w14:paraId="1850E42E" w14:textId="0F33DFF1" w:rsidTr="00E94F88">
        <w:trPr>
          <w:trHeight w:val="122"/>
        </w:trPr>
        <w:tc>
          <w:tcPr>
            <w:tcW w:w="2405" w:type="dxa"/>
            <w:vMerge/>
            <w:tcBorders>
              <w:top w:val="single" w:sz="4" w:space="0" w:color="000000"/>
              <w:left w:val="single" w:sz="4" w:space="0" w:color="000000"/>
              <w:right w:val="single" w:sz="4" w:space="0" w:color="000000"/>
            </w:tcBorders>
          </w:tcPr>
          <w:p w14:paraId="46FB3A97"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F03878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3d</w:t>
            </w:r>
          </w:p>
        </w:tc>
        <w:tc>
          <w:tcPr>
            <w:tcW w:w="8723" w:type="dxa"/>
            <w:tcBorders>
              <w:left w:val="single" w:sz="4" w:space="0" w:color="000000"/>
              <w:bottom w:val="single" w:sz="4" w:space="0" w:color="000000"/>
              <w:right w:val="single" w:sz="4" w:space="0" w:color="000000"/>
            </w:tcBorders>
          </w:tcPr>
          <w:p w14:paraId="3573034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Composition, roles, and responsibilities of the coordinating site, steering committee, endpoint adjudication committee, data management team, and other individuals or groups overseeing the trial, if applicable</w:t>
            </w:r>
          </w:p>
        </w:tc>
        <w:tc>
          <w:tcPr>
            <w:tcW w:w="1260" w:type="dxa"/>
            <w:tcBorders>
              <w:left w:val="single" w:sz="4" w:space="0" w:color="000000"/>
              <w:bottom w:val="single" w:sz="4" w:space="0" w:color="000000"/>
              <w:right w:val="single" w:sz="4" w:space="0" w:color="000000"/>
            </w:tcBorders>
          </w:tcPr>
          <w:p w14:paraId="5422D0E1" w14:textId="6FE3CDFD" w:rsidR="009F67E7" w:rsidRDefault="000D46EB" w:rsidP="009F67E7">
            <w:pPr>
              <w:rPr>
                <w:rFonts w:ascii="Calibri" w:eastAsia="Calibri" w:hAnsi="Calibri" w:cs="Calibri"/>
                <w:sz w:val="20"/>
                <w:szCs w:val="20"/>
              </w:rPr>
            </w:pPr>
            <w:r>
              <w:rPr>
                <w:rFonts w:ascii="Calibri" w:eastAsia="Calibri" w:hAnsi="Calibri" w:cs="Calibri"/>
                <w:sz w:val="20"/>
                <w:szCs w:val="20"/>
              </w:rPr>
              <w:t>NA</w:t>
            </w:r>
          </w:p>
        </w:tc>
      </w:tr>
      <w:tr w:rsidR="009F67E7" w14:paraId="45BBBD8F" w14:textId="56B427A5" w:rsidTr="00E94F88">
        <w:trPr>
          <w:trHeight w:val="276"/>
        </w:trPr>
        <w:tc>
          <w:tcPr>
            <w:tcW w:w="11695" w:type="dxa"/>
            <w:gridSpan w:val="3"/>
            <w:shd w:val="clear" w:color="auto" w:fill="B4C6E7"/>
            <w:vAlign w:val="bottom"/>
          </w:tcPr>
          <w:p w14:paraId="724E6D15"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Open science</w:t>
            </w:r>
          </w:p>
        </w:tc>
        <w:tc>
          <w:tcPr>
            <w:tcW w:w="1260" w:type="dxa"/>
            <w:shd w:val="clear" w:color="auto" w:fill="B4C6E7"/>
          </w:tcPr>
          <w:p w14:paraId="5861D1F6" w14:textId="77777777" w:rsidR="009F67E7" w:rsidRDefault="009F67E7" w:rsidP="009F67E7">
            <w:pPr>
              <w:rPr>
                <w:rFonts w:ascii="Calibri" w:eastAsia="Calibri" w:hAnsi="Calibri" w:cs="Calibri"/>
                <w:b/>
                <w:sz w:val="20"/>
                <w:szCs w:val="20"/>
              </w:rPr>
            </w:pPr>
          </w:p>
        </w:tc>
      </w:tr>
      <w:tr w:rsidR="009F67E7" w14:paraId="6B6D20B9" w14:textId="3BC0AF39" w:rsidTr="00E94F88">
        <w:trPr>
          <w:trHeight w:val="440"/>
        </w:trPr>
        <w:tc>
          <w:tcPr>
            <w:tcW w:w="2405" w:type="dxa"/>
          </w:tcPr>
          <w:p w14:paraId="4E63E56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registration</w:t>
            </w:r>
          </w:p>
        </w:tc>
        <w:tc>
          <w:tcPr>
            <w:tcW w:w="567" w:type="dxa"/>
          </w:tcPr>
          <w:p w14:paraId="69645AB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4</w:t>
            </w:r>
          </w:p>
        </w:tc>
        <w:tc>
          <w:tcPr>
            <w:tcW w:w="8723" w:type="dxa"/>
          </w:tcPr>
          <w:p w14:paraId="49F8DE18"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Name of trial registry, identifying number (with URL), and date of registration. If not yet registered, name of intended registry</w:t>
            </w:r>
          </w:p>
        </w:tc>
        <w:tc>
          <w:tcPr>
            <w:tcW w:w="1260" w:type="dxa"/>
          </w:tcPr>
          <w:p w14:paraId="6A0EE3EA" w14:textId="12DBE5C3" w:rsidR="009F67E7" w:rsidRDefault="00075041" w:rsidP="009F67E7">
            <w:pPr>
              <w:rPr>
                <w:rFonts w:ascii="Calibri" w:eastAsia="Calibri" w:hAnsi="Calibri" w:cs="Calibri"/>
                <w:color w:val="000000"/>
                <w:sz w:val="20"/>
                <w:szCs w:val="20"/>
              </w:rPr>
            </w:pPr>
            <w:r>
              <w:rPr>
                <w:rFonts w:ascii="Calibri" w:eastAsia="Calibri" w:hAnsi="Calibri" w:cs="Calibri"/>
                <w:color w:val="000000"/>
                <w:sz w:val="20"/>
                <w:szCs w:val="20"/>
              </w:rPr>
              <w:t>3</w:t>
            </w:r>
          </w:p>
        </w:tc>
      </w:tr>
      <w:tr w:rsidR="009F67E7" w14:paraId="3B69018E" w14:textId="584A696A" w:rsidTr="00E94F88">
        <w:trPr>
          <w:trHeight w:val="227"/>
        </w:trPr>
        <w:tc>
          <w:tcPr>
            <w:tcW w:w="2405" w:type="dxa"/>
          </w:tcPr>
          <w:p w14:paraId="548D498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and statistical analysis plan</w:t>
            </w:r>
          </w:p>
        </w:tc>
        <w:tc>
          <w:tcPr>
            <w:tcW w:w="567" w:type="dxa"/>
          </w:tcPr>
          <w:p w14:paraId="4B4A7E4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5</w:t>
            </w:r>
          </w:p>
        </w:tc>
        <w:tc>
          <w:tcPr>
            <w:tcW w:w="8723" w:type="dxa"/>
          </w:tcPr>
          <w:p w14:paraId="03DC745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Where the trial protocol and statistical analysis plan can be accessed</w:t>
            </w:r>
          </w:p>
        </w:tc>
        <w:tc>
          <w:tcPr>
            <w:tcW w:w="1260" w:type="dxa"/>
          </w:tcPr>
          <w:p w14:paraId="39BAE671" w14:textId="4016F4FD" w:rsidR="009F67E7" w:rsidRDefault="00075041" w:rsidP="009F67E7">
            <w:pPr>
              <w:rPr>
                <w:rFonts w:ascii="Calibri" w:eastAsia="Calibri" w:hAnsi="Calibri" w:cs="Calibri"/>
                <w:color w:val="000000"/>
                <w:sz w:val="20"/>
                <w:szCs w:val="20"/>
              </w:rPr>
            </w:pPr>
            <w:r>
              <w:rPr>
                <w:rFonts w:ascii="Calibri" w:eastAsia="Calibri" w:hAnsi="Calibri" w:cs="Calibri"/>
                <w:color w:val="000000"/>
                <w:sz w:val="20"/>
                <w:szCs w:val="20"/>
              </w:rPr>
              <w:t>13,14</w:t>
            </w:r>
          </w:p>
        </w:tc>
      </w:tr>
      <w:tr w:rsidR="009F67E7" w14:paraId="3FB976A0" w14:textId="52275C35" w:rsidTr="00E94F88">
        <w:trPr>
          <w:trHeight w:val="205"/>
        </w:trPr>
        <w:tc>
          <w:tcPr>
            <w:tcW w:w="2405" w:type="dxa"/>
          </w:tcPr>
          <w:p w14:paraId="466D826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sharing</w:t>
            </w:r>
          </w:p>
        </w:tc>
        <w:tc>
          <w:tcPr>
            <w:tcW w:w="567" w:type="dxa"/>
          </w:tcPr>
          <w:p w14:paraId="7230466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6</w:t>
            </w:r>
          </w:p>
        </w:tc>
        <w:tc>
          <w:tcPr>
            <w:tcW w:w="8723" w:type="dxa"/>
          </w:tcPr>
          <w:p w14:paraId="410A35A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Where and how the individual de-identified participant data (including data dictionary), statistical code, and any other materials will be accessible</w:t>
            </w:r>
          </w:p>
        </w:tc>
        <w:tc>
          <w:tcPr>
            <w:tcW w:w="1260" w:type="dxa"/>
          </w:tcPr>
          <w:p w14:paraId="4B095151" w14:textId="77777777" w:rsidR="009F67E7" w:rsidRDefault="009F67E7" w:rsidP="009F67E7">
            <w:pPr>
              <w:rPr>
                <w:rFonts w:ascii="Calibri" w:eastAsia="Calibri" w:hAnsi="Calibri" w:cs="Calibri"/>
                <w:sz w:val="20"/>
                <w:szCs w:val="20"/>
              </w:rPr>
            </w:pPr>
          </w:p>
        </w:tc>
      </w:tr>
      <w:tr w:rsidR="009F67E7" w14:paraId="2DEFAB03" w14:textId="3F817820" w:rsidTr="00E94F88">
        <w:trPr>
          <w:trHeight w:val="405"/>
        </w:trPr>
        <w:tc>
          <w:tcPr>
            <w:tcW w:w="2405" w:type="dxa"/>
            <w:vMerge w:val="restart"/>
          </w:tcPr>
          <w:p w14:paraId="4908B6F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Funding and conflicts of interest</w:t>
            </w:r>
          </w:p>
        </w:tc>
        <w:tc>
          <w:tcPr>
            <w:tcW w:w="567" w:type="dxa"/>
          </w:tcPr>
          <w:p w14:paraId="6E60B9BC"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7a</w:t>
            </w:r>
          </w:p>
        </w:tc>
        <w:tc>
          <w:tcPr>
            <w:tcW w:w="8723" w:type="dxa"/>
          </w:tcPr>
          <w:p w14:paraId="0FC2597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Sources of funding and other support (e.g., supply of drugs) </w:t>
            </w:r>
          </w:p>
        </w:tc>
        <w:tc>
          <w:tcPr>
            <w:tcW w:w="1260" w:type="dxa"/>
          </w:tcPr>
          <w:p w14:paraId="64EA4C73" w14:textId="527FE769" w:rsidR="009F67E7" w:rsidRDefault="00075041" w:rsidP="009F67E7">
            <w:pPr>
              <w:rPr>
                <w:rFonts w:ascii="Calibri" w:eastAsia="Calibri" w:hAnsi="Calibri" w:cs="Calibri"/>
                <w:sz w:val="20"/>
                <w:szCs w:val="20"/>
              </w:rPr>
            </w:pPr>
            <w:r>
              <w:rPr>
                <w:rFonts w:ascii="Calibri" w:eastAsia="Calibri" w:hAnsi="Calibri" w:cs="Calibri"/>
                <w:sz w:val="20"/>
                <w:szCs w:val="20"/>
              </w:rPr>
              <w:t>NA</w:t>
            </w:r>
          </w:p>
        </w:tc>
      </w:tr>
      <w:tr w:rsidR="009F67E7" w14:paraId="362C4184" w14:textId="0B83B60A" w:rsidTr="00E94F88">
        <w:trPr>
          <w:trHeight w:val="405"/>
        </w:trPr>
        <w:tc>
          <w:tcPr>
            <w:tcW w:w="2405" w:type="dxa"/>
            <w:vMerge/>
          </w:tcPr>
          <w:p w14:paraId="5E805812"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7CBF9D67"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sz w:val="20"/>
                <w:szCs w:val="20"/>
              </w:rPr>
              <w:t>7b</w:t>
            </w:r>
          </w:p>
        </w:tc>
        <w:tc>
          <w:tcPr>
            <w:tcW w:w="8723" w:type="dxa"/>
          </w:tcPr>
          <w:p w14:paraId="5E0663B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Financial and other conflicts of interest for principal investigators and steering committee members</w:t>
            </w:r>
          </w:p>
        </w:tc>
        <w:tc>
          <w:tcPr>
            <w:tcW w:w="1260" w:type="dxa"/>
          </w:tcPr>
          <w:p w14:paraId="56EB6470" w14:textId="3E00A85C" w:rsidR="009F67E7" w:rsidRDefault="00075041" w:rsidP="009F67E7">
            <w:pPr>
              <w:rPr>
                <w:rFonts w:ascii="Calibri" w:eastAsia="Calibri" w:hAnsi="Calibri" w:cs="Calibri"/>
                <w:sz w:val="20"/>
                <w:szCs w:val="20"/>
              </w:rPr>
            </w:pPr>
            <w:r>
              <w:rPr>
                <w:rFonts w:ascii="Calibri" w:eastAsia="Calibri" w:hAnsi="Calibri" w:cs="Calibri"/>
                <w:sz w:val="20"/>
                <w:szCs w:val="20"/>
              </w:rPr>
              <w:t>14</w:t>
            </w:r>
          </w:p>
        </w:tc>
      </w:tr>
      <w:tr w:rsidR="009F67E7" w14:paraId="5773A02E" w14:textId="1F790F7B" w:rsidTr="00E94F88">
        <w:trPr>
          <w:trHeight w:val="205"/>
        </w:trPr>
        <w:tc>
          <w:tcPr>
            <w:tcW w:w="2405" w:type="dxa"/>
          </w:tcPr>
          <w:p w14:paraId="5ADA3D3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Dissemination policy</w:t>
            </w:r>
          </w:p>
          <w:p w14:paraId="016B6623" w14:textId="77777777" w:rsidR="009F67E7" w:rsidRDefault="009F67E7" w:rsidP="009F67E7">
            <w:pPr>
              <w:rPr>
                <w:rFonts w:ascii="Calibri" w:eastAsia="Calibri" w:hAnsi="Calibri" w:cs="Calibri"/>
                <w:sz w:val="20"/>
                <w:szCs w:val="20"/>
              </w:rPr>
            </w:pPr>
          </w:p>
        </w:tc>
        <w:tc>
          <w:tcPr>
            <w:tcW w:w="567" w:type="dxa"/>
          </w:tcPr>
          <w:p w14:paraId="103A098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8</w:t>
            </w:r>
          </w:p>
        </w:tc>
        <w:tc>
          <w:tcPr>
            <w:tcW w:w="8723" w:type="dxa"/>
          </w:tcPr>
          <w:p w14:paraId="1D8D794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Plans to communicate trial results to participants, healthcare professionals, the public, and other relevant groups (e.g., reporting in trial registry, plain language summary, publication)</w:t>
            </w:r>
          </w:p>
        </w:tc>
        <w:tc>
          <w:tcPr>
            <w:tcW w:w="1260" w:type="dxa"/>
          </w:tcPr>
          <w:p w14:paraId="02539FA7" w14:textId="69DB4283" w:rsidR="009F67E7" w:rsidRDefault="00075041" w:rsidP="009F67E7">
            <w:pPr>
              <w:rPr>
                <w:rFonts w:ascii="Calibri" w:eastAsia="Calibri" w:hAnsi="Calibri" w:cs="Calibri"/>
                <w:color w:val="000000"/>
                <w:sz w:val="20"/>
                <w:szCs w:val="20"/>
              </w:rPr>
            </w:pPr>
            <w:r>
              <w:rPr>
                <w:rFonts w:ascii="Calibri" w:eastAsia="Calibri" w:hAnsi="Calibri" w:cs="Calibri"/>
                <w:color w:val="000000"/>
                <w:sz w:val="20"/>
                <w:szCs w:val="20"/>
              </w:rPr>
              <w:t>NA</w:t>
            </w:r>
          </w:p>
        </w:tc>
      </w:tr>
      <w:tr w:rsidR="009F67E7" w14:paraId="4823D515" w14:textId="5D208576" w:rsidTr="00E94F88">
        <w:trPr>
          <w:trHeight w:val="276"/>
        </w:trPr>
        <w:tc>
          <w:tcPr>
            <w:tcW w:w="11695" w:type="dxa"/>
            <w:gridSpan w:val="3"/>
            <w:shd w:val="clear" w:color="auto" w:fill="B4C6E7"/>
          </w:tcPr>
          <w:p w14:paraId="09D4EA0E"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Introduction</w:t>
            </w:r>
          </w:p>
        </w:tc>
        <w:tc>
          <w:tcPr>
            <w:tcW w:w="1260" w:type="dxa"/>
            <w:shd w:val="clear" w:color="auto" w:fill="B4C6E7"/>
          </w:tcPr>
          <w:p w14:paraId="43ACD7C3" w14:textId="77777777" w:rsidR="009F67E7" w:rsidRDefault="009F67E7" w:rsidP="009F67E7">
            <w:pPr>
              <w:rPr>
                <w:rFonts w:ascii="Calibri" w:eastAsia="Calibri" w:hAnsi="Calibri" w:cs="Calibri"/>
                <w:b/>
                <w:sz w:val="20"/>
                <w:szCs w:val="20"/>
              </w:rPr>
            </w:pPr>
          </w:p>
        </w:tc>
      </w:tr>
      <w:tr w:rsidR="009F67E7" w14:paraId="4855135D" w14:textId="58DE20CA" w:rsidTr="00E94F88">
        <w:trPr>
          <w:trHeight w:val="594"/>
        </w:trPr>
        <w:tc>
          <w:tcPr>
            <w:tcW w:w="2405" w:type="dxa"/>
            <w:vMerge w:val="restart"/>
          </w:tcPr>
          <w:p w14:paraId="21B250B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Background and rationale</w:t>
            </w:r>
          </w:p>
        </w:tc>
        <w:tc>
          <w:tcPr>
            <w:tcW w:w="567" w:type="dxa"/>
          </w:tcPr>
          <w:p w14:paraId="50D008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9a</w:t>
            </w:r>
          </w:p>
        </w:tc>
        <w:tc>
          <w:tcPr>
            <w:tcW w:w="8723" w:type="dxa"/>
          </w:tcPr>
          <w:p w14:paraId="57E0060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Scientific background and rationale, including summary of relevant studies (published and unpublished) examining benefits and harms for each intervention</w:t>
            </w:r>
          </w:p>
        </w:tc>
        <w:tc>
          <w:tcPr>
            <w:tcW w:w="1260" w:type="dxa"/>
          </w:tcPr>
          <w:p w14:paraId="5C9CD420" w14:textId="1314A8D5" w:rsidR="009F67E7" w:rsidRDefault="00075041" w:rsidP="009F67E7">
            <w:pPr>
              <w:rPr>
                <w:rFonts w:ascii="Calibri" w:eastAsia="Calibri" w:hAnsi="Calibri" w:cs="Calibri"/>
                <w:sz w:val="20"/>
                <w:szCs w:val="20"/>
              </w:rPr>
            </w:pPr>
            <w:r>
              <w:rPr>
                <w:rFonts w:ascii="Calibri" w:eastAsia="Calibri" w:hAnsi="Calibri" w:cs="Calibri"/>
                <w:sz w:val="20"/>
                <w:szCs w:val="20"/>
              </w:rPr>
              <w:t>4,5,6</w:t>
            </w:r>
          </w:p>
        </w:tc>
      </w:tr>
      <w:tr w:rsidR="009F67E7" w14:paraId="0A7B5C68" w14:textId="0782BB4D" w:rsidTr="00E94F88">
        <w:trPr>
          <w:trHeight w:val="276"/>
        </w:trPr>
        <w:tc>
          <w:tcPr>
            <w:tcW w:w="2405" w:type="dxa"/>
            <w:vMerge/>
          </w:tcPr>
          <w:p w14:paraId="02D4AD2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340481BF"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color w:val="000000"/>
                <w:sz w:val="20"/>
                <w:szCs w:val="20"/>
              </w:rPr>
              <w:t>9b</w:t>
            </w:r>
          </w:p>
        </w:tc>
        <w:tc>
          <w:tcPr>
            <w:tcW w:w="8723" w:type="dxa"/>
          </w:tcPr>
          <w:p w14:paraId="2BF25388" w14:textId="31BE8BE8" w:rsidR="009F67E7" w:rsidRDefault="009F67E7" w:rsidP="009F67E7">
            <w:pPr>
              <w:rPr>
                <w:rFonts w:ascii="Calibri" w:eastAsia="Calibri" w:hAnsi="Calibri" w:cs="Calibri"/>
                <w:color w:val="000000"/>
                <w:sz w:val="20"/>
                <w:szCs w:val="20"/>
              </w:rPr>
            </w:pPr>
            <w:r>
              <w:rPr>
                <w:rFonts w:ascii="Calibri" w:eastAsia="Calibri" w:hAnsi="Calibri" w:cs="Calibri"/>
                <w:color w:val="000000"/>
                <w:sz w:val="20"/>
                <w:szCs w:val="20"/>
              </w:rPr>
              <w:t>Explanation for choice of comparator</w:t>
            </w:r>
          </w:p>
        </w:tc>
        <w:tc>
          <w:tcPr>
            <w:tcW w:w="1260" w:type="dxa"/>
          </w:tcPr>
          <w:p w14:paraId="3D582D20" w14:textId="072B0403" w:rsidR="009F67E7" w:rsidRDefault="00777C70" w:rsidP="009F67E7">
            <w:pPr>
              <w:rPr>
                <w:rFonts w:ascii="Calibri" w:eastAsia="Calibri" w:hAnsi="Calibri" w:cs="Calibri"/>
                <w:color w:val="000000"/>
                <w:sz w:val="20"/>
                <w:szCs w:val="20"/>
              </w:rPr>
            </w:pPr>
            <w:r>
              <w:rPr>
                <w:rFonts w:ascii="Calibri" w:eastAsia="Calibri" w:hAnsi="Calibri" w:cs="Calibri"/>
                <w:color w:val="000000"/>
                <w:sz w:val="20"/>
                <w:szCs w:val="20"/>
              </w:rPr>
              <w:t>5</w:t>
            </w:r>
          </w:p>
        </w:tc>
      </w:tr>
      <w:tr w:rsidR="009F67E7" w14:paraId="1DF53E5A" w14:textId="7AC7E848" w:rsidTr="00E94F88">
        <w:trPr>
          <w:trHeight w:val="276"/>
        </w:trPr>
        <w:tc>
          <w:tcPr>
            <w:tcW w:w="2405" w:type="dxa"/>
          </w:tcPr>
          <w:p w14:paraId="3994A6A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Objectives</w:t>
            </w:r>
          </w:p>
        </w:tc>
        <w:tc>
          <w:tcPr>
            <w:tcW w:w="567" w:type="dxa"/>
          </w:tcPr>
          <w:p w14:paraId="16C9EFD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10</w:t>
            </w:r>
          </w:p>
        </w:tc>
        <w:tc>
          <w:tcPr>
            <w:tcW w:w="8723" w:type="dxa"/>
          </w:tcPr>
          <w:p w14:paraId="5C03EF0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Specific objectives related to benefits and harms</w:t>
            </w:r>
          </w:p>
        </w:tc>
        <w:tc>
          <w:tcPr>
            <w:tcW w:w="1260" w:type="dxa"/>
          </w:tcPr>
          <w:p w14:paraId="6227132E" w14:textId="2BB4CE94" w:rsidR="009F67E7" w:rsidRDefault="00777C70" w:rsidP="009F67E7">
            <w:pPr>
              <w:rPr>
                <w:rFonts w:ascii="Calibri" w:eastAsia="Calibri" w:hAnsi="Calibri" w:cs="Calibri"/>
                <w:sz w:val="20"/>
                <w:szCs w:val="20"/>
              </w:rPr>
            </w:pPr>
            <w:r>
              <w:rPr>
                <w:rFonts w:ascii="Calibri" w:eastAsia="Calibri" w:hAnsi="Calibri" w:cs="Calibri"/>
                <w:sz w:val="20"/>
                <w:szCs w:val="20"/>
              </w:rPr>
              <w:t>11,12</w:t>
            </w:r>
          </w:p>
        </w:tc>
      </w:tr>
      <w:tr w:rsidR="009F67E7" w14:paraId="301B445A" w14:textId="1017C3D3" w:rsidTr="00E94F88">
        <w:trPr>
          <w:trHeight w:val="276"/>
        </w:trPr>
        <w:tc>
          <w:tcPr>
            <w:tcW w:w="11695" w:type="dxa"/>
            <w:gridSpan w:val="3"/>
            <w:shd w:val="clear" w:color="auto" w:fill="B4C6E7"/>
          </w:tcPr>
          <w:p w14:paraId="6465CAA0" w14:textId="77777777" w:rsidR="009F67E7" w:rsidRDefault="009F67E7" w:rsidP="009F67E7">
            <w:pPr>
              <w:rPr>
                <w:rFonts w:ascii="Calibri" w:eastAsia="Calibri" w:hAnsi="Calibri" w:cs="Calibri"/>
                <w:sz w:val="20"/>
                <w:szCs w:val="20"/>
              </w:rPr>
            </w:pPr>
            <w:r>
              <w:rPr>
                <w:rFonts w:ascii="Calibri" w:eastAsia="Calibri" w:hAnsi="Calibri" w:cs="Calibri"/>
                <w:b/>
                <w:sz w:val="20"/>
                <w:szCs w:val="20"/>
              </w:rPr>
              <w:t>Methods: Patient and public involvement, trial design</w:t>
            </w:r>
          </w:p>
        </w:tc>
        <w:tc>
          <w:tcPr>
            <w:tcW w:w="1260" w:type="dxa"/>
            <w:shd w:val="clear" w:color="auto" w:fill="B4C6E7"/>
          </w:tcPr>
          <w:p w14:paraId="7AC02FA5" w14:textId="77777777" w:rsidR="009F67E7" w:rsidRDefault="009F67E7" w:rsidP="009F67E7">
            <w:pPr>
              <w:rPr>
                <w:rFonts w:ascii="Calibri" w:eastAsia="Calibri" w:hAnsi="Calibri" w:cs="Calibri"/>
                <w:b/>
                <w:sz w:val="20"/>
                <w:szCs w:val="20"/>
              </w:rPr>
            </w:pPr>
          </w:p>
        </w:tc>
      </w:tr>
      <w:tr w:rsidR="009F67E7" w14:paraId="34434533" w14:textId="39F0BD69" w:rsidTr="00E94F88">
        <w:trPr>
          <w:trHeight w:val="699"/>
        </w:trPr>
        <w:tc>
          <w:tcPr>
            <w:tcW w:w="2405" w:type="dxa"/>
          </w:tcPr>
          <w:p w14:paraId="2119FD9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lastRenderedPageBreak/>
              <w:t>Patient and public involvement</w:t>
            </w:r>
          </w:p>
        </w:tc>
        <w:tc>
          <w:tcPr>
            <w:tcW w:w="567" w:type="dxa"/>
          </w:tcPr>
          <w:p w14:paraId="7D21B1D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11</w:t>
            </w:r>
          </w:p>
        </w:tc>
        <w:tc>
          <w:tcPr>
            <w:tcW w:w="8723" w:type="dxa"/>
          </w:tcPr>
          <w:p w14:paraId="10AF685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Details of, or plans for, patient or public involvement in the design, conduct, and reporting of the trial</w:t>
            </w:r>
          </w:p>
        </w:tc>
        <w:tc>
          <w:tcPr>
            <w:tcW w:w="1260" w:type="dxa"/>
          </w:tcPr>
          <w:p w14:paraId="639F3158" w14:textId="245BA9E0" w:rsidR="009F67E7" w:rsidRDefault="00777C70" w:rsidP="009F67E7">
            <w:pPr>
              <w:rPr>
                <w:rFonts w:ascii="Calibri" w:eastAsia="Calibri" w:hAnsi="Calibri" w:cs="Calibri"/>
                <w:sz w:val="20"/>
                <w:szCs w:val="20"/>
              </w:rPr>
            </w:pPr>
            <w:r>
              <w:rPr>
                <w:rFonts w:ascii="Calibri" w:eastAsia="Calibri" w:hAnsi="Calibri" w:cs="Calibri"/>
                <w:sz w:val="20"/>
                <w:szCs w:val="20"/>
              </w:rPr>
              <w:t>NA</w:t>
            </w:r>
          </w:p>
        </w:tc>
      </w:tr>
      <w:tr w:rsidR="009F67E7" w14:paraId="163B75F3" w14:textId="6D34F2C1" w:rsidTr="00E94F88">
        <w:trPr>
          <w:trHeight w:val="547"/>
        </w:trPr>
        <w:tc>
          <w:tcPr>
            <w:tcW w:w="2405" w:type="dxa"/>
          </w:tcPr>
          <w:p w14:paraId="13C27CB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design</w:t>
            </w:r>
          </w:p>
        </w:tc>
        <w:tc>
          <w:tcPr>
            <w:tcW w:w="567" w:type="dxa"/>
          </w:tcPr>
          <w:p w14:paraId="27371B0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12</w:t>
            </w:r>
          </w:p>
        </w:tc>
        <w:tc>
          <w:tcPr>
            <w:tcW w:w="8723" w:type="dxa"/>
          </w:tcPr>
          <w:p w14:paraId="081484E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Description of trial design including type of trial (</w:t>
            </w:r>
            <w:r>
              <w:rPr>
                <w:rFonts w:ascii="Calibri" w:eastAsia="Calibri" w:hAnsi="Calibri" w:cs="Calibri"/>
                <w:color w:val="000000"/>
                <w:sz w:val="20"/>
                <w:szCs w:val="20"/>
              </w:rPr>
              <w:t>e.g.,</w:t>
            </w:r>
            <w:r>
              <w:rPr>
                <w:rFonts w:ascii="Calibri" w:eastAsia="Calibri" w:hAnsi="Calibri" w:cs="Calibri"/>
                <w:sz w:val="20"/>
                <w:szCs w:val="20"/>
              </w:rPr>
              <w:t xml:space="preserve"> parallel group, crossover), allocation ratio, and framework (</w:t>
            </w:r>
            <w:r>
              <w:rPr>
                <w:rFonts w:ascii="Calibri" w:eastAsia="Calibri" w:hAnsi="Calibri" w:cs="Calibri"/>
                <w:color w:val="000000"/>
                <w:sz w:val="20"/>
                <w:szCs w:val="20"/>
              </w:rPr>
              <w:t>e.g.,</w:t>
            </w:r>
            <w:r>
              <w:rPr>
                <w:rFonts w:ascii="Calibri" w:eastAsia="Calibri" w:hAnsi="Calibri" w:cs="Calibri"/>
                <w:sz w:val="20"/>
                <w:szCs w:val="20"/>
              </w:rPr>
              <w:t xml:space="preserve"> superiority, equivalence, </w:t>
            </w:r>
            <w:r>
              <w:rPr>
                <w:rFonts w:ascii="Calibri" w:eastAsia="Calibri" w:hAnsi="Calibri" w:cs="Calibri"/>
                <w:color w:val="000000"/>
                <w:sz w:val="20"/>
                <w:szCs w:val="20"/>
              </w:rPr>
              <w:t>non-inferiority</w:t>
            </w:r>
            <w:r>
              <w:rPr>
                <w:rFonts w:ascii="Calibri" w:eastAsia="Calibri" w:hAnsi="Calibri" w:cs="Calibri"/>
                <w:sz w:val="20"/>
                <w:szCs w:val="20"/>
              </w:rPr>
              <w:t>, exploratory)</w:t>
            </w:r>
          </w:p>
        </w:tc>
        <w:tc>
          <w:tcPr>
            <w:tcW w:w="1260" w:type="dxa"/>
          </w:tcPr>
          <w:p w14:paraId="2351C4A2" w14:textId="6B90CD4A" w:rsidR="009F67E7" w:rsidRDefault="00777C70" w:rsidP="009F67E7">
            <w:pPr>
              <w:rPr>
                <w:rFonts w:ascii="Calibri" w:eastAsia="Calibri" w:hAnsi="Calibri" w:cs="Calibri"/>
                <w:sz w:val="20"/>
                <w:szCs w:val="20"/>
              </w:rPr>
            </w:pPr>
            <w:r>
              <w:rPr>
                <w:rFonts w:ascii="Calibri" w:eastAsia="Calibri" w:hAnsi="Calibri" w:cs="Calibri"/>
                <w:sz w:val="20"/>
                <w:szCs w:val="20"/>
              </w:rPr>
              <w:t>7</w:t>
            </w:r>
          </w:p>
        </w:tc>
      </w:tr>
      <w:tr w:rsidR="009F67E7" w14:paraId="6E30A352" w14:textId="12F151B2" w:rsidTr="00E94F88">
        <w:trPr>
          <w:trHeight w:val="276"/>
        </w:trPr>
        <w:tc>
          <w:tcPr>
            <w:tcW w:w="11695" w:type="dxa"/>
            <w:gridSpan w:val="3"/>
            <w:shd w:val="clear" w:color="auto" w:fill="B4C6E7"/>
          </w:tcPr>
          <w:p w14:paraId="0228B19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Participants, interventions, and outcomes</w:t>
            </w:r>
          </w:p>
        </w:tc>
        <w:tc>
          <w:tcPr>
            <w:tcW w:w="1260" w:type="dxa"/>
            <w:shd w:val="clear" w:color="auto" w:fill="B4C6E7"/>
          </w:tcPr>
          <w:p w14:paraId="4ED7E125" w14:textId="77777777" w:rsidR="009F67E7" w:rsidRDefault="009F67E7" w:rsidP="009F67E7">
            <w:pPr>
              <w:rPr>
                <w:rFonts w:ascii="Calibri" w:eastAsia="Calibri" w:hAnsi="Calibri" w:cs="Calibri"/>
                <w:b/>
                <w:sz w:val="20"/>
                <w:szCs w:val="20"/>
              </w:rPr>
            </w:pPr>
          </w:p>
        </w:tc>
      </w:tr>
      <w:tr w:rsidR="009F67E7" w14:paraId="42B5A985" w14:textId="4AE52D38" w:rsidTr="00E94F88">
        <w:trPr>
          <w:trHeight w:val="516"/>
        </w:trPr>
        <w:tc>
          <w:tcPr>
            <w:tcW w:w="2405" w:type="dxa"/>
          </w:tcPr>
          <w:p w14:paraId="5AF681F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setting</w:t>
            </w:r>
          </w:p>
        </w:tc>
        <w:tc>
          <w:tcPr>
            <w:tcW w:w="567" w:type="dxa"/>
          </w:tcPr>
          <w:p w14:paraId="3DE4D758"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13</w:t>
            </w:r>
          </w:p>
        </w:tc>
        <w:tc>
          <w:tcPr>
            <w:tcW w:w="8723" w:type="dxa"/>
          </w:tcPr>
          <w:p w14:paraId="0F26130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Settings (e.g., community, hospital) and locations (e.g., countries, sites) where the trial will be conducted </w:t>
            </w:r>
          </w:p>
        </w:tc>
        <w:tc>
          <w:tcPr>
            <w:tcW w:w="1260" w:type="dxa"/>
          </w:tcPr>
          <w:p w14:paraId="5504A2F2" w14:textId="2D2084B3" w:rsidR="009F67E7" w:rsidRDefault="00777C70" w:rsidP="009F67E7">
            <w:pPr>
              <w:rPr>
                <w:rFonts w:ascii="Calibri" w:eastAsia="Calibri" w:hAnsi="Calibri" w:cs="Calibri"/>
                <w:sz w:val="20"/>
                <w:szCs w:val="20"/>
              </w:rPr>
            </w:pPr>
            <w:r>
              <w:rPr>
                <w:rFonts w:ascii="Calibri" w:eastAsia="Calibri" w:hAnsi="Calibri" w:cs="Calibri"/>
                <w:sz w:val="20"/>
                <w:szCs w:val="20"/>
              </w:rPr>
              <w:t>7</w:t>
            </w:r>
          </w:p>
        </w:tc>
      </w:tr>
      <w:tr w:rsidR="009F67E7" w14:paraId="73BA1BF6" w14:textId="2DEC0371" w:rsidTr="00E94F88">
        <w:trPr>
          <w:trHeight w:val="267"/>
        </w:trPr>
        <w:tc>
          <w:tcPr>
            <w:tcW w:w="2405" w:type="dxa"/>
            <w:vMerge w:val="restart"/>
          </w:tcPr>
          <w:p w14:paraId="4E353E5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Eligibility criteria</w:t>
            </w:r>
          </w:p>
        </w:tc>
        <w:tc>
          <w:tcPr>
            <w:tcW w:w="567" w:type="dxa"/>
          </w:tcPr>
          <w:p w14:paraId="6BA46B9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14a</w:t>
            </w:r>
          </w:p>
        </w:tc>
        <w:tc>
          <w:tcPr>
            <w:tcW w:w="8723" w:type="dxa"/>
          </w:tcPr>
          <w:p w14:paraId="1DC0423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Eligibility criteria for participants </w:t>
            </w:r>
          </w:p>
        </w:tc>
        <w:tc>
          <w:tcPr>
            <w:tcW w:w="1260" w:type="dxa"/>
          </w:tcPr>
          <w:p w14:paraId="524CE49C" w14:textId="538F8165" w:rsidR="009F67E7" w:rsidRDefault="00777C70" w:rsidP="009F67E7">
            <w:pPr>
              <w:rPr>
                <w:rFonts w:ascii="Calibri" w:eastAsia="Calibri" w:hAnsi="Calibri" w:cs="Calibri"/>
                <w:sz w:val="20"/>
                <w:szCs w:val="20"/>
              </w:rPr>
            </w:pPr>
            <w:r>
              <w:rPr>
                <w:rFonts w:ascii="Calibri" w:eastAsia="Calibri" w:hAnsi="Calibri" w:cs="Calibri"/>
                <w:sz w:val="20"/>
                <w:szCs w:val="20"/>
              </w:rPr>
              <w:t>7</w:t>
            </w:r>
          </w:p>
        </w:tc>
      </w:tr>
      <w:tr w:rsidR="009F67E7" w14:paraId="38106B99" w14:textId="6AEB175A" w:rsidTr="00E94F88">
        <w:trPr>
          <w:trHeight w:val="276"/>
        </w:trPr>
        <w:tc>
          <w:tcPr>
            <w:tcW w:w="2405" w:type="dxa"/>
            <w:vMerge/>
          </w:tcPr>
          <w:p w14:paraId="45CFAB9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AF6D08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14b</w:t>
            </w:r>
          </w:p>
        </w:tc>
        <w:tc>
          <w:tcPr>
            <w:tcW w:w="8723" w:type="dxa"/>
          </w:tcPr>
          <w:p w14:paraId="79AB34A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applicable, eligibility criteria for sites and for individuals who will deliver the interventions (e.g., surgeons, physiotherapists)</w:t>
            </w:r>
          </w:p>
        </w:tc>
        <w:tc>
          <w:tcPr>
            <w:tcW w:w="1260" w:type="dxa"/>
          </w:tcPr>
          <w:p w14:paraId="57EBBA00" w14:textId="4363ECA3" w:rsidR="009F67E7" w:rsidRDefault="00777C70" w:rsidP="009F67E7">
            <w:pPr>
              <w:rPr>
                <w:rFonts w:ascii="Calibri" w:eastAsia="Calibri" w:hAnsi="Calibri" w:cs="Calibri"/>
                <w:sz w:val="20"/>
                <w:szCs w:val="20"/>
              </w:rPr>
            </w:pPr>
            <w:r>
              <w:rPr>
                <w:rFonts w:ascii="Calibri" w:eastAsia="Calibri" w:hAnsi="Calibri" w:cs="Calibri"/>
                <w:sz w:val="20"/>
                <w:szCs w:val="20"/>
              </w:rPr>
              <w:t>7</w:t>
            </w:r>
          </w:p>
        </w:tc>
      </w:tr>
      <w:tr w:rsidR="009F67E7" w14:paraId="7EE46BE4" w14:textId="094B77D5" w:rsidTr="00E94F88">
        <w:trPr>
          <w:trHeight w:val="207"/>
        </w:trPr>
        <w:tc>
          <w:tcPr>
            <w:tcW w:w="2405" w:type="dxa"/>
            <w:vMerge w:val="restart"/>
          </w:tcPr>
          <w:p w14:paraId="68FCA093" w14:textId="760A2403"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w:t>
            </w:r>
          </w:p>
        </w:tc>
        <w:tc>
          <w:tcPr>
            <w:tcW w:w="567" w:type="dxa"/>
          </w:tcPr>
          <w:p w14:paraId="3EA918F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15a</w:t>
            </w:r>
          </w:p>
        </w:tc>
        <w:tc>
          <w:tcPr>
            <w:tcW w:w="8723" w:type="dxa"/>
          </w:tcPr>
          <w:p w14:paraId="7830B032" w14:textId="7E147408"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 with sufficient details to allow replication including how, when, and by whom they will be administered. If relevant, where additional materials describing the intervention and comparator (e.g., intervention manual) can be accessed</w:t>
            </w:r>
          </w:p>
        </w:tc>
        <w:tc>
          <w:tcPr>
            <w:tcW w:w="1260" w:type="dxa"/>
          </w:tcPr>
          <w:p w14:paraId="2F40D416" w14:textId="6B7A0719" w:rsidR="009F67E7" w:rsidRDefault="00777C70" w:rsidP="009F67E7">
            <w:pPr>
              <w:rPr>
                <w:rFonts w:ascii="Calibri" w:eastAsia="Calibri" w:hAnsi="Calibri" w:cs="Calibri"/>
                <w:sz w:val="20"/>
                <w:szCs w:val="20"/>
              </w:rPr>
            </w:pPr>
            <w:r>
              <w:rPr>
                <w:rFonts w:ascii="Calibri" w:eastAsia="Calibri" w:hAnsi="Calibri" w:cs="Calibri"/>
                <w:sz w:val="20"/>
                <w:szCs w:val="20"/>
              </w:rPr>
              <w:t>8</w:t>
            </w:r>
          </w:p>
        </w:tc>
      </w:tr>
      <w:tr w:rsidR="009F67E7" w14:paraId="061D8290" w14:textId="65152230" w:rsidTr="00E94F88">
        <w:trPr>
          <w:trHeight w:val="523"/>
        </w:trPr>
        <w:tc>
          <w:tcPr>
            <w:tcW w:w="2405" w:type="dxa"/>
            <w:vMerge/>
          </w:tcPr>
          <w:p w14:paraId="1C0C023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13BEB41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15b</w:t>
            </w:r>
          </w:p>
        </w:tc>
        <w:tc>
          <w:tcPr>
            <w:tcW w:w="8723" w:type="dxa"/>
          </w:tcPr>
          <w:p w14:paraId="16103066" w14:textId="71B45B4D"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Criteria for discontinuing or modifying allocated intervention/comparator for a trial participant (e.g., drug dose change in response to harms, participant request, or improving/worsening disease) </w:t>
            </w:r>
          </w:p>
        </w:tc>
        <w:tc>
          <w:tcPr>
            <w:tcW w:w="1260" w:type="dxa"/>
          </w:tcPr>
          <w:p w14:paraId="76CD6F3D" w14:textId="14D8DD0E" w:rsidR="009F67E7" w:rsidRDefault="00777C70" w:rsidP="009F67E7">
            <w:pPr>
              <w:rPr>
                <w:rFonts w:ascii="Calibri" w:eastAsia="Calibri" w:hAnsi="Calibri" w:cs="Calibri"/>
                <w:sz w:val="20"/>
                <w:szCs w:val="20"/>
              </w:rPr>
            </w:pPr>
            <w:r>
              <w:rPr>
                <w:rFonts w:ascii="Calibri" w:eastAsia="Calibri" w:hAnsi="Calibri" w:cs="Calibri"/>
                <w:sz w:val="20"/>
                <w:szCs w:val="20"/>
              </w:rPr>
              <w:t>NA</w:t>
            </w:r>
          </w:p>
        </w:tc>
      </w:tr>
      <w:tr w:rsidR="009F67E7" w14:paraId="26BBF837" w14:textId="42317544" w:rsidTr="00E94F88">
        <w:trPr>
          <w:trHeight w:val="416"/>
        </w:trPr>
        <w:tc>
          <w:tcPr>
            <w:tcW w:w="2405" w:type="dxa"/>
            <w:vMerge/>
          </w:tcPr>
          <w:p w14:paraId="3526890F"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264C78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15c</w:t>
            </w:r>
          </w:p>
        </w:tc>
        <w:tc>
          <w:tcPr>
            <w:tcW w:w="8723" w:type="dxa"/>
          </w:tcPr>
          <w:p w14:paraId="0F46B5DF" w14:textId="2F1F97AE" w:rsidR="009F67E7" w:rsidRDefault="009F67E7" w:rsidP="009F67E7">
            <w:pPr>
              <w:rPr>
                <w:rFonts w:ascii="Calibri" w:eastAsia="Calibri" w:hAnsi="Calibri" w:cs="Calibri"/>
                <w:sz w:val="20"/>
                <w:szCs w:val="20"/>
              </w:rPr>
            </w:pPr>
            <w:r>
              <w:rPr>
                <w:rFonts w:ascii="Calibri" w:eastAsia="Calibri" w:hAnsi="Calibri" w:cs="Calibri"/>
                <w:sz w:val="20"/>
                <w:szCs w:val="20"/>
              </w:rPr>
              <w:t>Strategies to improve adherence to intervention/comparator protocols, if applicable, and any procedures for monitoring adherence (e.g., drug tablet return, sessions attended)</w:t>
            </w:r>
          </w:p>
        </w:tc>
        <w:tc>
          <w:tcPr>
            <w:tcW w:w="1260" w:type="dxa"/>
          </w:tcPr>
          <w:p w14:paraId="7E6C8026" w14:textId="01DF3CF5" w:rsidR="009F67E7" w:rsidRDefault="00777C70" w:rsidP="009F67E7">
            <w:pPr>
              <w:rPr>
                <w:rFonts w:ascii="Calibri" w:eastAsia="Calibri" w:hAnsi="Calibri" w:cs="Calibri"/>
                <w:sz w:val="20"/>
                <w:szCs w:val="20"/>
              </w:rPr>
            </w:pPr>
            <w:r>
              <w:rPr>
                <w:rFonts w:ascii="Calibri" w:eastAsia="Calibri" w:hAnsi="Calibri" w:cs="Calibri"/>
                <w:sz w:val="20"/>
                <w:szCs w:val="20"/>
              </w:rPr>
              <w:t>NA</w:t>
            </w:r>
          </w:p>
        </w:tc>
      </w:tr>
      <w:tr w:rsidR="009F67E7" w14:paraId="4816AE84" w14:textId="237D38D4" w:rsidTr="00E94F88">
        <w:trPr>
          <w:trHeight w:val="211"/>
        </w:trPr>
        <w:tc>
          <w:tcPr>
            <w:tcW w:w="2405" w:type="dxa"/>
            <w:vMerge/>
          </w:tcPr>
          <w:p w14:paraId="142E256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95DCEF0"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15d</w:t>
            </w:r>
          </w:p>
        </w:tc>
        <w:tc>
          <w:tcPr>
            <w:tcW w:w="8723" w:type="dxa"/>
          </w:tcPr>
          <w:p w14:paraId="2ED8A3F5" w14:textId="35CFA444" w:rsidR="009F67E7" w:rsidRDefault="009F67E7" w:rsidP="009F67E7">
            <w:pPr>
              <w:rPr>
                <w:rFonts w:ascii="Calibri" w:eastAsia="Calibri" w:hAnsi="Calibri" w:cs="Calibri"/>
                <w:sz w:val="20"/>
                <w:szCs w:val="20"/>
              </w:rPr>
            </w:pPr>
            <w:r>
              <w:rPr>
                <w:rFonts w:ascii="Calibri" w:eastAsia="Calibri" w:hAnsi="Calibri" w:cs="Calibri"/>
                <w:sz w:val="20"/>
                <w:szCs w:val="20"/>
              </w:rPr>
              <w:t>Concomitant care that is permitted or prohibited during the trial</w:t>
            </w:r>
          </w:p>
        </w:tc>
        <w:tc>
          <w:tcPr>
            <w:tcW w:w="1260" w:type="dxa"/>
          </w:tcPr>
          <w:p w14:paraId="15F9DCC8" w14:textId="5DD0F950" w:rsidR="009F67E7" w:rsidRDefault="00777C70" w:rsidP="009F67E7">
            <w:pPr>
              <w:rPr>
                <w:rFonts w:ascii="Calibri" w:eastAsia="Calibri" w:hAnsi="Calibri" w:cs="Calibri"/>
                <w:sz w:val="20"/>
                <w:szCs w:val="20"/>
              </w:rPr>
            </w:pPr>
            <w:r>
              <w:rPr>
                <w:rFonts w:ascii="Calibri" w:eastAsia="Calibri" w:hAnsi="Calibri" w:cs="Calibri"/>
                <w:sz w:val="20"/>
                <w:szCs w:val="20"/>
              </w:rPr>
              <w:t>NA</w:t>
            </w:r>
          </w:p>
        </w:tc>
      </w:tr>
      <w:tr w:rsidR="009F67E7" w14:paraId="0BF90379" w14:textId="2D97AE3D" w:rsidTr="00E94F88">
        <w:trPr>
          <w:trHeight w:val="531"/>
        </w:trPr>
        <w:tc>
          <w:tcPr>
            <w:tcW w:w="2405" w:type="dxa"/>
          </w:tcPr>
          <w:p w14:paraId="2931E6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Outcomes</w:t>
            </w:r>
          </w:p>
        </w:tc>
        <w:tc>
          <w:tcPr>
            <w:tcW w:w="567" w:type="dxa"/>
          </w:tcPr>
          <w:p w14:paraId="7A721E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16</w:t>
            </w:r>
          </w:p>
        </w:tc>
        <w:tc>
          <w:tcPr>
            <w:tcW w:w="8723" w:type="dxa"/>
          </w:tcPr>
          <w:p w14:paraId="0705FE4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w:t>
            </w:r>
            <w:r>
              <w:rPr>
                <w:rFonts w:ascii="Calibri" w:eastAsia="Calibri" w:hAnsi="Calibri" w:cs="Calibri"/>
                <w:color w:val="000000"/>
                <w:sz w:val="20"/>
                <w:szCs w:val="20"/>
              </w:rPr>
              <w:t>rimary and secondary outcomes, including the specific measurement variable (e</w:t>
            </w:r>
            <w:r>
              <w:rPr>
                <w:rFonts w:ascii="Calibri" w:eastAsia="Calibri" w:hAnsi="Calibri" w:cs="Calibri"/>
                <w:sz w:val="20"/>
                <w:szCs w:val="20"/>
              </w:rPr>
              <w:t xml:space="preserve">.g., systolic blood pressure), analysis metric (e.g., change from baseline, final value, time to event), method of aggregation (e.g., median, proportion), and time point for each outcome </w:t>
            </w:r>
          </w:p>
        </w:tc>
        <w:tc>
          <w:tcPr>
            <w:tcW w:w="1260" w:type="dxa"/>
          </w:tcPr>
          <w:p w14:paraId="2F041BE0" w14:textId="5ADC8F82" w:rsidR="009F67E7" w:rsidRDefault="008A04E6" w:rsidP="009F67E7">
            <w:pPr>
              <w:rPr>
                <w:rFonts w:ascii="Calibri" w:eastAsia="Calibri" w:hAnsi="Calibri" w:cs="Calibri"/>
                <w:sz w:val="20"/>
                <w:szCs w:val="20"/>
              </w:rPr>
            </w:pPr>
            <w:r>
              <w:rPr>
                <w:rFonts w:ascii="Calibri" w:eastAsia="Calibri" w:hAnsi="Calibri" w:cs="Calibri"/>
                <w:sz w:val="20"/>
                <w:szCs w:val="20"/>
              </w:rPr>
              <w:t>11,12</w:t>
            </w:r>
          </w:p>
        </w:tc>
      </w:tr>
      <w:tr w:rsidR="009F67E7" w14:paraId="01B1DA37" w14:textId="4BAE1F50" w:rsidTr="00E94F88">
        <w:trPr>
          <w:trHeight w:val="531"/>
        </w:trPr>
        <w:tc>
          <w:tcPr>
            <w:tcW w:w="2405" w:type="dxa"/>
          </w:tcPr>
          <w:p w14:paraId="6B07015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Harms</w:t>
            </w:r>
          </w:p>
        </w:tc>
        <w:tc>
          <w:tcPr>
            <w:tcW w:w="567" w:type="dxa"/>
          </w:tcPr>
          <w:p w14:paraId="06CB2B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17</w:t>
            </w:r>
          </w:p>
        </w:tc>
        <w:tc>
          <w:tcPr>
            <w:tcW w:w="8723" w:type="dxa"/>
          </w:tcPr>
          <w:p w14:paraId="3B608A9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harms are defined and will be assessed (e.g., systematically, non-systematically)</w:t>
            </w:r>
          </w:p>
        </w:tc>
        <w:tc>
          <w:tcPr>
            <w:tcW w:w="1260" w:type="dxa"/>
          </w:tcPr>
          <w:p w14:paraId="71F43014" w14:textId="1F680EA5" w:rsidR="009F67E7" w:rsidRDefault="008A04E6" w:rsidP="009F67E7">
            <w:pPr>
              <w:rPr>
                <w:rFonts w:ascii="Calibri" w:eastAsia="Calibri" w:hAnsi="Calibri" w:cs="Calibri"/>
                <w:sz w:val="20"/>
                <w:szCs w:val="20"/>
              </w:rPr>
            </w:pPr>
            <w:r>
              <w:rPr>
                <w:rFonts w:ascii="Calibri" w:eastAsia="Calibri" w:hAnsi="Calibri" w:cs="Calibri"/>
                <w:sz w:val="20"/>
                <w:szCs w:val="20"/>
              </w:rPr>
              <w:t>12</w:t>
            </w:r>
          </w:p>
        </w:tc>
      </w:tr>
      <w:tr w:rsidR="009F67E7" w14:paraId="5CE60442" w14:textId="3FE55E4F" w:rsidTr="00E94F88">
        <w:trPr>
          <w:trHeight w:val="531"/>
        </w:trPr>
        <w:tc>
          <w:tcPr>
            <w:tcW w:w="2405" w:type="dxa"/>
          </w:tcPr>
          <w:p w14:paraId="1F0D202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Participant timeline</w:t>
            </w:r>
          </w:p>
        </w:tc>
        <w:tc>
          <w:tcPr>
            <w:tcW w:w="567" w:type="dxa"/>
          </w:tcPr>
          <w:p w14:paraId="559796D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18</w:t>
            </w:r>
          </w:p>
        </w:tc>
        <w:tc>
          <w:tcPr>
            <w:tcW w:w="8723" w:type="dxa"/>
          </w:tcPr>
          <w:p w14:paraId="3383A88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Time schedule of enrollment, interventions (including any run-ins and washouts), assessments, and visits for participants. A schematic diagram is highly recommended (see Figure)</w:t>
            </w:r>
          </w:p>
        </w:tc>
        <w:tc>
          <w:tcPr>
            <w:tcW w:w="1260" w:type="dxa"/>
          </w:tcPr>
          <w:p w14:paraId="5D5FDE08" w14:textId="749B9E24" w:rsidR="009F67E7" w:rsidRDefault="008A04E6" w:rsidP="009F67E7">
            <w:pPr>
              <w:rPr>
                <w:rFonts w:ascii="Calibri" w:eastAsia="Calibri" w:hAnsi="Calibri" w:cs="Calibri"/>
                <w:sz w:val="20"/>
                <w:szCs w:val="20"/>
              </w:rPr>
            </w:pPr>
            <w:r>
              <w:rPr>
                <w:rFonts w:ascii="Calibri" w:eastAsia="Calibri" w:hAnsi="Calibri" w:cs="Calibri"/>
                <w:sz w:val="20"/>
                <w:szCs w:val="20"/>
              </w:rPr>
              <w:t>11</w:t>
            </w:r>
          </w:p>
        </w:tc>
      </w:tr>
      <w:tr w:rsidR="009F67E7" w14:paraId="57689489" w14:textId="41D5B0DF" w:rsidTr="00E94F88">
        <w:trPr>
          <w:trHeight w:val="548"/>
        </w:trPr>
        <w:tc>
          <w:tcPr>
            <w:tcW w:w="2405" w:type="dxa"/>
          </w:tcPr>
          <w:p w14:paraId="7F3E4C6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Sample size</w:t>
            </w:r>
          </w:p>
        </w:tc>
        <w:tc>
          <w:tcPr>
            <w:tcW w:w="567" w:type="dxa"/>
          </w:tcPr>
          <w:p w14:paraId="140662B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19</w:t>
            </w:r>
          </w:p>
        </w:tc>
        <w:tc>
          <w:tcPr>
            <w:tcW w:w="8723" w:type="dxa"/>
          </w:tcPr>
          <w:p w14:paraId="5404CE3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How sample size was determined, including all assumptions supporting the sample size </w:t>
            </w:r>
            <w:r>
              <w:rPr>
                <w:rFonts w:ascii="Calibri" w:eastAsia="Calibri" w:hAnsi="Calibri" w:cs="Calibri"/>
                <w:color w:val="000000"/>
                <w:sz w:val="20"/>
                <w:szCs w:val="20"/>
              </w:rPr>
              <w:t>calculation</w:t>
            </w:r>
          </w:p>
        </w:tc>
        <w:tc>
          <w:tcPr>
            <w:tcW w:w="1260" w:type="dxa"/>
          </w:tcPr>
          <w:p w14:paraId="3DEF3E4B" w14:textId="41E3F7CD" w:rsidR="009F67E7" w:rsidRDefault="008A04E6" w:rsidP="009F67E7">
            <w:pPr>
              <w:rPr>
                <w:rFonts w:ascii="Calibri" w:eastAsia="Calibri" w:hAnsi="Calibri" w:cs="Calibri"/>
                <w:sz w:val="20"/>
                <w:szCs w:val="20"/>
              </w:rPr>
            </w:pPr>
            <w:r>
              <w:rPr>
                <w:rFonts w:ascii="Calibri" w:eastAsia="Calibri" w:hAnsi="Calibri" w:cs="Calibri"/>
                <w:sz w:val="20"/>
                <w:szCs w:val="20"/>
              </w:rPr>
              <w:t>11</w:t>
            </w:r>
          </w:p>
        </w:tc>
      </w:tr>
      <w:tr w:rsidR="009F67E7" w14:paraId="3C0CD129" w14:textId="1E359093" w:rsidTr="00E94F88">
        <w:trPr>
          <w:trHeight w:val="272"/>
        </w:trPr>
        <w:tc>
          <w:tcPr>
            <w:tcW w:w="2405" w:type="dxa"/>
          </w:tcPr>
          <w:p w14:paraId="6217233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Recruitment</w:t>
            </w:r>
          </w:p>
        </w:tc>
        <w:tc>
          <w:tcPr>
            <w:tcW w:w="567" w:type="dxa"/>
          </w:tcPr>
          <w:p w14:paraId="2CAEA77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20</w:t>
            </w:r>
          </w:p>
        </w:tc>
        <w:tc>
          <w:tcPr>
            <w:tcW w:w="8723" w:type="dxa"/>
          </w:tcPr>
          <w:p w14:paraId="435C03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Strategies for achieving adequate participant enrollment to reach target sample size</w:t>
            </w:r>
          </w:p>
        </w:tc>
        <w:tc>
          <w:tcPr>
            <w:tcW w:w="1260" w:type="dxa"/>
          </w:tcPr>
          <w:p w14:paraId="07F81C44" w14:textId="241C63E8" w:rsidR="009F67E7" w:rsidRDefault="00454B86" w:rsidP="009F67E7">
            <w:pPr>
              <w:rPr>
                <w:rFonts w:ascii="Calibri" w:eastAsia="Calibri" w:hAnsi="Calibri" w:cs="Calibri"/>
                <w:sz w:val="20"/>
                <w:szCs w:val="20"/>
              </w:rPr>
            </w:pPr>
            <w:r>
              <w:rPr>
                <w:rFonts w:ascii="Calibri" w:eastAsia="Calibri" w:hAnsi="Calibri" w:cs="Calibri"/>
                <w:sz w:val="20"/>
                <w:szCs w:val="20"/>
              </w:rPr>
              <w:t>NA</w:t>
            </w:r>
          </w:p>
        </w:tc>
      </w:tr>
      <w:tr w:rsidR="009F67E7" w14:paraId="4BA7F96C" w14:textId="54610D68" w:rsidTr="00E94F88">
        <w:trPr>
          <w:trHeight w:val="276"/>
        </w:trPr>
        <w:tc>
          <w:tcPr>
            <w:tcW w:w="11695" w:type="dxa"/>
            <w:gridSpan w:val="3"/>
            <w:shd w:val="clear" w:color="auto" w:fill="B4C6E7"/>
          </w:tcPr>
          <w:p w14:paraId="52C0DB4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 xml:space="preserve">Methods: Assignment of interventions </w:t>
            </w:r>
          </w:p>
        </w:tc>
        <w:tc>
          <w:tcPr>
            <w:tcW w:w="1260" w:type="dxa"/>
            <w:shd w:val="clear" w:color="auto" w:fill="B4C6E7"/>
          </w:tcPr>
          <w:p w14:paraId="2A4C2B2B" w14:textId="77777777" w:rsidR="009F67E7" w:rsidRDefault="009F67E7" w:rsidP="009F67E7">
            <w:pPr>
              <w:rPr>
                <w:rFonts w:ascii="Calibri" w:eastAsia="Calibri" w:hAnsi="Calibri" w:cs="Calibri"/>
                <w:b/>
                <w:sz w:val="20"/>
                <w:szCs w:val="20"/>
              </w:rPr>
            </w:pPr>
          </w:p>
        </w:tc>
      </w:tr>
      <w:tr w:rsidR="009F67E7" w14:paraId="64FAC2B5" w14:textId="4720E909" w:rsidTr="00E94F88">
        <w:trPr>
          <w:trHeight w:val="276"/>
        </w:trPr>
        <w:tc>
          <w:tcPr>
            <w:tcW w:w="2405" w:type="dxa"/>
          </w:tcPr>
          <w:p w14:paraId="06186F8B" w14:textId="79DD8750" w:rsidR="009F67E7" w:rsidRDefault="009F67E7" w:rsidP="009F67E7">
            <w:pPr>
              <w:rPr>
                <w:rFonts w:ascii="Calibri" w:eastAsia="Calibri" w:hAnsi="Calibri" w:cs="Calibri"/>
                <w:sz w:val="20"/>
                <w:szCs w:val="20"/>
              </w:rPr>
            </w:pPr>
            <w:r>
              <w:rPr>
                <w:rFonts w:ascii="Calibri" w:eastAsia="Calibri" w:hAnsi="Calibri" w:cs="Calibri"/>
                <w:sz w:val="20"/>
                <w:szCs w:val="20"/>
              </w:rPr>
              <w:t>Randomization:</w:t>
            </w:r>
          </w:p>
        </w:tc>
        <w:tc>
          <w:tcPr>
            <w:tcW w:w="567" w:type="dxa"/>
          </w:tcPr>
          <w:p w14:paraId="727BC9A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 </w:t>
            </w:r>
          </w:p>
        </w:tc>
        <w:tc>
          <w:tcPr>
            <w:tcW w:w="8723" w:type="dxa"/>
          </w:tcPr>
          <w:p w14:paraId="11F4520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w:t>
            </w:r>
          </w:p>
        </w:tc>
        <w:tc>
          <w:tcPr>
            <w:tcW w:w="1260" w:type="dxa"/>
          </w:tcPr>
          <w:p w14:paraId="5498E4FF" w14:textId="77777777" w:rsidR="009F67E7" w:rsidRDefault="009F67E7" w:rsidP="009F67E7">
            <w:pPr>
              <w:rPr>
                <w:rFonts w:ascii="Calibri" w:eastAsia="Calibri" w:hAnsi="Calibri" w:cs="Calibri"/>
                <w:sz w:val="20"/>
                <w:szCs w:val="20"/>
              </w:rPr>
            </w:pPr>
          </w:p>
        </w:tc>
      </w:tr>
      <w:tr w:rsidR="009F67E7" w14:paraId="64DFACCC" w14:textId="0895E59A" w:rsidTr="00E94F88">
        <w:trPr>
          <w:trHeight w:val="274"/>
        </w:trPr>
        <w:tc>
          <w:tcPr>
            <w:tcW w:w="2405" w:type="dxa"/>
            <w:vMerge w:val="restart"/>
          </w:tcPr>
          <w:p w14:paraId="030C8B80" w14:textId="6787F869" w:rsidR="009F67E7" w:rsidRDefault="009F67E7" w:rsidP="009F67E7">
            <w:pPr>
              <w:ind w:left="64"/>
              <w:jc w:val="both"/>
              <w:rPr>
                <w:rFonts w:ascii="Calibri" w:eastAsia="Calibri" w:hAnsi="Calibri" w:cs="Calibri"/>
                <w:sz w:val="20"/>
                <w:szCs w:val="20"/>
              </w:rPr>
            </w:pPr>
            <w:r>
              <w:rPr>
                <w:rFonts w:ascii="Calibri" w:eastAsia="Calibri" w:hAnsi="Calibri" w:cs="Calibri"/>
                <w:sz w:val="20"/>
                <w:szCs w:val="20"/>
              </w:rPr>
              <w:t xml:space="preserve"> Sequence generation</w:t>
            </w:r>
          </w:p>
          <w:p w14:paraId="135056A4"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w:t>
            </w:r>
          </w:p>
        </w:tc>
        <w:tc>
          <w:tcPr>
            <w:tcW w:w="567" w:type="dxa"/>
            <w:tcBorders>
              <w:bottom w:val="single" w:sz="4" w:space="0" w:color="000000"/>
            </w:tcBorders>
          </w:tcPr>
          <w:p w14:paraId="0C187A58"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21a</w:t>
            </w:r>
          </w:p>
        </w:tc>
        <w:tc>
          <w:tcPr>
            <w:tcW w:w="8723" w:type="dxa"/>
            <w:tcBorders>
              <w:bottom w:val="single" w:sz="4" w:space="0" w:color="000000"/>
            </w:tcBorders>
          </w:tcPr>
          <w:p w14:paraId="221A454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Who will generate the random allocation sequence and the method used </w:t>
            </w:r>
          </w:p>
        </w:tc>
        <w:tc>
          <w:tcPr>
            <w:tcW w:w="1260" w:type="dxa"/>
            <w:tcBorders>
              <w:bottom w:val="single" w:sz="4" w:space="0" w:color="000000"/>
            </w:tcBorders>
          </w:tcPr>
          <w:p w14:paraId="79960C0D" w14:textId="368F1653" w:rsidR="009F67E7" w:rsidRDefault="00454B86" w:rsidP="009F67E7">
            <w:pPr>
              <w:rPr>
                <w:rFonts w:ascii="Calibri" w:eastAsia="Calibri" w:hAnsi="Calibri" w:cs="Calibri"/>
                <w:sz w:val="20"/>
                <w:szCs w:val="20"/>
              </w:rPr>
            </w:pPr>
            <w:r>
              <w:rPr>
                <w:rFonts w:ascii="Calibri" w:eastAsia="Calibri" w:hAnsi="Calibri" w:cs="Calibri"/>
                <w:sz w:val="20"/>
                <w:szCs w:val="20"/>
              </w:rPr>
              <w:t>12</w:t>
            </w:r>
          </w:p>
        </w:tc>
      </w:tr>
      <w:tr w:rsidR="009F67E7" w14:paraId="20A72CAD" w14:textId="0C593707" w:rsidTr="00E94F88">
        <w:trPr>
          <w:trHeight w:val="274"/>
        </w:trPr>
        <w:tc>
          <w:tcPr>
            <w:tcW w:w="2405" w:type="dxa"/>
            <w:vMerge/>
          </w:tcPr>
          <w:p w14:paraId="73F4F44F" w14:textId="77777777" w:rsidR="009F67E7" w:rsidRDefault="009F67E7" w:rsidP="009F67E7">
            <w:pPr>
              <w:widowControl w:val="0"/>
              <w:pBdr>
                <w:top w:val="nil"/>
                <w:left w:val="nil"/>
                <w:bottom w:val="nil"/>
                <w:right w:val="nil"/>
                <w:between w:val="nil"/>
              </w:pBdr>
              <w:spacing w:line="276" w:lineRule="auto"/>
              <w:ind w:left="64"/>
              <w:rPr>
                <w:rFonts w:ascii="Calibri" w:eastAsia="Calibri" w:hAnsi="Calibri" w:cs="Calibri"/>
                <w:sz w:val="20"/>
                <w:szCs w:val="20"/>
              </w:rPr>
            </w:pPr>
          </w:p>
        </w:tc>
        <w:tc>
          <w:tcPr>
            <w:tcW w:w="567" w:type="dxa"/>
          </w:tcPr>
          <w:p w14:paraId="174D719D"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21b</w:t>
            </w:r>
          </w:p>
        </w:tc>
        <w:tc>
          <w:tcPr>
            <w:tcW w:w="8723" w:type="dxa"/>
          </w:tcPr>
          <w:p w14:paraId="110C51B4" w14:textId="429CF442"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Type of randomization (simple or restricted) and details of any </w:t>
            </w:r>
            <w:r>
              <w:rPr>
                <w:rFonts w:ascii="Calibri" w:eastAsia="Calibri" w:hAnsi="Calibri" w:cs="Calibri"/>
                <w:color w:val="000000"/>
                <w:sz w:val="20"/>
                <w:szCs w:val="20"/>
              </w:rPr>
              <w:t xml:space="preserve">factors for stratification. </w:t>
            </w:r>
            <w:r>
              <w:rPr>
                <w:rFonts w:ascii="Calibri" w:eastAsia="Calibri" w:hAnsi="Calibri" w:cs="Calibri"/>
                <w:sz w:val="20"/>
                <w:szCs w:val="20"/>
              </w:rPr>
              <w:t>To reduce predictability of a random sequence, other details of any planned restriction (e.g., blocking) should be provided in a separate document that is unavailable to those who enroll participants or assign interventions</w:t>
            </w:r>
          </w:p>
        </w:tc>
        <w:tc>
          <w:tcPr>
            <w:tcW w:w="1260" w:type="dxa"/>
          </w:tcPr>
          <w:p w14:paraId="55A0B506" w14:textId="19279D6E" w:rsidR="009F67E7" w:rsidRDefault="00454B86" w:rsidP="009F67E7">
            <w:pPr>
              <w:rPr>
                <w:rFonts w:ascii="Calibri" w:eastAsia="Calibri" w:hAnsi="Calibri" w:cs="Calibri"/>
                <w:sz w:val="20"/>
                <w:szCs w:val="20"/>
              </w:rPr>
            </w:pPr>
            <w:r>
              <w:rPr>
                <w:rFonts w:ascii="Calibri" w:eastAsia="Calibri" w:hAnsi="Calibri" w:cs="Calibri"/>
                <w:sz w:val="20"/>
                <w:szCs w:val="20"/>
              </w:rPr>
              <w:t>12</w:t>
            </w:r>
          </w:p>
        </w:tc>
      </w:tr>
      <w:tr w:rsidR="009F67E7" w14:paraId="7E9BE88E" w14:textId="114D8AD6" w:rsidTr="00E94F88">
        <w:trPr>
          <w:trHeight w:val="274"/>
        </w:trPr>
        <w:tc>
          <w:tcPr>
            <w:tcW w:w="2405" w:type="dxa"/>
          </w:tcPr>
          <w:p w14:paraId="017C8605"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lastRenderedPageBreak/>
              <w:t xml:space="preserve">  Allocation concealment </w:t>
            </w:r>
          </w:p>
          <w:p w14:paraId="4869AADC" w14:textId="212E0BB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mechanism</w:t>
            </w:r>
          </w:p>
        </w:tc>
        <w:tc>
          <w:tcPr>
            <w:tcW w:w="567" w:type="dxa"/>
          </w:tcPr>
          <w:p w14:paraId="18CC94BD"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22</w:t>
            </w:r>
          </w:p>
        </w:tc>
        <w:tc>
          <w:tcPr>
            <w:tcW w:w="8723" w:type="dxa"/>
          </w:tcPr>
          <w:p w14:paraId="7B72CFD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Mechanism used to implement the random allocation sequence (e.g., central computer/telephone; sequentially numbered, </w:t>
            </w:r>
            <w:r>
              <w:rPr>
                <w:rFonts w:ascii="Calibri" w:eastAsia="Calibri" w:hAnsi="Calibri" w:cs="Calibri"/>
                <w:color w:val="000000"/>
                <w:sz w:val="20"/>
                <w:szCs w:val="20"/>
              </w:rPr>
              <w:t xml:space="preserve">opaque, </w:t>
            </w:r>
            <w:r>
              <w:rPr>
                <w:rFonts w:ascii="Calibri" w:eastAsia="Calibri" w:hAnsi="Calibri" w:cs="Calibri"/>
                <w:sz w:val="20"/>
                <w:szCs w:val="20"/>
              </w:rPr>
              <w:t xml:space="preserve">sealed containers), describing any steps to conceal the sequence </w:t>
            </w:r>
            <w:r>
              <w:rPr>
                <w:rFonts w:ascii="Calibri" w:eastAsia="Calibri" w:hAnsi="Calibri" w:cs="Calibri"/>
                <w:color w:val="000000"/>
                <w:sz w:val="20"/>
                <w:szCs w:val="20"/>
              </w:rPr>
              <w:t>until</w:t>
            </w:r>
            <w:r>
              <w:rPr>
                <w:rFonts w:ascii="Calibri" w:eastAsia="Calibri" w:hAnsi="Calibri" w:cs="Calibri"/>
                <w:sz w:val="20"/>
                <w:szCs w:val="20"/>
              </w:rPr>
              <w:t xml:space="preserve"> interventions</w:t>
            </w:r>
            <w:r>
              <w:rPr>
                <w:rFonts w:ascii="Calibri" w:eastAsia="Calibri" w:hAnsi="Calibri" w:cs="Calibri"/>
                <w:color w:val="000000"/>
                <w:sz w:val="20"/>
                <w:szCs w:val="20"/>
              </w:rPr>
              <w:t xml:space="preserve"> are assigned</w:t>
            </w:r>
          </w:p>
        </w:tc>
        <w:tc>
          <w:tcPr>
            <w:tcW w:w="1260" w:type="dxa"/>
          </w:tcPr>
          <w:p w14:paraId="66D3FD8B" w14:textId="5C04EFE7" w:rsidR="009F67E7" w:rsidRDefault="00454B86" w:rsidP="009F67E7">
            <w:pPr>
              <w:rPr>
                <w:rFonts w:ascii="Calibri" w:eastAsia="Calibri" w:hAnsi="Calibri" w:cs="Calibri"/>
                <w:sz w:val="20"/>
                <w:szCs w:val="20"/>
              </w:rPr>
            </w:pPr>
            <w:r>
              <w:rPr>
                <w:rFonts w:ascii="Calibri" w:eastAsia="Calibri" w:hAnsi="Calibri" w:cs="Calibri"/>
                <w:sz w:val="20"/>
                <w:szCs w:val="20"/>
              </w:rPr>
              <w:t>12</w:t>
            </w:r>
          </w:p>
        </w:tc>
      </w:tr>
      <w:tr w:rsidR="009F67E7" w14:paraId="012B4059" w14:textId="6DB2BA79" w:rsidTr="00E94F88">
        <w:trPr>
          <w:trHeight w:val="148"/>
        </w:trPr>
        <w:tc>
          <w:tcPr>
            <w:tcW w:w="2405" w:type="dxa"/>
          </w:tcPr>
          <w:p w14:paraId="3E358932" w14:textId="6B4977A4"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Implementation</w:t>
            </w:r>
          </w:p>
          <w:p w14:paraId="26DD1583" w14:textId="77777777" w:rsidR="009F67E7" w:rsidRDefault="009F67E7" w:rsidP="009F67E7">
            <w:pPr>
              <w:ind w:left="64"/>
              <w:rPr>
                <w:rFonts w:ascii="Calibri" w:eastAsia="Calibri" w:hAnsi="Calibri" w:cs="Calibri"/>
                <w:sz w:val="20"/>
                <w:szCs w:val="20"/>
              </w:rPr>
            </w:pPr>
          </w:p>
        </w:tc>
        <w:tc>
          <w:tcPr>
            <w:tcW w:w="567" w:type="dxa"/>
          </w:tcPr>
          <w:p w14:paraId="0A8F0DF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23</w:t>
            </w:r>
          </w:p>
        </w:tc>
        <w:tc>
          <w:tcPr>
            <w:tcW w:w="8723" w:type="dxa"/>
          </w:tcPr>
          <w:p w14:paraId="2D17B298" w14:textId="1FDE4872" w:rsidR="009F67E7" w:rsidRDefault="009F67E7" w:rsidP="009F67E7">
            <w:pPr>
              <w:rPr>
                <w:rFonts w:ascii="Calibri" w:eastAsia="Calibri" w:hAnsi="Calibri" w:cs="Calibri"/>
                <w:sz w:val="20"/>
                <w:szCs w:val="20"/>
              </w:rPr>
            </w:pPr>
            <w:r>
              <w:rPr>
                <w:rFonts w:ascii="Calibri" w:eastAsia="Calibri" w:hAnsi="Calibri" w:cs="Calibri"/>
                <w:sz w:val="20"/>
                <w:szCs w:val="20"/>
              </w:rPr>
              <w:t>Whether the personnel who will enroll and those who will assign participants to the interventions will have access to the random allocation sequence</w:t>
            </w:r>
          </w:p>
        </w:tc>
        <w:tc>
          <w:tcPr>
            <w:tcW w:w="1260" w:type="dxa"/>
          </w:tcPr>
          <w:p w14:paraId="7CA8B342" w14:textId="400AFC1E" w:rsidR="009F67E7" w:rsidRDefault="00454B86" w:rsidP="009F67E7">
            <w:pPr>
              <w:rPr>
                <w:rFonts w:ascii="Calibri" w:eastAsia="Calibri" w:hAnsi="Calibri" w:cs="Calibri"/>
                <w:sz w:val="20"/>
                <w:szCs w:val="20"/>
              </w:rPr>
            </w:pPr>
            <w:r>
              <w:rPr>
                <w:rFonts w:ascii="Calibri" w:eastAsia="Calibri" w:hAnsi="Calibri" w:cs="Calibri"/>
                <w:sz w:val="20"/>
                <w:szCs w:val="20"/>
              </w:rPr>
              <w:t>12</w:t>
            </w:r>
          </w:p>
        </w:tc>
      </w:tr>
      <w:tr w:rsidR="009F67E7" w14:paraId="75FDC96E" w14:textId="6EF1DC31" w:rsidTr="00E94F88">
        <w:trPr>
          <w:trHeight w:val="300"/>
        </w:trPr>
        <w:tc>
          <w:tcPr>
            <w:tcW w:w="2405" w:type="dxa"/>
            <w:vMerge w:val="restart"/>
          </w:tcPr>
          <w:p w14:paraId="7350429D" w14:textId="5E22843A" w:rsidR="009F67E7" w:rsidRDefault="009F67E7" w:rsidP="009F67E7">
            <w:pPr>
              <w:rPr>
                <w:rFonts w:ascii="Calibri" w:eastAsia="Calibri" w:hAnsi="Calibri" w:cs="Calibri"/>
                <w:b/>
                <w:sz w:val="20"/>
                <w:szCs w:val="20"/>
              </w:rPr>
            </w:pPr>
            <w:r>
              <w:rPr>
                <w:rFonts w:ascii="Calibri" w:eastAsia="Calibri" w:hAnsi="Calibri" w:cs="Calibri"/>
                <w:sz w:val="20"/>
                <w:szCs w:val="20"/>
              </w:rPr>
              <w:t xml:space="preserve">Blinding </w:t>
            </w:r>
          </w:p>
          <w:p w14:paraId="69186849" w14:textId="77777777" w:rsidR="009F67E7" w:rsidRDefault="009F67E7" w:rsidP="009F67E7">
            <w:pPr>
              <w:rPr>
                <w:rFonts w:ascii="Calibri" w:eastAsia="Calibri" w:hAnsi="Calibri" w:cs="Calibri"/>
                <w:sz w:val="20"/>
                <w:szCs w:val="20"/>
              </w:rPr>
            </w:pPr>
          </w:p>
        </w:tc>
        <w:tc>
          <w:tcPr>
            <w:tcW w:w="567" w:type="dxa"/>
          </w:tcPr>
          <w:p w14:paraId="6865A96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24a</w:t>
            </w:r>
          </w:p>
        </w:tc>
        <w:tc>
          <w:tcPr>
            <w:tcW w:w="8723" w:type="dxa"/>
          </w:tcPr>
          <w:p w14:paraId="1F21FD4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Who will be blinded after assignment to interventions (e.g., participants, care providers, outcome assessors, data analysts)</w:t>
            </w:r>
          </w:p>
        </w:tc>
        <w:tc>
          <w:tcPr>
            <w:tcW w:w="1260" w:type="dxa"/>
          </w:tcPr>
          <w:p w14:paraId="4F992F52" w14:textId="6CA21349" w:rsidR="009F67E7" w:rsidRDefault="00454B86" w:rsidP="009F67E7">
            <w:pPr>
              <w:rPr>
                <w:rFonts w:ascii="Calibri" w:eastAsia="Calibri" w:hAnsi="Calibri" w:cs="Calibri"/>
                <w:sz w:val="20"/>
                <w:szCs w:val="20"/>
              </w:rPr>
            </w:pPr>
            <w:r>
              <w:rPr>
                <w:rFonts w:ascii="Calibri" w:eastAsia="Calibri" w:hAnsi="Calibri" w:cs="Calibri"/>
                <w:sz w:val="20"/>
                <w:szCs w:val="20"/>
              </w:rPr>
              <w:t>12</w:t>
            </w:r>
          </w:p>
        </w:tc>
      </w:tr>
      <w:tr w:rsidR="009F67E7" w14:paraId="536C42CD" w14:textId="42B94FCE" w:rsidTr="00E94F88">
        <w:trPr>
          <w:trHeight w:val="300"/>
        </w:trPr>
        <w:tc>
          <w:tcPr>
            <w:tcW w:w="2405" w:type="dxa"/>
            <w:vMerge/>
          </w:tcPr>
          <w:p w14:paraId="242575DA"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C26ED75"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24b</w:t>
            </w:r>
          </w:p>
        </w:tc>
        <w:tc>
          <w:tcPr>
            <w:tcW w:w="8723" w:type="dxa"/>
          </w:tcPr>
          <w:p w14:paraId="0C70835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blinded, how blinding will be achieved and description of the similarity of interventions</w:t>
            </w:r>
          </w:p>
        </w:tc>
        <w:tc>
          <w:tcPr>
            <w:tcW w:w="1260" w:type="dxa"/>
          </w:tcPr>
          <w:p w14:paraId="5A3764B5" w14:textId="1F9A9EBE" w:rsidR="009F67E7" w:rsidRDefault="00454B86" w:rsidP="009F67E7">
            <w:pPr>
              <w:rPr>
                <w:rFonts w:ascii="Calibri" w:eastAsia="Calibri" w:hAnsi="Calibri" w:cs="Calibri"/>
                <w:sz w:val="20"/>
                <w:szCs w:val="20"/>
              </w:rPr>
            </w:pPr>
            <w:r>
              <w:rPr>
                <w:rFonts w:ascii="Calibri" w:eastAsia="Calibri" w:hAnsi="Calibri" w:cs="Calibri"/>
                <w:sz w:val="20"/>
                <w:szCs w:val="20"/>
              </w:rPr>
              <w:t>12</w:t>
            </w:r>
          </w:p>
        </w:tc>
      </w:tr>
      <w:tr w:rsidR="009F67E7" w14:paraId="6CA39C55" w14:textId="1A1F498D" w:rsidTr="00E94F88">
        <w:trPr>
          <w:trHeight w:val="463"/>
        </w:trPr>
        <w:tc>
          <w:tcPr>
            <w:tcW w:w="2405" w:type="dxa"/>
            <w:vMerge/>
          </w:tcPr>
          <w:p w14:paraId="7B4B9F44"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1F29EA04"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24c</w:t>
            </w:r>
          </w:p>
        </w:tc>
        <w:tc>
          <w:tcPr>
            <w:tcW w:w="8723" w:type="dxa"/>
          </w:tcPr>
          <w:p w14:paraId="26036E1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blinded, circumstances under which unblinding is permissible, and procedure for revealing a participant’s allocated intervention during the trial</w:t>
            </w:r>
          </w:p>
        </w:tc>
        <w:tc>
          <w:tcPr>
            <w:tcW w:w="1260" w:type="dxa"/>
          </w:tcPr>
          <w:p w14:paraId="3D5558E0" w14:textId="6CCF8722" w:rsidR="009F67E7" w:rsidRDefault="0004596A" w:rsidP="009F67E7">
            <w:pPr>
              <w:rPr>
                <w:rFonts w:ascii="Calibri" w:eastAsia="Calibri" w:hAnsi="Calibri" w:cs="Calibri"/>
                <w:sz w:val="20"/>
                <w:szCs w:val="20"/>
              </w:rPr>
            </w:pPr>
            <w:r>
              <w:rPr>
                <w:rFonts w:ascii="Calibri" w:eastAsia="Calibri" w:hAnsi="Calibri" w:cs="Calibri"/>
                <w:sz w:val="20"/>
                <w:szCs w:val="20"/>
              </w:rPr>
              <w:t>NA</w:t>
            </w:r>
          </w:p>
        </w:tc>
      </w:tr>
      <w:tr w:rsidR="009F67E7" w14:paraId="3C140AAD" w14:textId="0E3F5B20" w:rsidTr="00E94F88">
        <w:trPr>
          <w:trHeight w:val="276"/>
        </w:trPr>
        <w:tc>
          <w:tcPr>
            <w:tcW w:w="11695" w:type="dxa"/>
            <w:gridSpan w:val="3"/>
            <w:shd w:val="clear" w:color="auto" w:fill="B4C6E7"/>
          </w:tcPr>
          <w:p w14:paraId="5BB14E41"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Data collection, management, and analysis</w:t>
            </w:r>
          </w:p>
        </w:tc>
        <w:tc>
          <w:tcPr>
            <w:tcW w:w="1260" w:type="dxa"/>
            <w:shd w:val="clear" w:color="auto" w:fill="B4C6E7"/>
          </w:tcPr>
          <w:p w14:paraId="2F97949F" w14:textId="77777777" w:rsidR="009F67E7" w:rsidRDefault="009F67E7" w:rsidP="009F67E7">
            <w:pPr>
              <w:rPr>
                <w:rFonts w:ascii="Calibri" w:eastAsia="Calibri" w:hAnsi="Calibri" w:cs="Calibri"/>
                <w:b/>
                <w:sz w:val="20"/>
                <w:szCs w:val="20"/>
              </w:rPr>
            </w:pPr>
          </w:p>
        </w:tc>
      </w:tr>
      <w:tr w:rsidR="009F67E7" w14:paraId="12AAF050" w14:textId="652D61DD" w:rsidTr="00E94F88">
        <w:trPr>
          <w:trHeight w:val="762"/>
        </w:trPr>
        <w:tc>
          <w:tcPr>
            <w:tcW w:w="2405" w:type="dxa"/>
            <w:vMerge w:val="restart"/>
          </w:tcPr>
          <w:p w14:paraId="67EA5A6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collection methods</w:t>
            </w:r>
          </w:p>
        </w:tc>
        <w:tc>
          <w:tcPr>
            <w:tcW w:w="567" w:type="dxa"/>
          </w:tcPr>
          <w:p w14:paraId="2499F25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25a</w:t>
            </w:r>
          </w:p>
        </w:tc>
        <w:tc>
          <w:tcPr>
            <w:tcW w:w="8723" w:type="dxa"/>
          </w:tcPr>
          <w:p w14:paraId="40F1ADF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assessment and collection of trial data, including any related processes to promote data quality (e.g., duplicate measurements, training of assessors) and a description of trial instruments (e.g., questionnaires, laboratory tests) along with their reliability and validity, if known. Reference to where data collection forms can be accessed, if not in the protocol</w:t>
            </w:r>
          </w:p>
        </w:tc>
        <w:tc>
          <w:tcPr>
            <w:tcW w:w="1260" w:type="dxa"/>
          </w:tcPr>
          <w:p w14:paraId="19104DC7" w14:textId="1A98E9CA" w:rsidR="009F67E7" w:rsidRDefault="0004596A" w:rsidP="009F67E7">
            <w:pPr>
              <w:rPr>
                <w:rFonts w:ascii="Calibri" w:eastAsia="Calibri" w:hAnsi="Calibri" w:cs="Calibri"/>
                <w:sz w:val="20"/>
                <w:szCs w:val="20"/>
              </w:rPr>
            </w:pPr>
            <w:r>
              <w:rPr>
                <w:rFonts w:ascii="Calibri" w:eastAsia="Calibri" w:hAnsi="Calibri" w:cs="Calibri"/>
                <w:sz w:val="20"/>
                <w:szCs w:val="20"/>
              </w:rPr>
              <w:t>Hard copy with the author along with soft copy uploaded in excel</w:t>
            </w:r>
          </w:p>
        </w:tc>
      </w:tr>
      <w:tr w:rsidR="009F67E7" w14:paraId="3DC70F88" w14:textId="218493C0" w:rsidTr="00E94F88">
        <w:trPr>
          <w:trHeight w:val="416"/>
        </w:trPr>
        <w:tc>
          <w:tcPr>
            <w:tcW w:w="2405" w:type="dxa"/>
            <w:vMerge/>
          </w:tcPr>
          <w:p w14:paraId="42D1E6E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099434D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25b</w:t>
            </w:r>
          </w:p>
        </w:tc>
        <w:tc>
          <w:tcPr>
            <w:tcW w:w="8723" w:type="dxa"/>
          </w:tcPr>
          <w:p w14:paraId="15BAE3E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to promote participant retention and complete follow-up, including list of any outcome data to be collected for participants who discontinue or deviate from intervention protocols</w:t>
            </w:r>
          </w:p>
        </w:tc>
        <w:tc>
          <w:tcPr>
            <w:tcW w:w="1260" w:type="dxa"/>
          </w:tcPr>
          <w:p w14:paraId="7624F906" w14:textId="7A207666" w:rsidR="009F67E7" w:rsidRDefault="0004596A" w:rsidP="009F67E7">
            <w:pPr>
              <w:rPr>
                <w:rFonts w:ascii="Calibri" w:eastAsia="Calibri" w:hAnsi="Calibri" w:cs="Calibri"/>
                <w:sz w:val="20"/>
                <w:szCs w:val="20"/>
              </w:rPr>
            </w:pPr>
            <w:r>
              <w:rPr>
                <w:rFonts w:ascii="Calibri" w:eastAsia="Calibri" w:hAnsi="Calibri" w:cs="Calibri"/>
                <w:sz w:val="20"/>
                <w:szCs w:val="20"/>
              </w:rPr>
              <w:t>NA</w:t>
            </w:r>
          </w:p>
        </w:tc>
      </w:tr>
      <w:tr w:rsidR="009F67E7" w14:paraId="64A69930" w14:textId="037257F0" w:rsidTr="00E94F88">
        <w:trPr>
          <w:trHeight w:val="447"/>
        </w:trPr>
        <w:tc>
          <w:tcPr>
            <w:tcW w:w="2405" w:type="dxa"/>
          </w:tcPr>
          <w:p w14:paraId="18ABA7B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management</w:t>
            </w:r>
          </w:p>
        </w:tc>
        <w:tc>
          <w:tcPr>
            <w:tcW w:w="567" w:type="dxa"/>
          </w:tcPr>
          <w:p w14:paraId="0C4E63D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26</w:t>
            </w:r>
          </w:p>
        </w:tc>
        <w:tc>
          <w:tcPr>
            <w:tcW w:w="8723" w:type="dxa"/>
          </w:tcPr>
          <w:p w14:paraId="3657E2D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data entry, coding, security, and storage, including any related processes to promote data quality (e.g., double data entry; range checks for data values). Reference to where details of data management procedures can be accessed, if not in the protocol</w:t>
            </w:r>
          </w:p>
        </w:tc>
        <w:tc>
          <w:tcPr>
            <w:tcW w:w="1260" w:type="dxa"/>
          </w:tcPr>
          <w:p w14:paraId="54A4564C" w14:textId="4C563A74" w:rsidR="009F67E7" w:rsidRDefault="0004596A" w:rsidP="009F67E7">
            <w:pPr>
              <w:rPr>
                <w:rFonts w:ascii="Calibri" w:eastAsia="Calibri" w:hAnsi="Calibri" w:cs="Calibri"/>
                <w:sz w:val="20"/>
                <w:szCs w:val="20"/>
              </w:rPr>
            </w:pPr>
            <w:r>
              <w:rPr>
                <w:rFonts w:ascii="Calibri" w:eastAsia="Calibri" w:hAnsi="Calibri" w:cs="Calibri"/>
                <w:sz w:val="20"/>
                <w:szCs w:val="20"/>
              </w:rPr>
              <w:t>NA</w:t>
            </w:r>
          </w:p>
        </w:tc>
      </w:tr>
      <w:tr w:rsidR="009F67E7" w14:paraId="0EF72544" w14:textId="3F8F7FB8" w:rsidTr="00E94F88">
        <w:trPr>
          <w:trHeight w:val="347"/>
        </w:trPr>
        <w:tc>
          <w:tcPr>
            <w:tcW w:w="2405" w:type="dxa"/>
            <w:vMerge w:val="restart"/>
          </w:tcPr>
          <w:p w14:paraId="664FB80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Statistical methods</w:t>
            </w:r>
          </w:p>
        </w:tc>
        <w:tc>
          <w:tcPr>
            <w:tcW w:w="567" w:type="dxa"/>
          </w:tcPr>
          <w:p w14:paraId="1B53CC7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27a</w:t>
            </w:r>
          </w:p>
        </w:tc>
        <w:tc>
          <w:tcPr>
            <w:tcW w:w="8723" w:type="dxa"/>
          </w:tcPr>
          <w:p w14:paraId="78D7EEF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Statistical methods used to compare groups for primary and secondary outcomes, including harms </w:t>
            </w:r>
          </w:p>
        </w:tc>
        <w:tc>
          <w:tcPr>
            <w:tcW w:w="1260" w:type="dxa"/>
          </w:tcPr>
          <w:p w14:paraId="7F239513" w14:textId="6DD6F9A7" w:rsidR="009F67E7" w:rsidRDefault="0004596A" w:rsidP="009F67E7">
            <w:pPr>
              <w:rPr>
                <w:rFonts w:ascii="Calibri" w:eastAsia="Calibri" w:hAnsi="Calibri" w:cs="Calibri"/>
                <w:sz w:val="20"/>
                <w:szCs w:val="20"/>
              </w:rPr>
            </w:pPr>
            <w:r>
              <w:rPr>
                <w:rFonts w:ascii="Calibri" w:eastAsia="Calibri" w:hAnsi="Calibri" w:cs="Calibri"/>
                <w:sz w:val="20"/>
                <w:szCs w:val="20"/>
              </w:rPr>
              <w:t>11,12,13</w:t>
            </w:r>
          </w:p>
        </w:tc>
      </w:tr>
      <w:tr w:rsidR="009F67E7" w14:paraId="4923AD0E" w14:textId="131AF4F0" w:rsidTr="00E94F88">
        <w:trPr>
          <w:trHeight w:val="424"/>
        </w:trPr>
        <w:tc>
          <w:tcPr>
            <w:tcW w:w="2405" w:type="dxa"/>
            <w:vMerge/>
          </w:tcPr>
          <w:p w14:paraId="3A5D69B6"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CAD33F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27b</w:t>
            </w:r>
          </w:p>
        </w:tc>
        <w:tc>
          <w:tcPr>
            <w:tcW w:w="8723" w:type="dxa"/>
          </w:tcPr>
          <w:p w14:paraId="0BAEBA09" w14:textId="1A536CE8"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Definition of who will be included in each analysis (e.g., all randomized participants), and in which group</w:t>
            </w:r>
          </w:p>
        </w:tc>
        <w:tc>
          <w:tcPr>
            <w:tcW w:w="1260" w:type="dxa"/>
          </w:tcPr>
          <w:p w14:paraId="0C33588F" w14:textId="0CFE4347" w:rsidR="009F67E7" w:rsidRDefault="0004596A" w:rsidP="009F67E7">
            <w:pPr>
              <w:rPr>
                <w:rFonts w:ascii="Calibri" w:eastAsia="Calibri" w:hAnsi="Calibri" w:cs="Calibri"/>
                <w:color w:val="000000"/>
                <w:sz w:val="20"/>
                <w:szCs w:val="20"/>
              </w:rPr>
            </w:pPr>
            <w:r>
              <w:rPr>
                <w:rFonts w:ascii="Calibri" w:eastAsia="Calibri" w:hAnsi="Calibri" w:cs="Calibri"/>
                <w:color w:val="000000"/>
                <w:sz w:val="20"/>
                <w:szCs w:val="20"/>
              </w:rPr>
              <w:t>13</w:t>
            </w:r>
          </w:p>
        </w:tc>
      </w:tr>
      <w:tr w:rsidR="009F67E7" w14:paraId="3CA8711C" w14:textId="28D9105C" w:rsidTr="00E94F88">
        <w:trPr>
          <w:trHeight w:val="306"/>
        </w:trPr>
        <w:tc>
          <w:tcPr>
            <w:tcW w:w="2405" w:type="dxa"/>
            <w:vMerge/>
          </w:tcPr>
          <w:p w14:paraId="78B2DE5B"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010934F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27c</w:t>
            </w:r>
          </w:p>
        </w:tc>
        <w:tc>
          <w:tcPr>
            <w:tcW w:w="8723" w:type="dxa"/>
          </w:tcPr>
          <w:p w14:paraId="5941640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missing data</w:t>
            </w:r>
            <w:r>
              <w:rPr>
                <w:rFonts w:ascii="Helvetica Neue" w:eastAsia="Helvetica Neue" w:hAnsi="Helvetica Neue" w:cs="Helvetica Neue"/>
                <w:color w:val="3F3F3F"/>
                <w:sz w:val="26"/>
                <w:szCs w:val="26"/>
              </w:rPr>
              <w:t xml:space="preserve"> </w:t>
            </w:r>
            <w:r>
              <w:rPr>
                <w:rFonts w:ascii="Calibri" w:eastAsia="Calibri" w:hAnsi="Calibri" w:cs="Calibri"/>
                <w:sz w:val="20"/>
                <w:szCs w:val="20"/>
              </w:rPr>
              <w:t>will be handled in the analysis</w:t>
            </w:r>
          </w:p>
        </w:tc>
        <w:tc>
          <w:tcPr>
            <w:tcW w:w="1260" w:type="dxa"/>
          </w:tcPr>
          <w:p w14:paraId="2A556BEB" w14:textId="53C0D6F4" w:rsidR="009F67E7" w:rsidRDefault="0004596A" w:rsidP="009F67E7">
            <w:pPr>
              <w:rPr>
                <w:rFonts w:ascii="Calibri" w:eastAsia="Calibri" w:hAnsi="Calibri" w:cs="Calibri"/>
                <w:sz w:val="20"/>
                <w:szCs w:val="20"/>
              </w:rPr>
            </w:pPr>
            <w:r>
              <w:rPr>
                <w:rFonts w:ascii="Calibri" w:eastAsia="Calibri" w:hAnsi="Calibri" w:cs="Calibri"/>
                <w:sz w:val="20"/>
                <w:szCs w:val="20"/>
              </w:rPr>
              <w:t>NA</w:t>
            </w:r>
          </w:p>
        </w:tc>
      </w:tr>
      <w:tr w:rsidR="009F67E7" w14:paraId="72B524F3" w14:textId="2A19EFB0" w:rsidTr="00E94F88">
        <w:trPr>
          <w:trHeight w:val="306"/>
        </w:trPr>
        <w:tc>
          <w:tcPr>
            <w:tcW w:w="2405" w:type="dxa"/>
            <w:vMerge/>
          </w:tcPr>
          <w:p w14:paraId="2508266D"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4B6E29D"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27d</w:t>
            </w:r>
          </w:p>
        </w:tc>
        <w:tc>
          <w:tcPr>
            <w:tcW w:w="8723" w:type="dxa"/>
          </w:tcPr>
          <w:p w14:paraId="372071A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Methods for any additional analyses (e.g., subgroup and sensitivity analyses)</w:t>
            </w:r>
          </w:p>
        </w:tc>
        <w:tc>
          <w:tcPr>
            <w:tcW w:w="1260" w:type="dxa"/>
          </w:tcPr>
          <w:p w14:paraId="400CFA32" w14:textId="1C7F84FF" w:rsidR="009F67E7" w:rsidRDefault="0004596A" w:rsidP="009F67E7">
            <w:pPr>
              <w:rPr>
                <w:rFonts w:ascii="Calibri" w:eastAsia="Calibri" w:hAnsi="Calibri" w:cs="Calibri"/>
                <w:sz w:val="20"/>
                <w:szCs w:val="20"/>
              </w:rPr>
            </w:pPr>
            <w:r>
              <w:rPr>
                <w:rFonts w:ascii="Calibri" w:eastAsia="Calibri" w:hAnsi="Calibri" w:cs="Calibri"/>
                <w:sz w:val="20"/>
                <w:szCs w:val="20"/>
              </w:rPr>
              <w:t>12</w:t>
            </w:r>
          </w:p>
        </w:tc>
      </w:tr>
      <w:tr w:rsidR="009F67E7" w14:paraId="7AC4192E" w14:textId="4CE7200A" w:rsidTr="00E94F88">
        <w:trPr>
          <w:trHeight w:val="276"/>
        </w:trPr>
        <w:tc>
          <w:tcPr>
            <w:tcW w:w="11695" w:type="dxa"/>
            <w:gridSpan w:val="3"/>
            <w:shd w:val="clear" w:color="auto" w:fill="B4C6E7"/>
          </w:tcPr>
          <w:p w14:paraId="2A578633"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Monitoring</w:t>
            </w:r>
          </w:p>
        </w:tc>
        <w:tc>
          <w:tcPr>
            <w:tcW w:w="1260" w:type="dxa"/>
            <w:shd w:val="clear" w:color="auto" w:fill="B4C6E7"/>
          </w:tcPr>
          <w:p w14:paraId="59C4EB3C" w14:textId="77777777" w:rsidR="009F67E7" w:rsidRDefault="009F67E7" w:rsidP="009F67E7">
            <w:pPr>
              <w:rPr>
                <w:rFonts w:ascii="Calibri" w:eastAsia="Calibri" w:hAnsi="Calibri" w:cs="Calibri"/>
                <w:b/>
                <w:sz w:val="20"/>
                <w:szCs w:val="20"/>
              </w:rPr>
            </w:pPr>
          </w:p>
        </w:tc>
      </w:tr>
      <w:tr w:rsidR="009F67E7" w14:paraId="0ECBCEC3" w14:textId="72814133" w:rsidTr="00E94F88">
        <w:trPr>
          <w:trHeight w:val="722"/>
        </w:trPr>
        <w:tc>
          <w:tcPr>
            <w:tcW w:w="2405" w:type="dxa"/>
            <w:vMerge w:val="restart"/>
          </w:tcPr>
          <w:p w14:paraId="500704E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monitoring committee</w:t>
            </w:r>
          </w:p>
        </w:tc>
        <w:tc>
          <w:tcPr>
            <w:tcW w:w="567" w:type="dxa"/>
          </w:tcPr>
          <w:p w14:paraId="3854E4D2"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28a</w:t>
            </w:r>
          </w:p>
        </w:tc>
        <w:tc>
          <w:tcPr>
            <w:tcW w:w="8723" w:type="dxa"/>
          </w:tcPr>
          <w:p w14:paraId="2BDB154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Composition of data monitoring committee (DMC); summary of its role and reporting structure; statement of whether it is independent from the sponsor and funder; </w:t>
            </w:r>
            <w:r>
              <w:rPr>
                <w:rFonts w:ascii="Calibri" w:eastAsia="Calibri" w:hAnsi="Calibri" w:cs="Calibri"/>
                <w:color w:val="000000"/>
                <w:sz w:val="20"/>
                <w:szCs w:val="20"/>
              </w:rPr>
              <w:t>conflicts of interest</w:t>
            </w:r>
            <w:r>
              <w:rPr>
                <w:rFonts w:ascii="Calibri" w:eastAsia="Calibri" w:hAnsi="Calibri" w:cs="Calibri"/>
                <w:sz w:val="20"/>
                <w:szCs w:val="20"/>
              </w:rPr>
              <w:t xml:space="preserve"> and reference to where further details about its charter can be found, if not in the protocol. Alternatively, an explanation of why a DMC is not needed</w:t>
            </w:r>
          </w:p>
        </w:tc>
        <w:tc>
          <w:tcPr>
            <w:tcW w:w="1260" w:type="dxa"/>
          </w:tcPr>
          <w:p w14:paraId="63AF2AA6" w14:textId="52FF8E71" w:rsidR="009F67E7" w:rsidRDefault="0004596A" w:rsidP="009F67E7">
            <w:pPr>
              <w:rPr>
                <w:rFonts w:ascii="Calibri" w:eastAsia="Calibri" w:hAnsi="Calibri" w:cs="Calibri"/>
                <w:sz w:val="20"/>
                <w:szCs w:val="20"/>
              </w:rPr>
            </w:pPr>
            <w:r>
              <w:rPr>
                <w:rFonts w:ascii="Calibri" w:eastAsia="Calibri" w:hAnsi="Calibri" w:cs="Calibri"/>
                <w:sz w:val="20"/>
                <w:szCs w:val="20"/>
              </w:rPr>
              <w:t>14</w:t>
            </w:r>
          </w:p>
        </w:tc>
      </w:tr>
      <w:tr w:rsidR="009F67E7" w14:paraId="10CBAFC2" w14:textId="52041C83" w:rsidTr="00E94F88">
        <w:trPr>
          <w:trHeight w:val="463"/>
        </w:trPr>
        <w:tc>
          <w:tcPr>
            <w:tcW w:w="2405" w:type="dxa"/>
            <w:vMerge/>
          </w:tcPr>
          <w:p w14:paraId="3BC7C863"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7A5F449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28b</w:t>
            </w:r>
          </w:p>
        </w:tc>
        <w:tc>
          <w:tcPr>
            <w:tcW w:w="8723" w:type="dxa"/>
          </w:tcPr>
          <w:p w14:paraId="33D86C9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Explanation of any interim analyses and stopping guidelines, including who will have access to these interim results and make the final decision to terminate the trial</w:t>
            </w:r>
          </w:p>
        </w:tc>
        <w:tc>
          <w:tcPr>
            <w:tcW w:w="1260" w:type="dxa"/>
          </w:tcPr>
          <w:p w14:paraId="02C6B140" w14:textId="7ECA0D21" w:rsidR="009F67E7" w:rsidRDefault="0004596A" w:rsidP="009F67E7">
            <w:pPr>
              <w:rPr>
                <w:rFonts w:ascii="Calibri" w:eastAsia="Calibri" w:hAnsi="Calibri" w:cs="Calibri"/>
                <w:sz w:val="20"/>
                <w:szCs w:val="20"/>
              </w:rPr>
            </w:pPr>
            <w:r>
              <w:rPr>
                <w:rFonts w:ascii="Calibri" w:eastAsia="Calibri" w:hAnsi="Calibri" w:cs="Calibri"/>
                <w:sz w:val="20"/>
                <w:szCs w:val="20"/>
              </w:rPr>
              <w:t>14</w:t>
            </w:r>
          </w:p>
        </w:tc>
      </w:tr>
      <w:tr w:rsidR="009F67E7" w14:paraId="5504626E" w14:textId="1B8A87B2" w:rsidTr="00E94F88">
        <w:trPr>
          <w:trHeight w:val="233"/>
        </w:trPr>
        <w:tc>
          <w:tcPr>
            <w:tcW w:w="2405" w:type="dxa"/>
          </w:tcPr>
          <w:p w14:paraId="71226E7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monitoring</w:t>
            </w:r>
          </w:p>
        </w:tc>
        <w:tc>
          <w:tcPr>
            <w:tcW w:w="567" w:type="dxa"/>
          </w:tcPr>
          <w:p w14:paraId="50F45532"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29</w:t>
            </w:r>
          </w:p>
        </w:tc>
        <w:tc>
          <w:tcPr>
            <w:tcW w:w="8723" w:type="dxa"/>
          </w:tcPr>
          <w:p w14:paraId="48753F2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Frequency and procedures for monitoring trial conduct. If there is no monitoring, give explanation</w:t>
            </w:r>
          </w:p>
        </w:tc>
        <w:tc>
          <w:tcPr>
            <w:tcW w:w="1260" w:type="dxa"/>
          </w:tcPr>
          <w:p w14:paraId="2C8467EC" w14:textId="07B951FF" w:rsidR="009F67E7" w:rsidRDefault="0004596A" w:rsidP="009F67E7">
            <w:pPr>
              <w:rPr>
                <w:rFonts w:ascii="Calibri" w:eastAsia="Calibri" w:hAnsi="Calibri" w:cs="Calibri"/>
                <w:sz w:val="20"/>
                <w:szCs w:val="20"/>
              </w:rPr>
            </w:pPr>
            <w:r>
              <w:rPr>
                <w:rFonts w:ascii="Calibri" w:eastAsia="Calibri" w:hAnsi="Calibri" w:cs="Calibri"/>
                <w:sz w:val="20"/>
                <w:szCs w:val="20"/>
              </w:rPr>
              <w:t>14</w:t>
            </w:r>
          </w:p>
        </w:tc>
      </w:tr>
      <w:tr w:rsidR="009F67E7" w14:paraId="6B44D13F" w14:textId="6E939250" w:rsidTr="00E94F88">
        <w:trPr>
          <w:trHeight w:val="276"/>
        </w:trPr>
        <w:tc>
          <w:tcPr>
            <w:tcW w:w="11695" w:type="dxa"/>
            <w:gridSpan w:val="3"/>
            <w:shd w:val="clear" w:color="auto" w:fill="B4C6E7"/>
          </w:tcPr>
          <w:p w14:paraId="2440F6B2"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Ethics</w:t>
            </w:r>
          </w:p>
        </w:tc>
        <w:tc>
          <w:tcPr>
            <w:tcW w:w="1260" w:type="dxa"/>
            <w:shd w:val="clear" w:color="auto" w:fill="B4C6E7"/>
          </w:tcPr>
          <w:p w14:paraId="2E60EF24" w14:textId="77777777" w:rsidR="009F67E7" w:rsidRDefault="009F67E7" w:rsidP="009F67E7">
            <w:pPr>
              <w:rPr>
                <w:rFonts w:ascii="Calibri" w:eastAsia="Calibri" w:hAnsi="Calibri" w:cs="Calibri"/>
                <w:b/>
                <w:sz w:val="20"/>
                <w:szCs w:val="20"/>
              </w:rPr>
            </w:pPr>
          </w:p>
        </w:tc>
      </w:tr>
      <w:tr w:rsidR="009F67E7" w14:paraId="1AF0F713" w14:textId="57C2F717" w:rsidTr="00E94F88">
        <w:trPr>
          <w:trHeight w:val="274"/>
        </w:trPr>
        <w:tc>
          <w:tcPr>
            <w:tcW w:w="2405" w:type="dxa"/>
          </w:tcPr>
          <w:p w14:paraId="4A1C3BC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Research ethics approval</w:t>
            </w:r>
          </w:p>
        </w:tc>
        <w:tc>
          <w:tcPr>
            <w:tcW w:w="567" w:type="dxa"/>
          </w:tcPr>
          <w:p w14:paraId="382DE55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30</w:t>
            </w:r>
          </w:p>
        </w:tc>
        <w:tc>
          <w:tcPr>
            <w:tcW w:w="8723" w:type="dxa"/>
          </w:tcPr>
          <w:p w14:paraId="53C3D5E1"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seeking research ethics committee/institutional review board approval</w:t>
            </w:r>
          </w:p>
        </w:tc>
        <w:tc>
          <w:tcPr>
            <w:tcW w:w="1260" w:type="dxa"/>
          </w:tcPr>
          <w:p w14:paraId="6D8E2457" w14:textId="590782D2" w:rsidR="009F67E7" w:rsidRDefault="0004596A" w:rsidP="009F67E7">
            <w:pPr>
              <w:rPr>
                <w:rFonts w:ascii="Calibri" w:eastAsia="Calibri" w:hAnsi="Calibri" w:cs="Calibri"/>
                <w:sz w:val="20"/>
                <w:szCs w:val="20"/>
              </w:rPr>
            </w:pPr>
            <w:r>
              <w:rPr>
                <w:rFonts w:ascii="Calibri" w:eastAsia="Calibri" w:hAnsi="Calibri" w:cs="Calibri"/>
                <w:sz w:val="20"/>
                <w:szCs w:val="20"/>
              </w:rPr>
              <w:t>14</w:t>
            </w:r>
          </w:p>
        </w:tc>
      </w:tr>
      <w:tr w:rsidR="009F67E7" w14:paraId="1AD65FAB" w14:textId="01150888" w:rsidTr="00E94F88">
        <w:trPr>
          <w:trHeight w:val="427"/>
        </w:trPr>
        <w:tc>
          <w:tcPr>
            <w:tcW w:w="2405" w:type="dxa"/>
          </w:tcPr>
          <w:p w14:paraId="294361A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lastRenderedPageBreak/>
              <w:t>Protocol amendments</w:t>
            </w:r>
          </w:p>
        </w:tc>
        <w:tc>
          <w:tcPr>
            <w:tcW w:w="567" w:type="dxa"/>
          </w:tcPr>
          <w:p w14:paraId="19071885"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31</w:t>
            </w:r>
          </w:p>
        </w:tc>
        <w:tc>
          <w:tcPr>
            <w:tcW w:w="8723" w:type="dxa"/>
          </w:tcPr>
          <w:p w14:paraId="404464A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Plans </w:t>
            </w:r>
            <w:bookmarkStart w:id="0" w:name="_Hlk234529413"/>
            <w:r>
              <w:rPr>
                <w:rFonts w:ascii="Calibri" w:eastAsia="Calibri" w:hAnsi="Calibri" w:cs="Calibri"/>
                <w:sz w:val="20"/>
                <w:szCs w:val="20"/>
              </w:rPr>
              <w:t xml:space="preserve">for communicating important protocol modifications to relevant parties </w:t>
            </w:r>
            <w:bookmarkEnd w:id="0"/>
          </w:p>
        </w:tc>
        <w:tc>
          <w:tcPr>
            <w:tcW w:w="1260" w:type="dxa"/>
          </w:tcPr>
          <w:p w14:paraId="1EF504AD" w14:textId="3AE1A3D1" w:rsidR="009F67E7" w:rsidRDefault="0004596A" w:rsidP="009F67E7">
            <w:pPr>
              <w:rPr>
                <w:rFonts w:ascii="Calibri" w:eastAsia="Calibri" w:hAnsi="Calibri" w:cs="Calibri"/>
                <w:sz w:val="20"/>
                <w:szCs w:val="20"/>
              </w:rPr>
            </w:pPr>
            <w:r>
              <w:rPr>
                <w:rFonts w:ascii="Calibri" w:eastAsia="Calibri" w:hAnsi="Calibri" w:cs="Calibri"/>
                <w:sz w:val="20"/>
                <w:szCs w:val="20"/>
              </w:rPr>
              <w:t>14</w:t>
            </w:r>
          </w:p>
        </w:tc>
      </w:tr>
      <w:tr w:rsidR="009F67E7" w14:paraId="237A0F60" w14:textId="38C12E53" w:rsidTr="00E94F88">
        <w:trPr>
          <w:trHeight w:val="301"/>
        </w:trPr>
        <w:tc>
          <w:tcPr>
            <w:tcW w:w="2405" w:type="dxa"/>
            <w:vMerge w:val="restart"/>
          </w:tcPr>
          <w:p w14:paraId="2D20E66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Consent or assent</w:t>
            </w:r>
          </w:p>
        </w:tc>
        <w:tc>
          <w:tcPr>
            <w:tcW w:w="567" w:type="dxa"/>
          </w:tcPr>
          <w:p w14:paraId="623401F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32a</w:t>
            </w:r>
          </w:p>
        </w:tc>
        <w:tc>
          <w:tcPr>
            <w:tcW w:w="8723" w:type="dxa"/>
          </w:tcPr>
          <w:p w14:paraId="003C46F0" w14:textId="6127DECA"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Who will obtain informed consent or assent from potential trial participants or authorized proxies, and how </w:t>
            </w:r>
          </w:p>
        </w:tc>
        <w:tc>
          <w:tcPr>
            <w:tcW w:w="1260" w:type="dxa"/>
          </w:tcPr>
          <w:p w14:paraId="661B0473" w14:textId="72AB1251" w:rsidR="009F67E7" w:rsidRDefault="0004596A" w:rsidP="009F67E7">
            <w:pPr>
              <w:rPr>
                <w:rFonts w:ascii="Calibri" w:eastAsia="Calibri" w:hAnsi="Calibri" w:cs="Calibri"/>
                <w:sz w:val="20"/>
                <w:szCs w:val="20"/>
              </w:rPr>
            </w:pPr>
            <w:r>
              <w:rPr>
                <w:rFonts w:ascii="Calibri" w:eastAsia="Calibri" w:hAnsi="Calibri" w:cs="Calibri"/>
                <w:sz w:val="20"/>
                <w:szCs w:val="20"/>
              </w:rPr>
              <w:t>14</w:t>
            </w:r>
          </w:p>
        </w:tc>
      </w:tr>
      <w:tr w:rsidR="009F67E7" w14:paraId="1015F0BE" w14:textId="35868D4A" w:rsidTr="00E94F88">
        <w:trPr>
          <w:trHeight w:val="185"/>
        </w:trPr>
        <w:tc>
          <w:tcPr>
            <w:tcW w:w="2405" w:type="dxa"/>
            <w:vMerge/>
          </w:tcPr>
          <w:p w14:paraId="1CAC937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3A2304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32b</w:t>
            </w:r>
          </w:p>
        </w:tc>
        <w:tc>
          <w:tcPr>
            <w:tcW w:w="8723" w:type="dxa"/>
          </w:tcPr>
          <w:p w14:paraId="202394F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Additional consent provisions for collection and use of participant data and biological specimens in ancillary studies, if applicable</w:t>
            </w:r>
          </w:p>
        </w:tc>
        <w:tc>
          <w:tcPr>
            <w:tcW w:w="1260" w:type="dxa"/>
          </w:tcPr>
          <w:p w14:paraId="05E71DBD" w14:textId="6FA99B87" w:rsidR="009F67E7" w:rsidRDefault="0004596A" w:rsidP="009F67E7">
            <w:pPr>
              <w:rPr>
                <w:rFonts w:ascii="Calibri" w:eastAsia="Calibri" w:hAnsi="Calibri" w:cs="Calibri"/>
                <w:sz w:val="20"/>
                <w:szCs w:val="20"/>
              </w:rPr>
            </w:pPr>
            <w:r>
              <w:rPr>
                <w:rFonts w:ascii="Calibri" w:eastAsia="Calibri" w:hAnsi="Calibri" w:cs="Calibri"/>
                <w:sz w:val="20"/>
                <w:szCs w:val="20"/>
              </w:rPr>
              <w:t>14</w:t>
            </w:r>
          </w:p>
        </w:tc>
      </w:tr>
      <w:tr w:rsidR="009F67E7" w14:paraId="6E4E8610" w14:textId="0E6C8493" w:rsidTr="00E94F88">
        <w:trPr>
          <w:trHeight w:val="480"/>
        </w:trPr>
        <w:tc>
          <w:tcPr>
            <w:tcW w:w="2405" w:type="dxa"/>
          </w:tcPr>
          <w:p w14:paraId="34C160E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Confidentiality</w:t>
            </w:r>
          </w:p>
        </w:tc>
        <w:tc>
          <w:tcPr>
            <w:tcW w:w="567" w:type="dxa"/>
          </w:tcPr>
          <w:p w14:paraId="79B0048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33</w:t>
            </w:r>
          </w:p>
        </w:tc>
        <w:tc>
          <w:tcPr>
            <w:tcW w:w="8723" w:type="dxa"/>
          </w:tcPr>
          <w:p w14:paraId="70AB14EC" w14:textId="77777777" w:rsidR="009F67E7" w:rsidRDefault="009F67E7" w:rsidP="009F67E7">
            <w:pPr>
              <w:rPr>
                <w:rFonts w:ascii="Calibri" w:eastAsia="Calibri" w:hAnsi="Calibri" w:cs="Calibri"/>
                <w:sz w:val="20"/>
                <w:szCs w:val="20"/>
              </w:rPr>
            </w:pPr>
            <w:proofErr w:type="gramStart"/>
            <w:r>
              <w:rPr>
                <w:rFonts w:ascii="Calibri" w:eastAsia="Calibri" w:hAnsi="Calibri" w:cs="Calibri"/>
                <w:sz w:val="20"/>
                <w:szCs w:val="20"/>
              </w:rPr>
              <w:t>How</w:t>
            </w:r>
            <w:proofErr w:type="gramEnd"/>
            <w:r>
              <w:rPr>
                <w:rFonts w:ascii="Calibri" w:eastAsia="Calibri" w:hAnsi="Calibri" w:cs="Calibri"/>
                <w:sz w:val="20"/>
                <w:szCs w:val="20"/>
              </w:rPr>
              <w:t xml:space="preserve"> personal information about potential and enrolled participants will be collected, shared, and maintained </w:t>
            </w:r>
            <w:proofErr w:type="gramStart"/>
            <w:r>
              <w:rPr>
                <w:rFonts w:ascii="Calibri" w:eastAsia="Calibri" w:hAnsi="Calibri" w:cs="Calibri"/>
                <w:sz w:val="20"/>
                <w:szCs w:val="20"/>
              </w:rPr>
              <w:t>in order to</w:t>
            </w:r>
            <w:proofErr w:type="gramEnd"/>
            <w:r>
              <w:rPr>
                <w:rFonts w:ascii="Calibri" w:eastAsia="Calibri" w:hAnsi="Calibri" w:cs="Calibri"/>
                <w:sz w:val="20"/>
                <w:szCs w:val="20"/>
              </w:rPr>
              <w:t xml:space="preserve"> protect confidentiality before, during, and after the trial</w:t>
            </w:r>
          </w:p>
        </w:tc>
        <w:tc>
          <w:tcPr>
            <w:tcW w:w="1260" w:type="dxa"/>
          </w:tcPr>
          <w:p w14:paraId="7426B59E" w14:textId="6BD25816" w:rsidR="009F67E7" w:rsidRDefault="0004596A" w:rsidP="009F67E7">
            <w:pPr>
              <w:rPr>
                <w:rFonts w:ascii="Calibri" w:eastAsia="Calibri" w:hAnsi="Calibri" w:cs="Calibri"/>
                <w:sz w:val="20"/>
                <w:szCs w:val="20"/>
              </w:rPr>
            </w:pPr>
            <w:r>
              <w:rPr>
                <w:rFonts w:ascii="Calibri" w:eastAsia="Calibri" w:hAnsi="Calibri" w:cs="Calibri"/>
                <w:sz w:val="20"/>
                <w:szCs w:val="20"/>
              </w:rPr>
              <w:t>14</w:t>
            </w:r>
          </w:p>
        </w:tc>
      </w:tr>
      <w:tr w:rsidR="009F67E7" w14:paraId="5787D876" w14:textId="0C1273C6" w:rsidTr="00E94F88">
        <w:trPr>
          <w:trHeight w:val="361"/>
        </w:trPr>
        <w:tc>
          <w:tcPr>
            <w:tcW w:w="2405" w:type="dxa"/>
          </w:tcPr>
          <w:p w14:paraId="5579F60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Ancillary and post-trial care</w:t>
            </w:r>
          </w:p>
        </w:tc>
        <w:tc>
          <w:tcPr>
            <w:tcW w:w="567" w:type="dxa"/>
          </w:tcPr>
          <w:p w14:paraId="42E0E2E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34</w:t>
            </w:r>
          </w:p>
        </w:tc>
        <w:tc>
          <w:tcPr>
            <w:tcW w:w="8723" w:type="dxa"/>
          </w:tcPr>
          <w:p w14:paraId="486EA39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Provisions, if any, for ancillary and post-trial care, and for compensation to those who suffer harm from trial participation</w:t>
            </w:r>
          </w:p>
        </w:tc>
        <w:tc>
          <w:tcPr>
            <w:tcW w:w="1260" w:type="dxa"/>
          </w:tcPr>
          <w:p w14:paraId="3AF032B2" w14:textId="71DAD85C" w:rsidR="009F67E7" w:rsidRDefault="0004596A" w:rsidP="009F67E7">
            <w:pPr>
              <w:rPr>
                <w:rFonts w:ascii="Calibri" w:eastAsia="Calibri" w:hAnsi="Calibri" w:cs="Calibri"/>
                <w:sz w:val="20"/>
                <w:szCs w:val="20"/>
              </w:rPr>
            </w:pPr>
            <w:r>
              <w:rPr>
                <w:rFonts w:ascii="Calibri" w:eastAsia="Calibri" w:hAnsi="Calibri" w:cs="Calibri"/>
                <w:sz w:val="20"/>
                <w:szCs w:val="20"/>
              </w:rPr>
              <w:t>NA</w:t>
            </w:r>
          </w:p>
        </w:tc>
      </w:tr>
    </w:tbl>
    <w:p w14:paraId="30AB0EAB" w14:textId="6366BBB5" w:rsidR="00702F65" w:rsidRDefault="00702F65" w:rsidP="006A5AEC">
      <w:pPr>
        <w:rPr>
          <w:rFonts w:ascii="Calibri" w:eastAsia="Calibri" w:hAnsi="Calibri" w:cs="Calibri"/>
        </w:rPr>
      </w:pPr>
    </w:p>
    <w:p w14:paraId="54C08E11" w14:textId="2F591B9E"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xml:space="preserve">*We strongly recommend reading this checklist in conjunction with the SPIRIT 2025 Explanation and Elaboration </w:t>
      </w:r>
      <w:r w:rsidR="006C66B2">
        <w:rPr>
          <w:rFonts w:asciiTheme="majorHAnsi" w:hAnsiTheme="majorHAnsi" w:cstheme="majorHAnsi"/>
          <w:sz w:val="20"/>
        </w:rPr>
        <w:t>and</w:t>
      </w:r>
      <w:r w:rsidR="006C66B2" w:rsidRPr="006C66B2">
        <w:rPr>
          <w:rFonts w:asciiTheme="majorHAnsi" w:hAnsiTheme="majorHAnsi" w:cstheme="majorHAnsi"/>
          <w:sz w:val="20"/>
        </w:rPr>
        <w:t xml:space="preserve"> </w:t>
      </w:r>
      <w:r w:rsidR="006C66B2" w:rsidRPr="00AA7974">
        <w:rPr>
          <w:rFonts w:asciiTheme="majorHAnsi" w:hAnsiTheme="majorHAnsi" w:cstheme="majorHAnsi"/>
          <w:sz w:val="20"/>
        </w:rPr>
        <w:t xml:space="preserve">the SPIRIT 2025 </w:t>
      </w:r>
      <w:r w:rsidR="006C66B2">
        <w:rPr>
          <w:rFonts w:asciiTheme="majorHAnsi" w:hAnsiTheme="majorHAnsi" w:cstheme="majorHAnsi"/>
          <w:sz w:val="20"/>
        </w:rPr>
        <w:t>Expanded Checklist</w:t>
      </w:r>
      <w:r w:rsidR="006C66B2" w:rsidRPr="00AA7974">
        <w:rPr>
          <w:rFonts w:asciiTheme="majorHAnsi" w:hAnsiTheme="majorHAnsi" w:cstheme="majorHAnsi"/>
          <w:sz w:val="20"/>
        </w:rPr>
        <w:t xml:space="preserve"> </w:t>
      </w:r>
      <w:r w:rsidRPr="00AA7974">
        <w:rPr>
          <w:rFonts w:asciiTheme="majorHAnsi" w:hAnsiTheme="majorHAnsi" w:cstheme="majorHAnsi"/>
          <w:sz w:val="20"/>
        </w:rPr>
        <w:t xml:space="preserve">for important clarifications on all the items. We also recommend reading relevant SPIRIT extensions. See </w:t>
      </w:r>
      <w:hyperlink r:id="rId8" w:history="1">
        <w:r w:rsidRPr="00AA7974">
          <w:rPr>
            <w:rStyle w:val="Hyperlink"/>
            <w:rFonts w:asciiTheme="majorHAnsi" w:eastAsia="Arial" w:hAnsiTheme="majorHAnsi" w:cstheme="majorHAnsi"/>
            <w:sz w:val="20"/>
          </w:rPr>
          <w:t>www.consort-spirit.org</w:t>
        </w:r>
      </w:hyperlink>
    </w:p>
    <w:p w14:paraId="7A16F352" w14:textId="77777777" w:rsidR="00AA7974" w:rsidRPr="00AA7974" w:rsidRDefault="00AA7974" w:rsidP="00AA7974">
      <w:pPr>
        <w:rPr>
          <w:rFonts w:asciiTheme="majorHAnsi" w:hAnsiTheme="majorHAnsi" w:cstheme="majorHAnsi"/>
          <w:sz w:val="20"/>
          <w:szCs w:val="20"/>
        </w:rPr>
      </w:pPr>
    </w:p>
    <w:p w14:paraId="5D818620"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xml:space="preserve">Citation: Chan A-W, </w:t>
      </w:r>
      <w:proofErr w:type="spellStart"/>
      <w:r w:rsidRPr="00AA7974">
        <w:rPr>
          <w:rFonts w:asciiTheme="majorHAnsi" w:hAnsiTheme="majorHAnsi" w:cstheme="majorHAnsi"/>
          <w:sz w:val="20"/>
        </w:rPr>
        <w:t>Boutron</w:t>
      </w:r>
      <w:proofErr w:type="spellEnd"/>
      <w:r w:rsidRPr="00AA7974">
        <w:rPr>
          <w:rFonts w:asciiTheme="majorHAnsi" w:hAnsiTheme="majorHAnsi" w:cstheme="majorHAnsi"/>
          <w:sz w:val="20"/>
        </w:rPr>
        <w:t xml:space="preserve"> I, Hopewell S, Moher D, Schulz KF, et al. SPIRIT 2025 statement: updated guideline for protocols of randomised trials. BMJ 2025;</w:t>
      </w:r>
      <w:proofErr w:type="gramStart"/>
      <w:r w:rsidRPr="00AA7974">
        <w:rPr>
          <w:rFonts w:asciiTheme="majorHAnsi" w:hAnsiTheme="majorHAnsi" w:cstheme="majorHAnsi"/>
          <w:sz w:val="20"/>
        </w:rPr>
        <w:t>389:e</w:t>
      </w:r>
      <w:proofErr w:type="gramEnd"/>
      <w:r w:rsidRPr="00AA7974">
        <w:rPr>
          <w:rFonts w:asciiTheme="majorHAnsi" w:hAnsiTheme="majorHAnsi" w:cstheme="majorHAnsi"/>
          <w:sz w:val="20"/>
        </w:rPr>
        <w:t>081477.</w:t>
      </w:r>
      <w:r w:rsidRPr="00AA7974">
        <w:rPr>
          <w:rFonts w:asciiTheme="majorHAnsi" w:hAnsiTheme="majorHAnsi" w:cstheme="majorHAnsi"/>
        </w:rPr>
        <w:t xml:space="preserve"> </w:t>
      </w:r>
      <w:hyperlink r:id="rId9" w:history="1">
        <w:r w:rsidRPr="00AA7974">
          <w:rPr>
            <w:rStyle w:val="Hyperlink"/>
            <w:rFonts w:asciiTheme="majorHAnsi" w:hAnsiTheme="majorHAnsi" w:cstheme="majorHAnsi"/>
            <w:sz w:val="20"/>
          </w:rPr>
          <w:t>https://dx.doi.org/10.1136/bmj-2024-081477</w:t>
        </w:r>
      </w:hyperlink>
    </w:p>
    <w:p w14:paraId="4D0364D9"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p>
    <w:p w14:paraId="1640AFE7"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2025 Chan A-W et al. This is an Open Access article distributed under the terms of the Creative Commons Attribution License (</w:t>
      </w:r>
      <w:hyperlink r:id="rId10" w:history="1">
        <w:r w:rsidRPr="00AA7974">
          <w:rPr>
            <w:rStyle w:val="Hyperlink"/>
            <w:rFonts w:asciiTheme="majorHAnsi" w:eastAsia="Arial" w:hAnsiTheme="majorHAnsi" w:cstheme="majorHAnsi"/>
            <w:sz w:val="20"/>
          </w:rPr>
          <w:t>https://creativecommons.org/licenses/by/4.0/</w:t>
        </w:r>
      </w:hyperlink>
      <w:r w:rsidRPr="00AA7974">
        <w:rPr>
          <w:rFonts w:asciiTheme="majorHAnsi" w:hAnsiTheme="majorHAnsi" w:cstheme="majorHAnsi"/>
          <w:sz w:val="20"/>
        </w:rPr>
        <w:t>), which permits unrestricted use, distribution, and reproduction in any medium, provided the original work is properly cited.</w:t>
      </w:r>
    </w:p>
    <w:p w14:paraId="4AA8E6F1" w14:textId="77777777" w:rsidR="00AA7974" w:rsidRDefault="00AA7974" w:rsidP="00AA7974"/>
    <w:p w14:paraId="773C0609" w14:textId="77777777" w:rsidR="00AA7974" w:rsidRPr="00DD051C" w:rsidRDefault="00AA7974" w:rsidP="006A5AEC">
      <w:pPr>
        <w:rPr>
          <w:rFonts w:ascii="Calibri" w:eastAsia="Calibri" w:hAnsi="Calibri" w:cs="Calibri"/>
        </w:rPr>
      </w:pPr>
    </w:p>
    <w:sectPr w:rsidR="00AA7974" w:rsidRPr="00DD051C" w:rsidSect="00FB4A76">
      <w:headerReference w:type="default" r:id="rId11"/>
      <w:footerReference w:type="default" r:id="rId12"/>
      <w:pgSz w:w="15840" w:h="12240" w:orient="landscape"/>
      <w:pgMar w:top="1134" w:right="1168" w:bottom="1021" w:left="1440" w:header="720" w:footer="4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4B669" w14:textId="77777777" w:rsidR="00D5186C" w:rsidRDefault="00D5186C">
      <w:r>
        <w:separator/>
      </w:r>
    </w:p>
  </w:endnote>
  <w:endnote w:type="continuationSeparator" w:id="0">
    <w:p w14:paraId="726500E0" w14:textId="77777777" w:rsidR="00D5186C" w:rsidRDefault="00D51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911DF" w14:textId="0BE623BB" w:rsidR="00702F65" w:rsidRDefault="00834CD7">
    <w:pPr>
      <w:pBdr>
        <w:top w:val="nil"/>
        <w:left w:val="nil"/>
        <w:bottom w:val="nil"/>
        <w:right w:val="nil"/>
        <w:between w:val="nil"/>
      </w:pBdr>
      <w:tabs>
        <w:tab w:val="center" w:pos="4320"/>
        <w:tab w:val="right" w:pos="8640"/>
      </w:tabs>
      <w:jc w:val="center"/>
      <w:rPr>
        <w:rFonts w:ascii="Calibri" w:eastAsia="Calibri" w:hAnsi="Calibri" w:cs="Calibri"/>
        <w:color w:val="000000"/>
      </w:rPr>
    </w:pPr>
    <w:r>
      <w:rPr>
        <w:rFonts w:ascii="Calibri" w:eastAsia="Calibri" w:hAnsi="Calibri" w:cs="Calibri"/>
        <w:color w:val="000000"/>
      </w:rPr>
      <w:t xml:space="preserve">Page </w:t>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A826DA">
      <w:rPr>
        <w:rFonts w:ascii="Calibri" w:eastAsia="Calibri" w:hAnsi="Calibri" w:cs="Calibri"/>
        <w:noProof/>
        <w:color w:val="000000"/>
      </w:rPr>
      <w:t>2</w:t>
    </w:r>
    <w:r>
      <w:rPr>
        <w:rFonts w:ascii="Calibri" w:eastAsia="Calibri" w:hAnsi="Calibri" w:cs="Calibri"/>
        <w:color w:val="000000"/>
      </w:rPr>
      <w:fldChar w:fldCharType="end"/>
    </w:r>
    <w:r>
      <w:rPr>
        <w:rFonts w:ascii="Calibri" w:eastAsia="Calibri" w:hAnsi="Calibri" w:cs="Calibri"/>
        <w:color w:val="000000"/>
      </w:rPr>
      <w:t xml:space="preserve"> of </w:t>
    </w:r>
    <w:r>
      <w:rPr>
        <w:rFonts w:ascii="Calibri" w:eastAsia="Calibri" w:hAnsi="Calibri" w:cs="Calibri"/>
        <w:color w:val="000000"/>
      </w:rPr>
      <w:fldChar w:fldCharType="begin"/>
    </w:r>
    <w:r>
      <w:rPr>
        <w:rFonts w:ascii="Calibri" w:eastAsia="Calibri" w:hAnsi="Calibri" w:cs="Calibri"/>
        <w:color w:val="000000"/>
      </w:rPr>
      <w:instrText>NUMPAGES</w:instrText>
    </w:r>
    <w:r>
      <w:rPr>
        <w:rFonts w:ascii="Calibri" w:eastAsia="Calibri" w:hAnsi="Calibri" w:cs="Calibri"/>
        <w:color w:val="000000"/>
      </w:rPr>
      <w:fldChar w:fldCharType="separate"/>
    </w:r>
    <w:r w:rsidR="00A826DA">
      <w:rPr>
        <w:rFonts w:ascii="Calibri" w:eastAsia="Calibri" w:hAnsi="Calibri" w:cs="Calibri"/>
        <w:noProof/>
        <w:color w:val="000000"/>
      </w:rPr>
      <w:t>3</w:t>
    </w:r>
    <w:r>
      <w:rPr>
        <w:rFonts w:ascii="Calibri" w:eastAsia="Calibri" w:hAnsi="Calibri" w:cs="Calibri"/>
        <w:color w:val="000000"/>
      </w:rPr>
      <w:fldChar w:fldCharType="end"/>
    </w:r>
  </w:p>
  <w:p w14:paraId="4A1F6410" w14:textId="77777777" w:rsidR="00702F65" w:rsidRDefault="00834CD7">
    <w:pPr>
      <w:pBdr>
        <w:top w:val="nil"/>
        <w:left w:val="nil"/>
        <w:bottom w:val="nil"/>
        <w:right w:val="nil"/>
        <w:between w:val="nil"/>
      </w:pBdr>
      <w:tabs>
        <w:tab w:val="center" w:pos="4320"/>
        <w:tab w:val="right" w:pos="8640"/>
        <w:tab w:val="right" w:pos="9356"/>
      </w:tabs>
      <w:ind w:right="-710"/>
      <w:rPr>
        <w:color w:val="000000"/>
        <w:sz w:val="20"/>
        <w:szCs w:val="20"/>
      </w:rPr>
    </w:pPr>
    <w:r>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F824B" w14:textId="77777777" w:rsidR="00D5186C" w:rsidRDefault="00D5186C">
      <w:r>
        <w:separator/>
      </w:r>
    </w:p>
  </w:footnote>
  <w:footnote w:type="continuationSeparator" w:id="0">
    <w:p w14:paraId="35EFBA42" w14:textId="77777777" w:rsidR="00D5186C" w:rsidRDefault="00D518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CEA21" w14:textId="77777777" w:rsidR="00702F65" w:rsidRDefault="00702F65">
    <w:pPr>
      <w:pBdr>
        <w:top w:val="nil"/>
        <w:left w:val="nil"/>
        <w:bottom w:val="nil"/>
        <w:right w:val="nil"/>
        <w:between w:val="nil"/>
      </w:pBdr>
      <w:tabs>
        <w:tab w:val="center" w:pos="4320"/>
        <w:tab w:val="right" w:pos="8640"/>
      </w:tabs>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4834"/>
    <w:multiLevelType w:val="multilevel"/>
    <w:tmpl w:val="8D8E08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5A1296"/>
    <w:multiLevelType w:val="multilevel"/>
    <w:tmpl w:val="4F7A8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6D49D2"/>
    <w:multiLevelType w:val="multilevel"/>
    <w:tmpl w:val="9EEC48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97457332">
    <w:abstractNumId w:val="2"/>
  </w:num>
  <w:num w:numId="2" w16cid:durableId="1079595293">
    <w:abstractNumId w:val="0"/>
  </w:num>
  <w:num w:numId="3" w16cid:durableId="833838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5dstpawxw0rneeeto5s2ddex2zdapee5zp&quot;&gt;SPIRIT Statement references 2023-08-07&lt;record-ids&gt;&lt;item&gt;1&lt;/item&gt;&lt;item&gt;15&lt;/item&gt;&lt;item&gt;18&lt;/item&gt;&lt;item&gt;34&lt;/item&gt;&lt;item&gt;35&lt;/item&gt;&lt;item&gt;38&lt;/item&gt;&lt;item&gt;39&lt;/item&gt;&lt;item&gt;43&lt;/item&gt;&lt;item&gt;53&lt;/item&gt;&lt;item&gt;54&lt;/item&gt;&lt;item&gt;55&lt;/item&gt;&lt;item&gt;56&lt;/item&gt;&lt;item&gt;57&lt;/item&gt;&lt;item&gt;58&lt;/item&gt;&lt;item&gt;61&lt;/item&gt;&lt;item&gt;62&lt;/item&gt;&lt;item&gt;63&lt;/item&gt;&lt;item&gt;64&lt;/item&gt;&lt;item&gt;65&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5&lt;/item&gt;&lt;item&gt;86&lt;/item&gt;&lt;item&gt;89&lt;/item&gt;&lt;item&gt;91&lt;/item&gt;&lt;item&gt;92&lt;/item&gt;&lt;item&gt;93&lt;/item&gt;&lt;item&gt;94&lt;/item&gt;&lt;item&gt;96&lt;/item&gt;&lt;item&gt;97&lt;/item&gt;&lt;item&gt;98&lt;/item&gt;&lt;item&gt;99&lt;/item&gt;&lt;item&gt;100&lt;/item&gt;&lt;item&gt;101&lt;/item&gt;&lt;item&gt;103&lt;/item&gt;&lt;item&gt;104&lt;/item&gt;&lt;item&gt;105&lt;/item&gt;&lt;item&gt;106&lt;/item&gt;&lt;item&gt;107&lt;/item&gt;&lt;item&gt;108&lt;/item&gt;&lt;item&gt;111&lt;/item&gt;&lt;/record-ids&gt;&lt;/item&gt;&lt;/Libraries&gt;"/>
  </w:docVars>
  <w:rsids>
    <w:rsidRoot w:val="00702F65"/>
    <w:rsid w:val="0004596A"/>
    <w:rsid w:val="000748F4"/>
    <w:rsid w:val="00075041"/>
    <w:rsid w:val="000863CC"/>
    <w:rsid w:val="000A67D6"/>
    <w:rsid w:val="000B133A"/>
    <w:rsid w:val="000C57FA"/>
    <w:rsid w:val="000C6C5B"/>
    <w:rsid w:val="000D46EB"/>
    <w:rsid w:val="001046FD"/>
    <w:rsid w:val="00123910"/>
    <w:rsid w:val="00165F77"/>
    <w:rsid w:val="0016602B"/>
    <w:rsid w:val="0018139A"/>
    <w:rsid w:val="001A321E"/>
    <w:rsid w:val="001B6CEE"/>
    <w:rsid w:val="001C3D72"/>
    <w:rsid w:val="001D3422"/>
    <w:rsid w:val="001D5A27"/>
    <w:rsid w:val="002162F0"/>
    <w:rsid w:val="00217195"/>
    <w:rsid w:val="002D34D0"/>
    <w:rsid w:val="00301B0C"/>
    <w:rsid w:val="00305F2C"/>
    <w:rsid w:val="00307632"/>
    <w:rsid w:val="00307850"/>
    <w:rsid w:val="0031325B"/>
    <w:rsid w:val="00321DA5"/>
    <w:rsid w:val="00356D9F"/>
    <w:rsid w:val="00364BE0"/>
    <w:rsid w:val="00373234"/>
    <w:rsid w:val="00383414"/>
    <w:rsid w:val="003C0959"/>
    <w:rsid w:val="003C2518"/>
    <w:rsid w:val="003F4875"/>
    <w:rsid w:val="0040780B"/>
    <w:rsid w:val="00454B86"/>
    <w:rsid w:val="00471FA0"/>
    <w:rsid w:val="00495902"/>
    <w:rsid w:val="00497D30"/>
    <w:rsid w:val="004D526C"/>
    <w:rsid w:val="00503C08"/>
    <w:rsid w:val="005137AD"/>
    <w:rsid w:val="0051715B"/>
    <w:rsid w:val="00531AAB"/>
    <w:rsid w:val="0055708A"/>
    <w:rsid w:val="005A7081"/>
    <w:rsid w:val="005B562C"/>
    <w:rsid w:val="005C6DC1"/>
    <w:rsid w:val="005F4A53"/>
    <w:rsid w:val="006453E0"/>
    <w:rsid w:val="00646AF7"/>
    <w:rsid w:val="00687ABF"/>
    <w:rsid w:val="00693F42"/>
    <w:rsid w:val="006A5AEC"/>
    <w:rsid w:val="006C2950"/>
    <w:rsid w:val="006C66B2"/>
    <w:rsid w:val="006D0DA4"/>
    <w:rsid w:val="00702F65"/>
    <w:rsid w:val="007301B7"/>
    <w:rsid w:val="00750743"/>
    <w:rsid w:val="00767EA8"/>
    <w:rsid w:val="00773168"/>
    <w:rsid w:val="00777C70"/>
    <w:rsid w:val="007941AE"/>
    <w:rsid w:val="007B2CD7"/>
    <w:rsid w:val="007C5D5E"/>
    <w:rsid w:val="0081074A"/>
    <w:rsid w:val="00815D12"/>
    <w:rsid w:val="00834CD7"/>
    <w:rsid w:val="008A04E6"/>
    <w:rsid w:val="008D6C5C"/>
    <w:rsid w:val="008E5C3A"/>
    <w:rsid w:val="008E6DF2"/>
    <w:rsid w:val="008E73A3"/>
    <w:rsid w:val="008F48BC"/>
    <w:rsid w:val="00903FDA"/>
    <w:rsid w:val="009347D0"/>
    <w:rsid w:val="00995F28"/>
    <w:rsid w:val="009B6976"/>
    <w:rsid w:val="009E01AC"/>
    <w:rsid w:val="009F1024"/>
    <w:rsid w:val="009F67E7"/>
    <w:rsid w:val="00A22E1C"/>
    <w:rsid w:val="00A5591F"/>
    <w:rsid w:val="00A729D1"/>
    <w:rsid w:val="00A73BE7"/>
    <w:rsid w:val="00A826DA"/>
    <w:rsid w:val="00AA0079"/>
    <w:rsid w:val="00AA0E24"/>
    <w:rsid w:val="00AA17D7"/>
    <w:rsid w:val="00AA6B0F"/>
    <w:rsid w:val="00AA7974"/>
    <w:rsid w:val="00AD7495"/>
    <w:rsid w:val="00B164CF"/>
    <w:rsid w:val="00B4380E"/>
    <w:rsid w:val="00B6061B"/>
    <w:rsid w:val="00B614E3"/>
    <w:rsid w:val="00B754A5"/>
    <w:rsid w:val="00BA0176"/>
    <w:rsid w:val="00BA099A"/>
    <w:rsid w:val="00BB7ADC"/>
    <w:rsid w:val="00BF52A7"/>
    <w:rsid w:val="00C0122E"/>
    <w:rsid w:val="00C510F0"/>
    <w:rsid w:val="00C65022"/>
    <w:rsid w:val="00C6601A"/>
    <w:rsid w:val="00C67928"/>
    <w:rsid w:val="00C7013C"/>
    <w:rsid w:val="00D017AA"/>
    <w:rsid w:val="00D46DB4"/>
    <w:rsid w:val="00D5186C"/>
    <w:rsid w:val="00D56875"/>
    <w:rsid w:val="00DB2CA8"/>
    <w:rsid w:val="00DD051C"/>
    <w:rsid w:val="00E03B67"/>
    <w:rsid w:val="00E419AC"/>
    <w:rsid w:val="00E75DCF"/>
    <w:rsid w:val="00E82690"/>
    <w:rsid w:val="00E94F88"/>
    <w:rsid w:val="00EA0A90"/>
    <w:rsid w:val="00EA484E"/>
    <w:rsid w:val="00EA70D8"/>
    <w:rsid w:val="00EC0E77"/>
    <w:rsid w:val="00F156E4"/>
    <w:rsid w:val="00F23792"/>
    <w:rsid w:val="00F53EE1"/>
    <w:rsid w:val="00F75C46"/>
    <w:rsid w:val="00F87CE6"/>
    <w:rsid w:val="00FB4A76"/>
    <w:rsid w:val="00FD409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BE2A1D"/>
  <w15:docId w15:val="{1B5E48D2-6C6B-954B-8F07-40FA625E6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Arial" w:eastAsia="Arial" w:hAnsi="Arial" w:cs="Arial"/>
      <w:b/>
      <w:sz w:val="32"/>
      <w:szCs w:val="32"/>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jc w:val="center"/>
      <w:outlineLvl w:val="2"/>
    </w:pPr>
    <w:rPr>
      <w:rFonts w:ascii="Tahoma" w:eastAsia="Tahoma" w:hAnsi="Tahoma" w:cs="Tahoma"/>
      <w:b/>
      <w:smallCaps/>
      <w:color w:val="FFFFFF"/>
      <w:sz w:val="18"/>
      <w:szCs w:val="18"/>
    </w:rPr>
  </w:style>
  <w:style w:type="paragraph" w:styleId="Heading4">
    <w:name w:val="heading 4"/>
    <w:basedOn w:val="Normal"/>
    <w:next w:val="Normal"/>
    <w:uiPriority w:val="9"/>
    <w:semiHidden/>
    <w:unhideWhenUsed/>
    <w:qFormat/>
    <w:pPr>
      <w:keepNext/>
      <w:keepLines/>
      <w:spacing w:before="240" w:after="40"/>
      <w:outlineLvl w:val="3"/>
    </w:pPr>
    <w:rPr>
      <w:rFonts w:ascii="Arial" w:eastAsia="Arial" w:hAnsi="Arial" w:cs="Arial"/>
      <w:b/>
    </w:rPr>
  </w:style>
  <w:style w:type="paragraph" w:styleId="Heading5">
    <w:name w:val="heading 5"/>
    <w:basedOn w:val="Normal"/>
    <w:next w:val="Normal"/>
    <w:uiPriority w:val="9"/>
    <w:semiHidden/>
    <w:unhideWhenUsed/>
    <w:qFormat/>
    <w:pPr>
      <w:keepNext/>
      <w:keepLines/>
      <w:spacing w:before="220" w:after="40"/>
      <w:outlineLvl w:val="4"/>
    </w:pPr>
    <w:rPr>
      <w:rFonts w:ascii="Arial" w:eastAsia="Arial" w:hAnsi="Arial" w:cs="Arial"/>
      <w:b/>
      <w:sz w:val="22"/>
      <w:szCs w:val="22"/>
    </w:rPr>
  </w:style>
  <w:style w:type="paragraph" w:styleId="Heading6">
    <w:name w:val="heading 6"/>
    <w:basedOn w:val="Normal"/>
    <w:next w:val="Normal"/>
    <w:uiPriority w:val="9"/>
    <w:semiHidden/>
    <w:unhideWhenUsed/>
    <w:qFormat/>
    <w:pPr>
      <w:keepNext/>
      <w:keepLines/>
      <w:spacing w:before="200" w:after="40"/>
      <w:outlineLvl w:val="5"/>
    </w:pPr>
    <w:rPr>
      <w:rFonts w:ascii="Arial" w:eastAsia="Arial" w:hAnsi="Arial" w:cs="Arial"/>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LineNumber">
    <w:name w:val="line number"/>
    <w:basedOn w:val="DefaultParagraphFont"/>
    <w:uiPriority w:val="99"/>
    <w:semiHidden/>
    <w:unhideWhenUsed/>
    <w:rsid w:val="007C5D5E"/>
  </w:style>
  <w:style w:type="paragraph" w:customStyle="1" w:styleId="EndNoteBibliographyTitle">
    <w:name w:val="EndNote Bibliography Title"/>
    <w:basedOn w:val="Normal"/>
    <w:link w:val="EndNoteBibliographyTitleTegn"/>
    <w:rsid w:val="001C3D72"/>
    <w:pPr>
      <w:jc w:val="center"/>
    </w:pPr>
    <w:rPr>
      <w:noProof/>
      <w:lang w:val="en-US"/>
    </w:rPr>
  </w:style>
  <w:style w:type="character" w:customStyle="1" w:styleId="EndNoteBibliographyTitleTegn">
    <w:name w:val="EndNote Bibliography Title Tegn"/>
    <w:basedOn w:val="DefaultParagraphFont"/>
    <w:link w:val="EndNoteBibliographyTitle"/>
    <w:rsid w:val="001C3D72"/>
    <w:rPr>
      <w:noProof/>
      <w:lang w:val="en-US"/>
    </w:rPr>
  </w:style>
  <w:style w:type="paragraph" w:customStyle="1" w:styleId="EndNoteBibliography">
    <w:name w:val="EndNote Bibliography"/>
    <w:basedOn w:val="Normal"/>
    <w:link w:val="EndNoteBibliographyTegn"/>
    <w:rsid w:val="001C3D72"/>
    <w:rPr>
      <w:noProof/>
      <w:lang w:val="en-US"/>
    </w:rPr>
  </w:style>
  <w:style w:type="character" w:customStyle="1" w:styleId="EndNoteBibliographyTegn">
    <w:name w:val="EndNote Bibliography Tegn"/>
    <w:basedOn w:val="DefaultParagraphFont"/>
    <w:link w:val="EndNoteBibliography"/>
    <w:rsid w:val="001C3D72"/>
    <w:rPr>
      <w:noProof/>
      <w:lang w:val="en-US"/>
    </w:rPr>
  </w:style>
  <w:style w:type="character" w:styleId="Hyperlink">
    <w:name w:val="Hyperlink"/>
    <w:basedOn w:val="DefaultParagraphFont"/>
    <w:uiPriority w:val="99"/>
    <w:unhideWhenUsed/>
    <w:rsid w:val="001C3D72"/>
    <w:rPr>
      <w:color w:val="0000FF" w:themeColor="hyperlink"/>
      <w:u w:val="single"/>
    </w:rPr>
  </w:style>
  <w:style w:type="character" w:styleId="UnresolvedMention">
    <w:name w:val="Unresolved Mention"/>
    <w:basedOn w:val="DefaultParagraphFont"/>
    <w:uiPriority w:val="99"/>
    <w:semiHidden/>
    <w:unhideWhenUsed/>
    <w:rsid w:val="001C3D7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65F77"/>
    <w:rPr>
      <w:b/>
      <w:bCs/>
    </w:rPr>
  </w:style>
  <w:style w:type="character" w:customStyle="1" w:styleId="CommentSubjectChar">
    <w:name w:val="Comment Subject Char"/>
    <w:basedOn w:val="CommentTextChar"/>
    <w:link w:val="CommentSubject"/>
    <w:uiPriority w:val="99"/>
    <w:semiHidden/>
    <w:rsid w:val="00165F77"/>
    <w:rPr>
      <w:b/>
      <w:bCs/>
      <w:sz w:val="20"/>
      <w:szCs w:val="20"/>
    </w:rPr>
  </w:style>
  <w:style w:type="character" w:styleId="FollowedHyperlink">
    <w:name w:val="FollowedHyperlink"/>
    <w:basedOn w:val="DefaultParagraphFont"/>
    <w:uiPriority w:val="99"/>
    <w:semiHidden/>
    <w:unhideWhenUsed/>
    <w:rsid w:val="001B6CEE"/>
    <w:rPr>
      <w:color w:val="800080" w:themeColor="followedHyperlink"/>
      <w:u w:val="single"/>
    </w:rPr>
  </w:style>
  <w:style w:type="paragraph" w:styleId="Revision">
    <w:name w:val="Revision"/>
    <w:hidden/>
    <w:uiPriority w:val="99"/>
    <w:semiHidden/>
    <w:rsid w:val="001046FD"/>
  </w:style>
  <w:style w:type="paragraph" w:styleId="Header">
    <w:name w:val="header"/>
    <w:basedOn w:val="Normal"/>
    <w:link w:val="HeaderChar"/>
    <w:uiPriority w:val="99"/>
    <w:unhideWhenUsed/>
    <w:rsid w:val="00995F28"/>
    <w:pPr>
      <w:tabs>
        <w:tab w:val="center" w:pos="4680"/>
        <w:tab w:val="right" w:pos="9360"/>
      </w:tabs>
    </w:pPr>
  </w:style>
  <w:style w:type="character" w:customStyle="1" w:styleId="HeaderChar">
    <w:name w:val="Header Char"/>
    <w:basedOn w:val="DefaultParagraphFont"/>
    <w:link w:val="Header"/>
    <w:uiPriority w:val="99"/>
    <w:rsid w:val="00995F28"/>
  </w:style>
  <w:style w:type="paragraph" w:styleId="Footer">
    <w:name w:val="footer"/>
    <w:basedOn w:val="Normal"/>
    <w:link w:val="FooterChar"/>
    <w:uiPriority w:val="99"/>
    <w:unhideWhenUsed/>
    <w:rsid w:val="00995F28"/>
    <w:pPr>
      <w:tabs>
        <w:tab w:val="center" w:pos="4680"/>
        <w:tab w:val="right" w:pos="9360"/>
      </w:tabs>
    </w:pPr>
  </w:style>
  <w:style w:type="character" w:customStyle="1" w:styleId="FooterChar">
    <w:name w:val="Footer Char"/>
    <w:basedOn w:val="DefaultParagraphFont"/>
    <w:link w:val="Footer"/>
    <w:uiPriority w:val="99"/>
    <w:rsid w:val="00995F28"/>
  </w:style>
  <w:style w:type="paragraph" w:customStyle="1" w:styleId="TableNote">
    <w:name w:val="TableNote"/>
    <w:basedOn w:val="Normal"/>
    <w:rsid w:val="00AA7974"/>
    <w:pPr>
      <w:spacing w:line="300" w:lineRule="exact"/>
    </w:pPr>
    <w:rPr>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47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4F2A8-8147-4385-8BFA-5A1C3D4AE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1371</Words>
  <Characters>8488</Characters>
  <Application>Microsoft Office Word</Application>
  <DocSecurity>0</DocSecurity>
  <Lines>326</Lines>
  <Paragraphs>193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Stafa, Marsida</dc:creator>
  <cp:lastModifiedBy>Pratyakcha Rai</cp:lastModifiedBy>
  <cp:revision>2</cp:revision>
  <cp:lastPrinted>2024-10-10T08:35:00Z</cp:lastPrinted>
  <dcterms:created xsi:type="dcterms:W3CDTF">2026-07-09T17:16:00Z</dcterms:created>
  <dcterms:modified xsi:type="dcterms:W3CDTF">2026-07-09T17:16:00Z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f0166ede672dad888c49c92836019c99cf3606987abbe2f750e4e7ee4b2ddcc8</vt:lpwstr>
  </property>
</Properties>
</file>