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265C5" w:rsidRPr="002B385B" w:rsidRDefault="00FB0466" w:rsidP="002B385B">
      <w:pPr>
        <w:ind w:left="270"/>
        <w:jc w:val="center"/>
        <w:rPr>
          <w:sz w:val="24"/>
          <w:szCs w:val="24"/>
        </w:rPr>
      </w:pPr>
      <w:bookmarkStart w:id="0" w:name="page1"/>
      <w:bookmarkEnd w:id="0"/>
      <w:r w:rsidRPr="002B385B">
        <w:rPr>
          <w:rFonts w:eastAsia="Calibri"/>
          <w:b/>
          <w:bCs/>
          <w:sz w:val="24"/>
          <w:szCs w:val="24"/>
          <w:u w:val="single"/>
        </w:rPr>
        <w:t>PARTICIPANT INFORMATION SHEET (PIS)</w:t>
      </w:r>
    </w:p>
    <w:p w:rsidR="000265C5" w:rsidRPr="002B385B" w:rsidRDefault="000265C5" w:rsidP="002B385B">
      <w:pPr>
        <w:spacing w:line="202" w:lineRule="exact"/>
        <w:ind w:left="270"/>
        <w:rPr>
          <w:sz w:val="24"/>
          <w:szCs w:val="24"/>
        </w:rPr>
      </w:pPr>
    </w:p>
    <w:p w:rsidR="00386E87" w:rsidRPr="006B5F7A" w:rsidRDefault="00386E87" w:rsidP="00386E87">
      <w:pPr>
        <w:jc w:val="both"/>
        <w:rPr>
          <w:rFonts w:eastAsia="Calibri"/>
          <w:b/>
          <w:caps/>
          <w:sz w:val="24"/>
          <w:szCs w:val="24"/>
        </w:rPr>
      </w:pPr>
    </w:p>
    <w:p w:rsidR="00386E87" w:rsidRDefault="00386E87" w:rsidP="00F87286">
      <w:pPr>
        <w:jc w:val="both"/>
        <w:rPr>
          <w:rFonts w:eastAsia="Calibri"/>
          <w:b/>
          <w:sz w:val="24"/>
          <w:szCs w:val="24"/>
        </w:rPr>
      </w:pPr>
      <w:r w:rsidRPr="006B5F7A">
        <w:rPr>
          <w:rFonts w:eastAsia="Calibri"/>
          <w:b/>
          <w:sz w:val="24"/>
          <w:szCs w:val="24"/>
        </w:rPr>
        <w:t xml:space="preserve">Title of study: </w:t>
      </w:r>
      <w:r w:rsidR="00F87286" w:rsidRPr="00F87286">
        <w:rPr>
          <w:b/>
          <w:bCs/>
          <w:sz w:val="24"/>
          <w:szCs w:val="24"/>
        </w:rPr>
        <w:t>Role of prophylactic tranexamic acid instillation in reducing the severity of bleeding during endobronchial biopsy: a double blinded randomized controlled trial</w:t>
      </w:r>
    </w:p>
    <w:p w:rsidR="00F87286" w:rsidRDefault="00F87286" w:rsidP="00386E87">
      <w:pPr>
        <w:tabs>
          <w:tab w:val="left" w:pos="5106"/>
        </w:tabs>
        <w:jc w:val="both"/>
        <w:rPr>
          <w:rFonts w:eastAsia="Calibri"/>
          <w:bCs/>
          <w:sz w:val="24"/>
          <w:szCs w:val="24"/>
        </w:rPr>
      </w:pPr>
    </w:p>
    <w:p w:rsidR="00386E87" w:rsidRPr="00386E87" w:rsidRDefault="00386E87" w:rsidP="00386E87">
      <w:pPr>
        <w:tabs>
          <w:tab w:val="left" w:pos="5106"/>
        </w:tabs>
        <w:jc w:val="both"/>
        <w:rPr>
          <w:rFonts w:eastAsia="Calibri"/>
          <w:bCs/>
          <w:sz w:val="24"/>
          <w:szCs w:val="24"/>
        </w:rPr>
      </w:pPr>
      <w:r w:rsidRPr="00386E87">
        <w:rPr>
          <w:rFonts w:eastAsia="Calibri"/>
          <w:bCs/>
          <w:sz w:val="24"/>
          <w:szCs w:val="24"/>
        </w:rPr>
        <w:t>Principal Investigator: Prof. Anant Mohan</w:t>
      </w:r>
      <w:r w:rsidRPr="00386E87">
        <w:rPr>
          <w:rFonts w:eastAsia="Calibri"/>
          <w:bCs/>
          <w:sz w:val="24"/>
          <w:szCs w:val="24"/>
        </w:rPr>
        <w:tab/>
      </w:r>
    </w:p>
    <w:p w:rsidR="00386E87" w:rsidRPr="00386E87" w:rsidRDefault="00386E87" w:rsidP="00386E87">
      <w:pPr>
        <w:jc w:val="both"/>
        <w:rPr>
          <w:rFonts w:eastAsia="Calibri"/>
          <w:bCs/>
          <w:sz w:val="24"/>
          <w:szCs w:val="24"/>
        </w:rPr>
      </w:pPr>
      <w:r w:rsidRPr="00386E87">
        <w:rPr>
          <w:rFonts w:eastAsia="Calibri"/>
          <w:bCs/>
          <w:sz w:val="24"/>
          <w:szCs w:val="24"/>
        </w:rPr>
        <w:t>Email ID of the principal investigator: anantmohan@yahoo.com</w:t>
      </w:r>
    </w:p>
    <w:p w:rsidR="00386E87" w:rsidRPr="00386E87" w:rsidRDefault="00386E87" w:rsidP="00386E87">
      <w:pPr>
        <w:jc w:val="both"/>
        <w:rPr>
          <w:rFonts w:eastAsia="Calibri"/>
          <w:bCs/>
          <w:sz w:val="24"/>
          <w:szCs w:val="24"/>
        </w:rPr>
      </w:pPr>
      <w:r w:rsidRPr="00386E87">
        <w:rPr>
          <w:rFonts w:eastAsia="Calibri"/>
          <w:bCs/>
          <w:sz w:val="24"/>
          <w:szCs w:val="24"/>
        </w:rPr>
        <w:t>Con</w:t>
      </w:r>
      <w:r w:rsidR="00F87286">
        <w:rPr>
          <w:rFonts w:eastAsia="Calibri"/>
          <w:bCs/>
          <w:sz w:val="24"/>
          <w:szCs w:val="24"/>
        </w:rPr>
        <w:t>tac</w:t>
      </w:r>
      <w:r w:rsidRPr="00386E87">
        <w:rPr>
          <w:rFonts w:eastAsia="Calibri"/>
          <w:bCs/>
          <w:sz w:val="24"/>
          <w:szCs w:val="24"/>
        </w:rPr>
        <w:t xml:space="preserve">t number of the principal investigator: </w:t>
      </w:r>
      <w:r w:rsidRPr="00386E87">
        <w:rPr>
          <w:bCs/>
          <w:sz w:val="24"/>
          <w:szCs w:val="24"/>
          <w:lang w:bidi="hi-IN"/>
        </w:rPr>
        <w:t>9810048204</w:t>
      </w:r>
    </w:p>
    <w:p w:rsidR="00386E87" w:rsidRPr="00386E87" w:rsidRDefault="00386E87" w:rsidP="00386E87">
      <w:pPr>
        <w:tabs>
          <w:tab w:val="left" w:pos="3510"/>
        </w:tabs>
        <w:jc w:val="both"/>
        <w:rPr>
          <w:rFonts w:eastAsia="Calibri"/>
          <w:bCs/>
          <w:sz w:val="24"/>
          <w:szCs w:val="24"/>
        </w:rPr>
      </w:pP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Aims and methods of research:</w:t>
      </w:r>
    </w:p>
    <w:p w:rsidR="00386E87" w:rsidRPr="00386E87" w:rsidRDefault="00386E87" w:rsidP="00386E87">
      <w:pPr>
        <w:tabs>
          <w:tab w:val="left" w:pos="3510"/>
        </w:tabs>
        <w:jc w:val="both"/>
        <w:rPr>
          <w:rFonts w:eastAsia="Calibri"/>
          <w:bCs/>
          <w:sz w:val="24"/>
          <w:szCs w:val="24"/>
        </w:rPr>
      </w:pPr>
      <w:r w:rsidRPr="00386E87">
        <w:rPr>
          <w:bCs/>
          <w:sz w:val="24"/>
          <w:szCs w:val="24"/>
        </w:rPr>
        <w:t xml:space="preserve">Bleeding is a common occurrence following endobronchial biopsy. Post-biopsy bleeding can hamper further </w:t>
      </w:r>
      <w:proofErr w:type="spellStart"/>
      <w:r w:rsidRPr="00386E87">
        <w:rPr>
          <w:bCs/>
          <w:sz w:val="24"/>
          <w:szCs w:val="24"/>
        </w:rPr>
        <w:t>bronchoscopic</w:t>
      </w:r>
      <w:proofErr w:type="spellEnd"/>
      <w:r w:rsidR="00F87286">
        <w:rPr>
          <w:bCs/>
          <w:sz w:val="24"/>
          <w:szCs w:val="24"/>
        </w:rPr>
        <w:t xml:space="preserve"> </w:t>
      </w:r>
      <w:r w:rsidRPr="00386E87">
        <w:rPr>
          <w:bCs/>
          <w:sz w:val="24"/>
          <w:szCs w:val="24"/>
        </w:rPr>
        <w:t>examination and reduce the diagnostic yield of the procedure. It also leads to increase in the time required for the procedure. Moderate-severe bleeding can lead to significant morbidity (</w:t>
      </w:r>
      <w:proofErr w:type="spellStart"/>
      <w:r w:rsidRPr="00386E87">
        <w:rPr>
          <w:bCs/>
          <w:sz w:val="24"/>
          <w:szCs w:val="24"/>
        </w:rPr>
        <w:t>eg</w:t>
      </w:r>
      <w:proofErr w:type="spellEnd"/>
      <w:r w:rsidRPr="00386E87">
        <w:rPr>
          <w:bCs/>
          <w:sz w:val="24"/>
          <w:szCs w:val="24"/>
        </w:rPr>
        <w:t>:</w:t>
      </w:r>
      <w:r w:rsidR="00F87286">
        <w:rPr>
          <w:bCs/>
          <w:sz w:val="24"/>
          <w:szCs w:val="24"/>
        </w:rPr>
        <w:t xml:space="preserve"> </w:t>
      </w:r>
      <w:r w:rsidRPr="00386E87">
        <w:rPr>
          <w:bCs/>
          <w:sz w:val="24"/>
          <w:szCs w:val="24"/>
        </w:rPr>
        <w:t>endotracheal intubation) or can be life threatening due to rapid hypotension and shock. Tranexamic acid has been demonstrated to have an efficacy equivalent to adrenaline in controlling significant post-biopsy endobronchial bleeding. As a prophylactic agent, tranexamic acid has demonstrated benefit in preventing significant bleeding prior to performing transbronchial lung biopsy. However, the role of tranexamic acid as a prophylactic agent in preventing bleeding following endobronchial biopsy has not been explored. We aim to conduct a pilot-randomized controlled trial to study the role of prophylactic endobronchial instillation of tranexamic acid in prevention of significant bleeding following endobronchial biopsy.</w:t>
      </w:r>
    </w:p>
    <w:p w:rsidR="00F87286" w:rsidRPr="00386E87" w:rsidRDefault="00F87286" w:rsidP="00386E87">
      <w:pPr>
        <w:tabs>
          <w:tab w:val="left" w:pos="3510"/>
        </w:tabs>
        <w:jc w:val="both"/>
        <w:rPr>
          <w:rFonts w:eastAsia="Calibri"/>
          <w:bCs/>
          <w:sz w:val="24"/>
          <w:szCs w:val="24"/>
        </w:rPr>
      </w:pP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Expected duration of the subject participation: The subjects will undergo the bronchoscopy procedure on the given date. The approximate time for the procedure will be 30 to 45 minutes followed by observation period of around 2 hours. The subjects will be telephonically followed up at one month post procedure to record any complications.</w:t>
      </w:r>
    </w:p>
    <w:p w:rsidR="00386E87" w:rsidRPr="00386E87" w:rsidRDefault="00386E87" w:rsidP="00386E87">
      <w:pPr>
        <w:tabs>
          <w:tab w:val="left" w:pos="3510"/>
        </w:tabs>
        <w:jc w:val="both"/>
        <w:rPr>
          <w:rFonts w:eastAsia="Calibri"/>
          <w:bCs/>
          <w:sz w:val="24"/>
          <w:szCs w:val="24"/>
        </w:rPr>
      </w:pP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The benefits to be expected from the research to the subject or to the others:</w:t>
      </w: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The role of tranexamic acid for preventing bleeding following endo bronchial biopsy has not been studied. The results of this study are expected to inform changes in standard guidelines regarding the use of prophylactic hemostatic agents prior to endobronchial biopsy.</w:t>
      </w:r>
    </w:p>
    <w:p w:rsidR="00386E87" w:rsidRPr="00386E87" w:rsidRDefault="00386E87" w:rsidP="00386E87">
      <w:pPr>
        <w:tabs>
          <w:tab w:val="left" w:pos="3510"/>
        </w:tabs>
        <w:jc w:val="both"/>
        <w:rPr>
          <w:rFonts w:eastAsia="Calibri"/>
          <w:bCs/>
          <w:sz w:val="24"/>
          <w:szCs w:val="24"/>
        </w:rPr>
      </w:pP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Any risk to the subject associated with the study:</w:t>
      </w: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 xml:space="preserve">Endobronchial biopsy is a routinely employed diagnostic procedure. The use of topical tranexamic acid has not been shown to have any reported adverse effects in the previous studies employing the use in bronchoscopy procedures. </w:t>
      </w:r>
    </w:p>
    <w:p w:rsidR="00386E87" w:rsidRPr="00386E87" w:rsidRDefault="00386E87" w:rsidP="00386E87">
      <w:pPr>
        <w:tabs>
          <w:tab w:val="left" w:pos="3510"/>
        </w:tabs>
        <w:jc w:val="both"/>
        <w:rPr>
          <w:rFonts w:eastAsia="Calibri"/>
          <w:bCs/>
          <w:sz w:val="24"/>
          <w:szCs w:val="24"/>
        </w:rPr>
      </w:pP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Maintenance of confidentiality of records:</w:t>
      </w: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All your information and personal details will be kept strictly confidential and will be accessible only to the study investigators. In future the results of the study may be published in a scientific journal, but your identity will not be disclosed. Confidential records will be stored in a secure area with limited access and information in soft copy will be protected through passwords. Identification data will be destroyed after completion of research work.</w:t>
      </w:r>
    </w:p>
    <w:p w:rsidR="00386E87" w:rsidRPr="00386E87" w:rsidRDefault="00386E87" w:rsidP="00386E87">
      <w:pPr>
        <w:tabs>
          <w:tab w:val="left" w:pos="3510"/>
        </w:tabs>
        <w:jc w:val="both"/>
        <w:rPr>
          <w:rFonts w:eastAsia="Calibri"/>
          <w:bCs/>
          <w:sz w:val="24"/>
          <w:szCs w:val="24"/>
        </w:rPr>
      </w:pP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Provision of free treatment for research related injury:</w:t>
      </w: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lastRenderedPageBreak/>
        <w:t>Subjects will be provided free treatment for any research related injury.</w:t>
      </w:r>
    </w:p>
    <w:p w:rsidR="00386E87" w:rsidRPr="00386E87" w:rsidRDefault="00386E87" w:rsidP="00386E87">
      <w:pPr>
        <w:tabs>
          <w:tab w:val="left" w:pos="3510"/>
        </w:tabs>
        <w:jc w:val="both"/>
        <w:rPr>
          <w:rFonts w:eastAsia="Calibri"/>
          <w:bCs/>
          <w:sz w:val="24"/>
          <w:szCs w:val="24"/>
        </w:rPr>
      </w:pP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Compensation of subjects for disability or death resulting from such injury: Not applicable</w:t>
      </w:r>
    </w:p>
    <w:p w:rsidR="00386E87" w:rsidRPr="00386E87" w:rsidRDefault="00386E87" w:rsidP="00386E87">
      <w:pPr>
        <w:tabs>
          <w:tab w:val="left" w:pos="3510"/>
        </w:tabs>
        <w:jc w:val="both"/>
        <w:rPr>
          <w:rFonts w:eastAsia="Calibri"/>
          <w:bCs/>
          <w:sz w:val="24"/>
          <w:szCs w:val="24"/>
        </w:rPr>
      </w:pP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Freedom of individual to participate and to withdraw from research at any time without penalty or loss of benefits to which the subject would other</w:t>
      </w: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wise be entitled:</w:t>
      </w: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Your participation in this study is completely voluntary. Your non-participation will not affect in any way your treatment. Any question or queries will be willingly answered by the team of doctors involved in the study.</w:t>
      </w:r>
    </w:p>
    <w:p w:rsidR="00386E87" w:rsidRPr="00386E87" w:rsidRDefault="00386E87" w:rsidP="00386E87">
      <w:pPr>
        <w:tabs>
          <w:tab w:val="left" w:pos="3510"/>
        </w:tabs>
        <w:jc w:val="both"/>
        <w:rPr>
          <w:rFonts w:eastAsia="Calibri"/>
          <w:bCs/>
          <w:sz w:val="24"/>
          <w:szCs w:val="24"/>
        </w:rPr>
      </w:pP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Costs and source of investigation, implants and drugs/contrast media:</w:t>
      </w: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You will not have to pay for any study related investigations. The cost of study related investigations will be borne by the hospital.</w:t>
      </w:r>
    </w:p>
    <w:p w:rsidR="00386E87" w:rsidRPr="00386E87" w:rsidRDefault="00386E87" w:rsidP="00386E87">
      <w:pPr>
        <w:tabs>
          <w:tab w:val="left" w:pos="3510"/>
        </w:tabs>
        <w:jc w:val="both"/>
        <w:rPr>
          <w:rFonts w:eastAsia="Calibri"/>
          <w:bCs/>
          <w:sz w:val="24"/>
          <w:szCs w:val="24"/>
        </w:rPr>
      </w:pP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This is to certify the Hindi translation to vernacular is accurate</w:t>
      </w: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T</w:t>
      </w:r>
      <w:r w:rsidRPr="00386E87">
        <w:rPr>
          <w:rFonts w:eastAsia="Arial"/>
          <w:bCs/>
          <w:color w:val="202020"/>
          <w:sz w:val="24"/>
          <w:szCs w:val="24"/>
        </w:rPr>
        <w:t>here is a possibility of failure of the test arm (prophylactic tranexamic acid) to provide any intended therapeutic effect:</w:t>
      </w:r>
    </w:p>
    <w:p w:rsidR="00386E87" w:rsidRPr="00386E87" w:rsidRDefault="00386E87" w:rsidP="00386E87">
      <w:pPr>
        <w:tabs>
          <w:tab w:val="left" w:pos="3510"/>
        </w:tabs>
        <w:jc w:val="both"/>
        <w:rPr>
          <w:rFonts w:eastAsia="Calibri"/>
          <w:bCs/>
          <w:sz w:val="24"/>
          <w:szCs w:val="24"/>
        </w:rPr>
      </w:pPr>
      <w:r w:rsidRPr="00386E87">
        <w:rPr>
          <w:rFonts w:eastAsia="Calibri"/>
          <w:bCs/>
          <w:sz w:val="24"/>
          <w:szCs w:val="24"/>
        </w:rPr>
        <w:t>T</w:t>
      </w:r>
      <w:r w:rsidRPr="00386E87">
        <w:rPr>
          <w:rFonts w:eastAsia="Arial"/>
          <w:bCs/>
          <w:color w:val="202020"/>
          <w:sz w:val="24"/>
          <w:szCs w:val="24"/>
        </w:rPr>
        <w:t>he placebo administered to half of the randomized subjects shall not have any therapeutic effect.</w:t>
      </w:r>
    </w:p>
    <w:p w:rsidR="00386E87" w:rsidRPr="00386E87" w:rsidRDefault="00386E87" w:rsidP="00386E87">
      <w:pPr>
        <w:tabs>
          <w:tab w:val="left" w:pos="3510"/>
        </w:tabs>
        <w:jc w:val="both"/>
        <w:rPr>
          <w:rFonts w:eastAsia="Calibri"/>
          <w:bCs/>
          <w:sz w:val="24"/>
          <w:szCs w:val="24"/>
        </w:rPr>
      </w:pPr>
    </w:p>
    <w:p w:rsidR="00386E87" w:rsidRPr="00386E87" w:rsidRDefault="00386E87" w:rsidP="00386E87">
      <w:pPr>
        <w:tabs>
          <w:tab w:val="left" w:pos="360"/>
          <w:tab w:val="left" w:pos="1441"/>
        </w:tabs>
        <w:ind w:right="-720"/>
        <w:jc w:val="both"/>
        <w:rPr>
          <w:rFonts w:eastAsia="Arial"/>
          <w:bCs/>
          <w:color w:val="202020"/>
          <w:sz w:val="24"/>
          <w:szCs w:val="24"/>
        </w:rPr>
      </w:pPr>
    </w:p>
    <w:sectPr w:rsidR="00386E87" w:rsidRPr="00386E87" w:rsidSect="000265C5">
      <w:pgSz w:w="12240" w:h="15840"/>
      <w:pgMar w:top="1421" w:right="1440" w:bottom="1440" w:left="1440" w:header="0" w:footer="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3C9869"/>
    <w:multiLevelType w:val="hybridMultilevel"/>
    <w:tmpl w:val="20C8DEA8"/>
    <w:lvl w:ilvl="0" w:tplc="0430F952">
      <w:start w:val="1"/>
      <w:numFmt w:val="lowerRoman"/>
      <w:lvlText w:val="%1)"/>
      <w:lvlJc w:val="left"/>
    </w:lvl>
    <w:lvl w:ilvl="1" w:tplc="8B76A5AC">
      <w:numFmt w:val="decimal"/>
      <w:lvlText w:val=""/>
      <w:lvlJc w:val="left"/>
    </w:lvl>
    <w:lvl w:ilvl="2" w:tplc="5672E074">
      <w:numFmt w:val="decimal"/>
      <w:lvlText w:val=""/>
      <w:lvlJc w:val="left"/>
    </w:lvl>
    <w:lvl w:ilvl="3" w:tplc="693EC7C2">
      <w:numFmt w:val="decimal"/>
      <w:lvlText w:val=""/>
      <w:lvlJc w:val="left"/>
    </w:lvl>
    <w:lvl w:ilvl="4" w:tplc="DA7088A4">
      <w:numFmt w:val="decimal"/>
      <w:lvlText w:val=""/>
      <w:lvlJc w:val="left"/>
    </w:lvl>
    <w:lvl w:ilvl="5" w:tplc="A386CD54">
      <w:numFmt w:val="decimal"/>
      <w:lvlText w:val=""/>
      <w:lvlJc w:val="left"/>
    </w:lvl>
    <w:lvl w:ilvl="6" w:tplc="8F3A49F6">
      <w:numFmt w:val="decimal"/>
      <w:lvlText w:val=""/>
      <w:lvlJc w:val="left"/>
    </w:lvl>
    <w:lvl w:ilvl="7" w:tplc="D38C55EA">
      <w:numFmt w:val="decimal"/>
      <w:lvlText w:val=""/>
      <w:lvlJc w:val="left"/>
    </w:lvl>
    <w:lvl w:ilvl="8" w:tplc="52863DFE">
      <w:numFmt w:val="decimal"/>
      <w:lvlText w:val=""/>
      <w:lvlJc w:val="left"/>
    </w:lvl>
  </w:abstractNum>
  <w:abstractNum w:abstractNumId="1" w15:restartNumberingAfterBreak="0">
    <w:nsid w:val="66334873"/>
    <w:multiLevelType w:val="hybridMultilevel"/>
    <w:tmpl w:val="A97687CA"/>
    <w:lvl w:ilvl="0" w:tplc="BBF2DAE0">
      <w:start w:val="15"/>
      <w:numFmt w:val="lowerRoman"/>
      <w:lvlText w:val="%1)"/>
      <w:lvlJc w:val="left"/>
    </w:lvl>
    <w:lvl w:ilvl="1" w:tplc="4B381276">
      <w:numFmt w:val="decimal"/>
      <w:lvlText w:val=""/>
      <w:lvlJc w:val="left"/>
    </w:lvl>
    <w:lvl w:ilvl="2" w:tplc="BB08984A">
      <w:numFmt w:val="decimal"/>
      <w:lvlText w:val=""/>
      <w:lvlJc w:val="left"/>
    </w:lvl>
    <w:lvl w:ilvl="3" w:tplc="BEA075A4">
      <w:numFmt w:val="decimal"/>
      <w:lvlText w:val=""/>
      <w:lvlJc w:val="left"/>
    </w:lvl>
    <w:lvl w:ilvl="4" w:tplc="B7721428">
      <w:numFmt w:val="decimal"/>
      <w:lvlText w:val=""/>
      <w:lvlJc w:val="left"/>
    </w:lvl>
    <w:lvl w:ilvl="5" w:tplc="C0506AC0">
      <w:numFmt w:val="decimal"/>
      <w:lvlText w:val=""/>
      <w:lvlJc w:val="left"/>
    </w:lvl>
    <w:lvl w:ilvl="6" w:tplc="CDAE22B8">
      <w:numFmt w:val="decimal"/>
      <w:lvlText w:val=""/>
      <w:lvlJc w:val="left"/>
    </w:lvl>
    <w:lvl w:ilvl="7" w:tplc="77405004">
      <w:numFmt w:val="decimal"/>
      <w:lvlText w:val=""/>
      <w:lvlJc w:val="left"/>
    </w:lvl>
    <w:lvl w:ilvl="8" w:tplc="FF0613A8">
      <w:numFmt w:val="decimal"/>
      <w:lvlText w:val=""/>
      <w:lvlJc w:val="left"/>
    </w:lvl>
  </w:abstractNum>
  <w:num w:numId="1" w16cid:durableId="417677445">
    <w:abstractNumId w:val="0"/>
  </w:num>
  <w:num w:numId="2" w16cid:durableId="605817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265C5"/>
    <w:rsid w:val="000265C5"/>
    <w:rsid w:val="00225E6F"/>
    <w:rsid w:val="002B385B"/>
    <w:rsid w:val="00386E87"/>
    <w:rsid w:val="003E6173"/>
    <w:rsid w:val="00B15F91"/>
    <w:rsid w:val="00D32540"/>
    <w:rsid w:val="00DD3C55"/>
    <w:rsid w:val="00E510E7"/>
    <w:rsid w:val="00EA235B"/>
    <w:rsid w:val="00F87286"/>
    <w:rsid w:val="00FB046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848C"/>
  <w15:docId w15:val="{10EB6A36-E791-2949-A85F-D2D8E17F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5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466"/>
    <w:pPr>
      <w:ind w:left="720"/>
      <w:contextualSpacing/>
    </w:pPr>
  </w:style>
  <w:style w:type="character" w:styleId="Hyperlink">
    <w:name w:val="Hyperlink"/>
    <w:basedOn w:val="DefaultParagraphFont"/>
    <w:uiPriority w:val="99"/>
    <w:unhideWhenUsed/>
    <w:rsid w:val="00386E87"/>
    <w:rPr>
      <w:color w:val="0000FF" w:themeColor="hyperlink"/>
      <w:u w:val="single"/>
    </w:rPr>
  </w:style>
  <w:style w:type="character" w:styleId="UnresolvedMention">
    <w:name w:val="Unresolved Mention"/>
    <w:basedOn w:val="DefaultParagraphFont"/>
    <w:uiPriority w:val="99"/>
    <w:semiHidden/>
    <w:unhideWhenUsed/>
    <w:rsid w:val="00386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Oshin Bhatia</cp:lastModifiedBy>
  <cp:revision>7</cp:revision>
  <dcterms:created xsi:type="dcterms:W3CDTF">2015-09-24T03:50:00Z</dcterms:created>
  <dcterms:modified xsi:type="dcterms:W3CDTF">2024-11-13T09:33:00Z</dcterms:modified>
</cp:coreProperties>
</file>