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4199C" w14:textId="77777777" w:rsidR="000D21CD" w:rsidRDefault="000D21CD" w:rsidP="000D21CD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30464">
        <w:rPr>
          <w:rFonts w:ascii="Times New Roman" w:hAnsi="Times New Roman" w:cs="Times New Roman"/>
          <w:b/>
          <w:bCs/>
          <w:color w:val="000000" w:themeColor="text1"/>
        </w:rPr>
        <w:t>Supplementary materials</w:t>
      </w:r>
    </w:p>
    <w:p w14:paraId="5700AA11" w14:textId="77777777" w:rsidR="00B007FC" w:rsidRPr="004A5AC0" w:rsidRDefault="00B007FC" w:rsidP="00B007FC">
      <w:pPr>
        <w:spacing w:line="48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t>S1:</w:t>
      </w:r>
      <w:r w:rsidRPr="004A5AC0">
        <w:rPr>
          <w:rFonts w:ascii="Times New Roman" w:hAnsi="Times New Roman"/>
          <w:b/>
          <w:bCs/>
        </w:rPr>
        <w:t>ardized Workflow and Computation of Death/Mutation Curves</w:t>
      </w:r>
    </w:p>
    <w:p w14:paraId="4F8921B8" w14:textId="77777777" w:rsidR="00B007FC" w:rsidRPr="00645267" w:rsidRDefault="00B007FC" w:rsidP="00B007FC">
      <w:pPr>
        <w:spacing w:line="480" w:lineRule="auto"/>
        <w:rPr>
          <w:rFonts w:ascii="Times New Roman" w:hAnsi="Times New Roman"/>
          <w:color w:val="000000" w:themeColor="text1"/>
        </w:rPr>
      </w:pPr>
      <w:r w:rsidRPr="00645267">
        <w:rPr>
          <w:rFonts w:ascii="Times New Roman" w:hAnsi="Times New Roman"/>
          <w:color w:val="000000" w:themeColor="text1"/>
        </w:rPr>
        <w:t xml:space="preserve">To </w:t>
      </w:r>
      <w:r w:rsidRPr="00645267">
        <w:rPr>
          <w:rFonts w:ascii="Times New Roman" w:hAnsi="Times New Roman" w:hint="eastAsia"/>
          <w:color w:val="000000" w:themeColor="text1"/>
        </w:rPr>
        <w:t xml:space="preserve">promote the </w:t>
      </w:r>
      <w:r w:rsidRPr="00645267">
        <w:rPr>
          <w:rFonts w:ascii="Times New Roman" w:hAnsi="Times New Roman"/>
          <w:color w:val="000000" w:themeColor="text1"/>
          <w:lang w:bidi="ar"/>
        </w:rPr>
        <w:t>widespread</w:t>
      </w:r>
      <w:r w:rsidRPr="00645267">
        <w:rPr>
          <w:rFonts w:ascii="Times New Roman" w:hAnsi="Times New Roman" w:hint="eastAsia"/>
          <w:color w:val="000000" w:themeColor="text1"/>
          <w:lang w:bidi="ar"/>
        </w:rPr>
        <w:t xml:space="preserve"> </w:t>
      </w:r>
      <w:r w:rsidRPr="00645267">
        <w:rPr>
          <w:rFonts w:ascii="Times New Roman" w:hAnsi="Times New Roman"/>
          <w:color w:val="000000" w:themeColor="text1"/>
        </w:rPr>
        <w:t xml:space="preserve">adoption </w:t>
      </w:r>
      <w:r w:rsidRPr="00645267">
        <w:rPr>
          <w:rFonts w:ascii="Times New Roman" w:hAnsi="Times New Roman"/>
          <w:color w:val="000000" w:themeColor="text1"/>
          <w:lang w:bidi="ar"/>
        </w:rPr>
        <w:t xml:space="preserve">of the CPMI platform and ensure </w:t>
      </w:r>
      <w:r w:rsidRPr="00645267">
        <w:rPr>
          <w:rFonts w:ascii="Times New Roman" w:hAnsi="Times New Roman" w:hint="eastAsia"/>
          <w:color w:val="000000" w:themeColor="text1"/>
          <w:lang w:bidi="ar"/>
        </w:rPr>
        <w:t xml:space="preserve">the </w:t>
      </w:r>
      <w:r w:rsidRPr="00645267">
        <w:rPr>
          <w:rFonts w:ascii="Times New Roman" w:hAnsi="Times New Roman"/>
          <w:color w:val="000000" w:themeColor="text1"/>
          <w:lang w:bidi="ar"/>
        </w:rPr>
        <w:t>traceability and reproducibility of experimental results</w:t>
      </w:r>
      <w:r w:rsidRPr="00645267">
        <w:rPr>
          <w:rFonts w:ascii="Times New Roman" w:hAnsi="Times New Roman" w:hint="eastAsia"/>
          <w:color w:val="000000" w:themeColor="text1"/>
          <w:lang w:bidi="ar"/>
        </w:rPr>
        <w:t>(</w:t>
      </w:r>
      <w:r w:rsidRPr="00645267">
        <w:rPr>
          <w:rFonts w:ascii="Times New Roman" w:hAnsi="Times New Roman"/>
          <w:color w:val="000000" w:themeColor="text1"/>
          <w:lang w:bidi="ar"/>
        </w:rPr>
        <w:t>i.e.,experimental auditability</w:t>
      </w:r>
      <w:r w:rsidRPr="00645267">
        <w:rPr>
          <w:rFonts w:ascii="Times New Roman" w:hAnsi="Times New Roman" w:hint="eastAsia"/>
          <w:color w:val="000000" w:themeColor="text1"/>
          <w:lang w:bidi="ar"/>
        </w:rPr>
        <w:t>)</w:t>
      </w:r>
      <w:r w:rsidRPr="00645267">
        <w:rPr>
          <w:rFonts w:ascii="Times New Roman" w:hAnsi="Times New Roman"/>
          <w:color w:val="000000" w:themeColor="text1"/>
        </w:rPr>
        <w:t xml:space="preserve">, we </w:t>
      </w:r>
      <w:r w:rsidRPr="00645267">
        <w:rPr>
          <w:rFonts w:ascii="Times New Roman" w:hAnsi="Times New Roman"/>
          <w:color w:val="000000" w:themeColor="text1"/>
          <w:lang w:bidi="ar"/>
        </w:rPr>
        <w:t>established</w:t>
      </w:r>
      <w:r w:rsidRPr="00645267">
        <w:rPr>
          <w:rFonts w:ascii="Times New Roman" w:hAnsi="Times New Roman"/>
          <w:color w:val="000000" w:themeColor="text1"/>
        </w:rPr>
        <w:t xml:space="preserve"> a </w:t>
      </w:r>
      <w:r w:rsidRPr="00645267">
        <w:rPr>
          <w:rFonts w:ascii="Times New Roman" w:hAnsi="Times New Roman"/>
          <w:color w:val="000000" w:themeColor="text1"/>
          <w:lang w:bidi="ar"/>
        </w:rPr>
        <w:t>standardized</w:t>
      </w:r>
      <w:r w:rsidRPr="00645267">
        <w:rPr>
          <w:rFonts w:ascii="Times New Roman" w:hAnsi="Times New Roman" w:hint="eastAsia"/>
          <w:color w:val="000000" w:themeColor="text1"/>
          <w:lang w:bidi="ar"/>
        </w:rPr>
        <w:t xml:space="preserve"> </w:t>
      </w:r>
      <w:r w:rsidRPr="00645267">
        <w:rPr>
          <w:rFonts w:ascii="Times New Roman" w:hAnsi="Times New Roman"/>
          <w:color w:val="000000" w:themeColor="text1"/>
          <w:lang w:bidi="ar"/>
        </w:rPr>
        <w:t>standard operating procedure</w:t>
      </w:r>
      <w:r w:rsidRPr="00645267">
        <w:rPr>
          <w:rFonts w:ascii="Times New Roman" w:hAnsi="Times New Roman" w:hint="eastAsia"/>
          <w:color w:val="000000" w:themeColor="text1"/>
        </w:rPr>
        <w:t>(</w:t>
      </w:r>
      <w:r w:rsidRPr="00645267">
        <w:rPr>
          <w:rFonts w:ascii="Times New Roman" w:hAnsi="Times New Roman"/>
          <w:color w:val="000000" w:themeColor="text1"/>
        </w:rPr>
        <w:t>SOP</w:t>
      </w:r>
      <w:r w:rsidRPr="00645267">
        <w:rPr>
          <w:rFonts w:ascii="Times New Roman" w:hAnsi="Times New Roman" w:hint="eastAsia"/>
          <w:color w:val="000000" w:themeColor="text1"/>
        </w:rPr>
        <w:t>)</w:t>
      </w:r>
      <w:r w:rsidRPr="00645267">
        <w:rPr>
          <w:rFonts w:ascii="Times New Roman" w:hAnsi="Times New Roman"/>
          <w:color w:val="000000" w:themeColor="text1"/>
        </w:rPr>
        <w:t xml:space="preserve"> </w:t>
      </w:r>
      <w:r w:rsidRPr="00645267">
        <w:rPr>
          <w:rFonts w:ascii="Times New Roman" w:hAnsi="Times New Roman" w:hint="eastAsia"/>
          <w:color w:val="000000" w:themeColor="text1"/>
        </w:rPr>
        <w:t>,</w:t>
      </w:r>
      <w:r w:rsidRPr="00645267">
        <w:rPr>
          <w:rFonts w:ascii="Times New Roman" w:hAnsi="Times New Roman"/>
          <w:color w:val="000000" w:themeColor="text1"/>
          <w:lang w:bidi="ar"/>
        </w:rPr>
        <w:t>the detailed workflow of which is illustrated in Figure 1d</w:t>
      </w:r>
      <w:r w:rsidRPr="00645267">
        <w:rPr>
          <w:rFonts w:ascii="Times New Roman" w:hAnsi="Times New Roman" w:hint="eastAsia"/>
          <w:color w:val="000000" w:themeColor="text1"/>
          <w:lang w:bidi="ar"/>
        </w:rPr>
        <w:t>.</w:t>
      </w:r>
    </w:p>
    <w:p w14:paraId="5ADF7DFD" w14:textId="77777777" w:rsidR="00B007FC" w:rsidRPr="00645267" w:rsidRDefault="00B007FC" w:rsidP="00B007FC">
      <w:pPr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color w:val="000000" w:themeColor="text1"/>
        </w:rPr>
      </w:pPr>
      <w:r w:rsidRPr="00645267">
        <w:rPr>
          <w:rFonts w:ascii="Times New Roman" w:hAnsi="Times New Roman"/>
          <w:color w:val="000000" w:themeColor="text1"/>
        </w:rPr>
        <w:t>Inoculum preparation. The parental strain was streaked onto an appropriate agar medium and incubated under strain-specific conditions(e.g., temperature, humidity, and incubation duration). Two to three single</w:t>
      </w:r>
      <w:r w:rsidRPr="00645267">
        <w:rPr>
          <w:rFonts w:ascii="Times New Roman" w:hAnsi="Times New Roman" w:hint="eastAsia"/>
          <w:color w:val="000000" w:themeColor="text1"/>
        </w:rPr>
        <w:t xml:space="preserve"> </w:t>
      </w:r>
      <w:r w:rsidRPr="00645267">
        <w:rPr>
          <w:rFonts w:ascii="Times New Roman" w:hAnsi="Times New Roman"/>
          <w:color w:val="000000" w:themeColor="text1"/>
        </w:rPr>
        <w:t>single colonies, morphologically uniform colonies with smooth edges</w:t>
      </w:r>
      <w:r w:rsidRPr="00645267">
        <w:rPr>
          <w:rFonts w:ascii="Times New Roman" w:hAnsi="Times New Roman" w:hint="eastAsia"/>
          <w:color w:val="000000" w:themeColor="text1"/>
        </w:rPr>
        <w:t>,</w:t>
      </w:r>
      <w:r w:rsidRPr="00645267">
        <w:rPr>
          <w:rFonts w:ascii="Times New Roman" w:hAnsi="Times New Roman"/>
          <w:color w:val="000000" w:themeColor="text1"/>
        </w:rPr>
        <w:t xml:space="preserve"> were </w:t>
      </w:r>
      <w:r w:rsidRPr="00645267">
        <w:rPr>
          <w:rFonts w:ascii="Times New Roman" w:hAnsi="Times New Roman" w:hint="eastAsia"/>
          <w:color w:val="000000" w:themeColor="text1"/>
        </w:rPr>
        <w:t>select</w:t>
      </w:r>
      <w:r w:rsidRPr="00645267">
        <w:rPr>
          <w:rFonts w:ascii="Times New Roman" w:hAnsi="Times New Roman"/>
          <w:color w:val="000000" w:themeColor="text1"/>
        </w:rPr>
        <w:t>ed to ensure culture purity for subsequent experimental</w:t>
      </w:r>
      <w:r w:rsidRPr="00645267">
        <w:rPr>
          <w:rFonts w:ascii="Times New Roman" w:hAnsi="Times New Roman" w:hint="eastAsia"/>
          <w:color w:val="000000" w:themeColor="text1"/>
        </w:rPr>
        <w:t xml:space="preserve"> </w:t>
      </w:r>
      <w:r w:rsidRPr="00645267">
        <w:rPr>
          <w:rFonts w:ascii="Times New Roman" w:hAnsi="Times New Roman"/>
          <w:color w:val="000000" w:themeColor="text1"/>
        </w:rPr>
        <w:t>steps.</w:t>
      </w:r>
    </w:p>
    <w:p w14:paraId="4AF12D33" w14:textId="77777777" w:rsidR="00B007FC" w:rsidRPr="00645267" w:rsidRDefault="00B007FC" w:rsidP="00B007FC">
      <w:pPr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color w:val="000000" w:themeColor="text1"/>
        </w:rPr>
      </w:pPr>
      <w:r w:rsidRPr="00645267">
        <w:rPr>
          <w:rFonts w:ascii="Times New Roman" w:hAnsi="Times New Roman"/>
          <w:color w:val="000000" w:themeColor="text1"/>
        </w:rPr>
        <w:t xml:space="preserve">Cell suspension and loading. A uniform cell suspension was prepared from the selected colonies using sterile growth medium or phosphate-buffered saline (PBS). The </w:t>
      </w:r>
      <w:r w:rsidRPr="00645267">
        <w:rPr>
          <w:rFonts w:ascii="Times New Roman" w:hAnsi="Times New Roman" w:hint="eastAsia"/>
          <w:color w:val="000000" w:themeColor="text1"/>
        </w:rPr>
        <w:t xml:space="preserve">suspension </w:t>
      </w:r>
      <w:r w:rsidRPr="00645267">
        <w:rPr>
          <w:rFonts w:ascii="Times New Roman" w:hAnsi="Times New Roman"/>
          <w:color w:val="000000" w:themeColor="text1"/>
        </w:rPr>
        <w:t>concentration was adjusted to approximately 1 × 10⁶ CFU·mL⁻¹, as determined by an OD₆₀₀–CFU calibration curve or plate counting. An 10 μL aliquot</w:t>
      </w:r>
      <w:r w:rsidRPr="00645267">
        <w:rPr>
          <w:rFonts w:ascii="Times New Roman" w:hAnsi="Times New Roman" w:hint="eastAsia"/>
          <w:color w:val="000000" w:themeColor="text1"/>
        </w:rPr>
        <w:t xml:space="preserve"> </w:t>
      </w:r>
      <w:r w:rsidRPr="00645267">
        <w:rPr>
          <w:rFonts w:ascii="Times New Roman" w:hAnsi="Times New Roman"/>
          <w:color w:val="000000" w:themeColor="text1"/>
        </w:rPr>
        <w:t xml:space="preserve">of the suspension was loaded onto a sterile carrier and allowed to settle for 1–3 min to </w:t>
      </w:r>
      <w:r w:rsidRPr="00645267">
        <w:rPr>
          <w:rFonts w:ascii="Times New Roman" w:hAnsi="Times New Roman" w:hint="eastAsia"/>
          <w:color w:val="000000" w:themeColor="text1"/>
        </w:rPr>
        <w:t xml:space="preserve">prevent </w:t>
      </w:r>
      <w:r w:rsidRPr="00645267">
        <w:rPr>
          <w:rFonts w:ascii="Times New Roman" w:hAnsi="Times New Roman"/>
          <w:color w:val="000000" w:themeColor="text1"/>
        </w:rPr>
        <w:t xml:space="preserve"> edge drying and liquid pooling.</w:t>
      </w:r>
    </w:p>
    <w:p w14:paraId="215FD2A6" w14:textId="77777777" w:rsidR="00B007FC" w:rsidRPr="00645267" w:rsidRDefault="00B007FC" w:rsidP="00B007FC">
      <w:pPr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color w:val="000000" w:themeColor="text1"/>
        </w:rPr>
      </w:pPr>
      <w:r w:rsidRPr="00645267">
        <w:rPr>
          <w:rFonts w:ascii="Times New Roman" w:hAnsi="Times New Roman"/>
          <w:color w:val="000000" w:themeColor="text1"/>
        </w:rPr>
        <w:t xml:space="preserve">CPMI exposure. The loaded carrier was placed beneath the CPMI plasma discharge zone at a fixed standoff distance of 2–6 cm with normal incidence. Samples were treated at 2–8 W for an exposure duration of </w:t>
      </w:r>
      <w:r w:rsidRPr="00645267">
        <w:rPr>
          <w:rFonts w:ascii="Times New Roman" w:hAnsi="Times New Roman" w:hint="eastAsia"/>
          <w:color w:val="000000" w:themeColor="text1"/>
        </w:rPr>
        <w:t xml:space="preserve"> </w:t>
      </w:r>
      <w:r w:rsidRPr="00645267">
        <w:rPr>
          <w:rFonts w:ascii="Times New Roman" w:hAnsi="Times New Roman"/>
          <w:color w:val="000000" w:themeColor="text1"/>
        </w:rPr>
        <w:t>30–150 s. An unexposed control was included in each experimental</w:t>
      </w:r>
      <w:r w:rsidRPr="00645267">
        <w:rPr>
          <w:rFonts w:ascii="Times New Roman" w:hAnsi="Times New Roman" w:hint="eastAsia"/>
          <w:color w:val="000000" w:themeColor="text1"/>
        </w:rPr>
        <w:t xml:space="preserve"> </w:t>
      </w:r>
      <w:r w:rsidRPr="00645267">
        <w:rPr>
          <w:rFonts w:ascii="Times New Roman" w:hAnsi="Times New Roman"/>
          <w:color w:val="000000" w:themeColor="text1"/>
        </w:rPr>
        <w:t>run</w:t>
      </w:r>
      <w:r w:rsidRPr="00645267">
        <w:rPr>
          <w:rFonts w:ascii="Times New Roman" w:hAnsi="Times New Roman" w:hint="eastAsia"/>
          <w:color w:val="000000" w:themeColor="text1"/>
        </w:rPr>
        <w:t xml:space="preserve"> to </w:t>
      </w:r>
      <w:r w:rsidRPr="00645267">
        <w:rPr>
          <w:rFonts w:ascii="Times New Roman" w:hAnsi="Times New Roman"/>
          <w:color w:val="000000" w:themeColor="text1"/>
        </w:rPr>
        <w:t>account for background variability.</w:t>
      </w:r>
    </w:p>
    <w:p w14:paraId="7420EAF7" w14:textId="77777777" w:rsidR="00B007FC" w:rsidRPr="00645267" w:rsidRDefault="00B007FC" w:rsidP="00B007FC">
      <w:pPr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color w:val="000000" w:themeColor="text1"/>
        </w:rPr>
      </w:pPr>
      <w:r w:rsidRPr="00645267">
        <w:rPr>
          <w:rFonts w:ascii="Times New Roman" w:hAnsi="Times New Roman"/>
          <w:color w:val="000000" w:themeColor="text1"/>
        </w:rPr>
        <w:t xml:space="preserve">Recovery and serial dilution. Immediately after exposure, the carrier was transferred to a tube containing PBS and vortexed to elute cells. Ten-fold serial dilutions were </w:t>
      </w:r>
      <w:r w:rsidRPr="00645267">
        <w:rPr>
          <w:rFonts w:ascii="Times New Roman" w:hAnsi="Times New Roman"/>
          <w:color w:val="000000" w:themeColor="text1"/>
        </w:rPr>
        <w:lastRenderedPageBreak/>
        <w:t>prepared and plated for colony enumeration, enabling derivation of survival (death) curves and apparent mutation curves.</w:t>
      </w:r>
    </w:p>
    <w:p w14:paraId="2DE2FC91" w14:textId="77777777" w:rsidR="00B007FC" w:rsidRPr="00645267" w:rsidRDefault="00B007FC" w:rsidP="00B007FC">
      <w:pPr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color w:val="000000" w:themeColor="text1"/>
        </w:rPr>
      </w:pPr>
      <w:r w:rsidRPr="00645267">
        <w:rPr>
          <w:rFonts w:ascii="Times New Roman" w:hAnsi="Times New Roman"/>
          <w:color w:val="000000" w:themeColor="text1"/>
        </w:rPr>
        <w:t>Primary selection. Colonies exhibiting clear phenotypic deviations relative to the parental background were selected (e.g., deeper pigmentation, larger or smaller colony diameter, altered edge morphology, or loss of secretion).</w:t>
      </w:r>
    </w:p>
    <w:p w14:paraId="780023CF" w14:textId="77777777" w:rsidR="00B007FC" w:rsidRPr="00645267" w:rsidRDefault="00B007FC" w:rsidP="00B007FC">
      <w:pPr>
        <w:spacing w:line="480" w:lineRule="auto"/>
        <w:rPr>
          <w:rFonts w:ascii="Times New Roman" w:hAnsi="Times New Roman"/>
          <w:color w:val="000000" w:themeColor="text1"/>
        </w:rPr>
      </w:pPr>
      <w:r w:rsidRPr="00645267">
        <w:rPr>
          <w:rFonts w:ascii="Times New Roman" w:hAnsi="Times New Roman"/>
          <w:color w:val="000000" w:themeColor="text1"/>
        </w:rPr>
        <w:t>(6) Microplate-scale screening. Shortlisted isolates were cultivated in multiwell plates. Growth curves were recorded (e.g., growth rate and integrated OD₆₀₀) to eliminate false positives arising from slow growth.</w:t>
      </w:r>
    </w:p>
    <w:p w14:paraId="386AB3EF" w14:textId="77777777" w:rsidR="00B007FC" w:rsidRPr="00645267" w:rsidRDefault="00B007FC" w:rsidP="00B007FC">
      <w:pPr>
        <w:spacing w:line="480" w:lineRule="auto"/>
        <w:rPr>
          <w:rFonts w:ascii="Times New Roman" w:hAnsi="Times New Roman"/>
          <w:color w:val="000000" w:themeColor="text1"/>
        </w:rPr>
      </w:pPr>
      <w:r w:rsidRPr="00645267">
        <w:rPr>
          <w:rFonts w:ascii="Times New Roman" w:hAnsi="Times New Roman" w:hint="eastAsia"/>
          <w:color w:val="000000" w:themeColor="text1"/>
        </w:rPr>
        <w:t xml:space="preserve">(7) Confirmation of positives. Target product readouts (e.g., pigment titer) were quantified according to strain-specific assays. Isolates were passaged for </w:t>
      </w:r>
      <w:r w:rsidRPr="00645267">
        <w:rPr>
          <w:rFonts w:ascii="Times New Roman" w:hAnsi="Times New Roman" w:hint="eastAsia"/>
          <w:color w:val="000000" w:themeColor="text1"/>
        </w:rPr>
        <w:t>≥</w:t>
      </w:r>
      <w:r w:rsidRPr="00645267">
        <w:rPr>
          <w:rFonts w:ascii="Times New Roman" w:hAnsi="Times New Roman" w:hint="eastAsia"/>
          <w:color w:val="000000" w:themeColor="text1"/>
        </w:rPr>
        <w:t xml:space="preserve">10 generations, with repeated measurements to verify stability. Only mutants demonstrating stable </w:t>
      </w:r>
      <w:r w:rsidRPr="00645267">
        <w:rPr>
          <w:rFonts w:ascii="Times New Roman" w:hAnsi="Times New Roman"/>
          <w:color w:val="000000" w:themeColor="text1"/>
        </w:rPr>
        <w:t>performance were retained.</w:t>
      </w:r>
    </w:p>
    <w:p w14:paraId="7085BBDA" w14:textId="77777777" w:rsidR="00B007FC" w:rsidRPr="00645267" w:rsidRDefault="00B007FC" w:rsidP="00B007FC">
      <w:pPr>
        <w:spacing w:line="480" w:lineRule="auto"/>
        <w:rPr>
          <w:rFonts w:ascii="Times New Roman" w:hAnsi="Times New Roman"/>
        </w:rPr>
      </w:pPr>
      <w:r w:rsidRPr="00645267">
        <w:rPr>
          <w:rFonts w:ascii="Times New Roman" w:hAnsi="Times New Roman"/>
        </w:rPr>
        <w:t>We highlight</w:t>
      </w:r>
      <w:r w:rsidRPr="00645267">
        <w:rPr>
          <w:rFonts w:ascii="Times New Roman" w:hAnsi="Times New Roman" w:hint="eastAsia"/>
        </w:rPr>
        <w:t xml:space="preserve"> four </w:t>
      </w:r>
      <w:r w:rsidRPr="00645267">
        <w:rPr>
          <w:rFonts w:ascii="Times New Roman" w:hAnsi="Times New Roman"/>
        </w:rPr>
        <w:t>key control points (KCPs)</w:t>
      </w:r>
      <w:r w:rsidRPr="00645267">
        <w:rPr>
          <w:rFonts w:ascii="Times New Roman" w:hAnsi="Times New Roman"/>
          <w:lang w:bidi="ar"/>
        </w:rPr>
        <w:t>to ensure reproducibility and reliability of CPMI-mediated mutagenesis</w:t>
      </w:r>
      <w:r w:rsidRPr="00645267">
        <w:rPr>
          <w:rFonts w:ascii="Times New Roman" w:hAnsi="Times New Roman"/>
        </w:rPr>
        <w:t>: (i) Uniform spreading on the carrier</w:t>
      </w:r>
      <w:r w:rsidRPr="00645267">
        <w:rPr>
          <w:rFonts w:ascii="Times New Roman" w:hAnsi="Times New Roman" w:hint="eastAsia"/>
        </w:rPr>
        <w:t>.</w:t>
      </w:r>
      <w:r w:rsidRPr="00645267">
        <w:rPr>
          <w:rFonts w:ascii="Times New Roman" w:hAnsi="Times New Roman"/>
          <w:lang w:bidi="ar"/>
        </w:rPr>
        <w:t>Ensure the cell/spore suspension spreads evenly to avoid puddling (which causes uneven plasma exposure) and edge dry-out (which reduces cell viability)</w:t>
      </w:r>
      <w:r w:rsidRPr="00645267">
        <w:rPr>
          <w:rFonts w:ascii="Times New Roman" w:hAnsi="Times New Roman"/>
        </w:rPr>
        <w:t>; (ii) stable standoff and normal incidence during exposure</w:t>
      </w:r>
      <w:r w:rsidRPr="00645267">
        <w:rPr>
          <w:rFonts w:ascii="Times New Roman" w:hAnsi="Times New Roman" w:hint="eastAsia"/>
        </w:rPr>
        <w:t>;</w:t>
      </w:r>
      <w:r w:rsidRPr="00645267">
        <w:rPr>
          <w:rFonts w:ascii="Times New Roman" w:hAnsi="Times New Roman"/>
        </w:rPr>
        <w:t xml:space="preserve"> (iii) rapid recovery immediately post-exposure to minimize post-treatment drift; and (iv) consistent dilution and plating to ensure comparability of survival estimates.</w:t>
      </w:r>
      <w:r w:rsidRPr="00645267">
        <w:rPr>
          <w:rFonts w:ascii="Times New Roman" w:hAnsi="Times New Roman" w:hint="eastAsia"/>
        </w:rPr>
        <w:t xml:space="preserve"> </w:t>
      </w:r>
      <w:r w:rsidRPr="00645267">
        <w:rPr>
          <w:rFonts w:ascii="Times New Roman" w:hAnsi="Times New Roman"/>
        </w:rPr>
        <w:t>For curve computation,</w:t>
      </w:r>
      <w:r w:rsidRPr="00645267">
        <w:rPr>
          <w:rFonts w:ascii="Times New Roman" w:hAnsi="Times New Roman"/>
          <w:lang w:bidi="ar"/>
        </w:rPr>
        <w:t>the following metrics are derived from CFU enumeration and phenotypic screening:</w:t>
      </w:r>
    </w:p>
    <w:p w14:paraId="558486D7" w14:textId="77777777" w:rsidR="00B007FC" w:rsidRPr="00645267" w:rsidRDefault="00B007FC" w:rsidP="00B007FC">
      <w:pPr>
        <w:spacing w:line="480" w:lineRule="auto"/>
        <w:rPr>
          <w:rFonts w:ascii="Times New Roman" w:hAnsi="Times New Roman"/>
        </w:rPr>
      </w:pPr>
      <w:r w:rsidRPr="00645267">
        <w:rPr>
          <w:rFonts w:ascii="Times New Roman" w:hAnsi="Times New Roman"/>
        </w:rPr>
        <w:t>Survival rate: Calculated as the ratio of treated to</w:t>
      </w:r>
      <w:r w:rsidRPr="00645267">
        <w:rPr>
          <w:rFonts w:ascii="Times New Roman" w:hAnsi="Times New Roman" w:hint="eastAsia"/>
        </w:rPr>
        <w:t xml:space="preserve"> </w:t>
      </w:r>
      <w:r w:rsidRPr="00645267">
        <w:rPr>
          <w:rFonts w:ascii="Times New Roman" w:hAnsi="Times New Roman"/>
        </w:rPr>
        <w:t xml:space="preserve"> control CFUs:Survival=CFU treated / CFU control;</w:t>
      </w:r>
      <w:r w:rsidRPr="00645267">
        <w:rPr>
          <w:rFonts w:ascii="Times New Roman" w:hAnsi="Times New Roman" w:hint="eastAsia"/>
        </w:rPr>
        <w:t xml:space="preserve"> </w:t>
      </w:r>
      <w:r w:rsidRPr="00645267">
        <w:rPr>
          <w:rFonts w:ascii="Times New Roman" w:hAnsi="Times New Roman"/>
        </w:rPr>
        <w:t>the death curve</w:t>
      </w:r>
      <w:r w:rsidRPr="00645267">
        <w:rPr>
          <w:rFonts w:ascii="Times New Roman" w:hAnsi="Times New Roman" w:hint="eastAsia"/>
        </w:rPr>
        <w:t>:</w:t>
      </w:r>
      <w:r w:rsidRPr="00645267">
        <w:rPr>
          <w:rFonts w:ascii="Times New Roman" w:hAnsi="Times New Roman"/>
        </w:rPr>
        <w:t xml:space="preserve">Generated by subtracting survival from 1. The </w:t>
      </w:r>
      <w:r w:rsidRPr="00645267">
        <w:rPr>
          <w:rFonts w:ascii="Times New Roman" w:hAnsi="Times New Roman"/>
        </w:rPr>
        <w:lastRenderedPageBreak/>
        <w:t>apparent mutation curve</w:t>
      </w:r>
      <w:r w:rsidRPr="00645267">
        <w:rPr>
          <w:rFonts w:ascii="Times New Roman" w:hAnsi="Times New Roman" w:hint="eastAsia"/>
        </w:rPr>
        <w:t>:</w:t>
      </w:r>
      <w:r w:rsidRPr="00645267">
        <w:rPr>
          <w:rFonts w:ascii="Times New Roman" w:hAnsi="Times New Roman"/>
        </w:rPr>
        <w:t xml:space="preserve">obtained by normalizing the number(or fraction) of pre-specified phenotype-positive colonies to total CFU at that exposure, reported versus power or time. </w:t>
      </w:r>
    </w:p>
    <w:p w14:paraId="5835CEA1" w14:textId="77777777" w:rsidR="00B007FC" w:rsidRPr="004A5AC0" w:rsidRDefault="00B007FC" w:rsidP="00B007FC">
      <w:pPr>
        <w:spacing w:line="480" w:lineRule="auto"/>
        <w:rPr>
          <w:rFonts w:ascii="Times New Roman" w:hAnsi="Times New Roman"/>
        </w:rPr>
      </w:pPr>
      <w:r w:rsidRPr="00645267">
        <w:rPr>
          <w:rFonts w:ascii="Times New Roman" w:hAnsi="Times New Roman"/>
        </w:rPr>
        <w:t xml:space="preserve">These two metrics provide complementary views—damage versus viability—that align with the power–time heatmap (Fig. 1c). In practice, </w:t>
      </w:r>
      <w:r w:rsidRPr="00645267">
        <w:rPr>
          <w:rFonts w:ascii="Times New Roman" w:hAnsi="Times New Roman"/>
          <w:lang w:bidi="ar"/>
        </w:rPr>
        <w:t>we recommend</w:t>
      </w:r>
      <w:r w:rsidRPr="00645267">
        <w:rPr>
          <w:rFonts w:ascii="Times New Roman" w:hAnsi="Times New Roman" w:hint="eastAsia"/>
          <w:lang w:bidi="ar"/>
        </w:rPr>
        <w:t xml:space="preserve"> </w:t>
      </w:r>
      <w:r w:rsidRPr="00645267">
        <w:rPr>
          <w:rFonts w:ascii="Times New Roman" w:hAnsi="Times New Roman"/>
        </w:rPr>
        <w:t xml:space="preserve">users </w:t>
      </w:r>
      <w:r w:rsidRPr="00645267">
        <w:rPr>
          <w:rFonts w:ascii="Times New Roman" w:hAnsi="Times New Roman"/>
          <w:lang w:bidi="ar"/>
        </w:rPr>
        <w:t>adopt a stepwise optimization workflow:</w:t>
      </w:r>
      <w:r w:rsidRPr="00645267">
        <w:rPr>
          <w:rFonts w:ascii="Times New Roman" w:hAnsi="Times New Roman"/>
        </w:rPr>
        <w:t>begin with short exposures at 2–4 W, then increment power/time in small steps</w:t>
      </w:r>
      <w:r w:rsidRPr="00645267">
        <w:rPr>
          <w:rFonts w:ascii="Times New Roman" w:hAnsi="Times New Roman" w:hint="eastAsia"/>
        </w:rPr>
        <w:t xml:space="preserve"> </w:t>
      </w:r>
      <w:r w:rsidRPr="00645267">
        <w:rPr>
          <w:rFonts w:ascii="Times New Roman" w:hAnsi="Times New Roman"/>
        </w:rPr>
        <w:t>while monitoring both curves</w:t>
      </w:r>
      <w:r w:rsidRPr="00645267">
        <w:rPr>
          <w:rFonts w:ascii="Times New Roman" w:hAnsi="Times New Roman" w:hint="eastAsia"/>
        </w:rPr>
        <w:t>;</w:t>
      </w:r>
      <w:r w:rsidRPr="00645267">
        <w:rPr>
          <w:rFonts w:ascii="Times New Roman" w:hAnsi="Times New Roman"/>
        </w:rPr>
        <w:t xml:space="preserve"> identify the operating window where SOS-linked DNA damage (indicated by mutation activity) is induced  without excessive cytotoxicity.</w:t>
      </w:r>
    </w:p>
    <w:p w14:paraId="7800EFE9" w14:textId="77777777" w:rsidR="00B007FC" w:rsidRPr="00B007FC" w:rsidRDefault="00B007FC" w:rsidP="000D21CD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3D734C4" w14:textId="77777777" w:rsidR="000D21CD" w:rsidRPr="00CE3D75" w:rsidRDefault="000D21CD" w:rsidP="000D21CD">
      <w:pPr>
        <w:rPr>
          <w:rFonts w:ascii="Times New Roman" w:hAnsi="Times New Roman" w:cs="Times New Roman"/>
          <w:color w:val="000000" w:themeColor="text1"/>
        </w:rPr>
      </w:pPr>
      <w:r w:rsidRPr="00CE3D75">
        <w:rPr>
          <w:rFonts w:ascii="Times New Roman" w:hAnsi="Times New Roman" w:cs="Times New Roman"/>
          <w:color w:val="000000" w:themeColor="text1"/>
        </w:rPr>
        <w:t>T</w:t>
      </w:r>
      <w:r w:rsidRPr="00CE3D75">
        <w:rPr>
          <w:rFonts w:ascii="Times New Roman" w:hAnsi="Times New Roman" w:cs="Times New Roman" w:hint="eastAsia"/>
          <w:color w:val="000000" w:themeColor="text1"/>
        </w:rPr>
        <w:t>able S</w:t>
      </w:r>
      <w:r w:rsidRPr="00CE3D75">
        <w:rPr>
          <w:rFonts w:ascii="Times New Roman" w:hAnsi="Times New Roman" w:cs="Times New Roman"/>
          <w:color w:val="000000" w:themeColor="text1"/>
        </w:rPr>
        <w:t>1 Comparison of genotoxicity of Salmonella typhimurium TA1535/pSK1002 against different power CPMI treatments</w:t>
      </w:r>
    </w:p>
    <w:tbl>
      <w:tblPr>
        <w:tblStyle w:val="11"/>
        <w:tblW w:w="8222" w:type="dxa"/>
        <w:jc w:val="center"/>
        <w:tblLook w:val="04A0" w:firstRow="1" w:lastRow="0" w:firstColumn="1" w:lastColumn="0" w:noHBand="0" w:noVBand="1"/>
      </w:tblPr>
      <w:tblGrid>
        <w:gridCol w:w="1529"/>
        <w:gridCol w:w="1383"/>
        <w:gridCol w:w="1625"/>
        <w:gridCol w:w="1701"/>
        <w:gridCol w:w="1984"/>
      </w:tblGrid>
      <w:tr w:rsidR="000D21CD" w14:paraId="7EC69583" w14:textId="77777777" w:rsidTr="006575EE">
        <w:trPr>
          <w:jc w:val="center"/>
        </w:trPr>
        <w:tc>
          <w:tcPr>
            <w:tcW w:w="1529" w:type="dxa"/>
            <w:vAlign w:val="center"/>
          </w:tcPr>
          <w:p w14:paraId="420FF46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bookmarkStart w:id="0" w:name="OLE_LINK1"/>
            <w:r>
              <w:rPr>
                <w:sz w:val="21"/>
                <w:szCs w:val="21"/>
              </w:rPr>
              <w:t>Power</w:t>
            </w:r>
          </w:p>
          <w:p w14:paraId="792106C2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(w)</w:t>
            </w:r>
            <w:bookmarkEnd w:id="0"/>
          </w:p>
        </w:tc>
        <w:tc>
          <w:tcPr>
            <w:tcW w:w="1383" w:type="dxa"/>
            <w:vAlign w:val="center"/>
          </w:tcPr>
          <w:p w14:paraId="030D48C6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bookmarkStart w:id="1" w:name="OLE_LINK2"/>
            <w:r>
              <w:rPr>
                <w:sz w:val="21"/>
                <w:szCs w:val="21"/>
              </w:rPr>
              <w:t>Time</w:t>
            </w:r>
          </w:p>
          <w:p w14:paraId="2FAD96F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(s)</w:t>
            </w:r>
            <w:bookmarkEnd w:id="1"/>
          </w:p>
        </w:tc>
        <w:tc>
          <w:tcPr>
            <w:tcW w:w="1625" w:type="dxa"/>
            <w:vAlign w:val="center"/>
          </w:tcPr>
          <w:p w14:paraId="3186578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G</w:t>
            </w:r>
          </w:p>
          <w:p w14:paraId="09D9C5C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(The growth factor)</w:t>
            </w:r>
          </w:p>
        </w:tc>
        <w:tc>
          <w:tcPr>
            <w:tcW w:w="1701" w:type="dxa"/>
            <w:vAlign w:val="center"/>
          </w:tcPr>
          <w:p w14:paraId="0285C31C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IR</w:t>
            </w:r>
          </w:p>
          <w:p w14:paraId="609AABC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(The relative SOS induction rate)</w:t>
            </w:r>
          </w:p>
        </w:tc>
        <w:tc>
          <w:tcPr>
            <w:tcW w:w="1984" w:type="dxa"/>
            <w:vAlign w:val="center"/>
          </w:tcPr>
          <w:p w14:paraId="28BD3B14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ΔE</w:t>
            </w:r>
            <w:r>
              <w:rPr>
                <w:sz w:val="21"/>
                <w:szCs w:val="21"/>
                <w:vertAlign w:val="subscript"/>
              </w:rPr>
              <w:t>max</w:t>
            </w:r>
          </w:p>
          <w:p w14:paraId="7E903EC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（Maximum β-galactosidase activity per unit cell density）</w:t>
            </w:r>
          </w:p>
        </w:tc>
      </w:tr>
      <w:tr w:rsidR="000D21CD" w14:paraId="5E5C0756" w14:textId="77777777" w:rsidTr="006575EE">
        <w:trPr>
          <w:jc w:val="center"/>
        </w:trPr>
        <w:tc>
          <w:tcPr>
            <w:tcW w:w="1529" w:type="dxa"/>
            <w:vMerge w:val="restart"/>
            <w:vAlign w:val="center"/>
          </w:tcPr>
          <w:p w14:paraId="2362CEC8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bookmarkStart w:id="2" w:name="_Hlk213771984"/>
            <w:r>
              <w:rPr>
                <w:sz w:val="21"/>
                <w:szCs w:val="21"/>
              </w:rPr>
              <w:t>2</w:t>
            </w:r>
          </w:p>
        </w:tc>
        <w:tc>
          <w:tcPr>
            <w:tcW w:w="1383" w:type="dxa"/>
            <w:vAlign w:val="center"/>
          </w:tcPr>
          <w:p w14:paraId="20A3A2C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625" w:type="dxa"/>
            <w:vAlign w:val="center"/>
          </w:tcPr>
          <w:p w14:paraId="40A96BA3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0.95</w:t>
            </w:r>
          </w:p>
        </w:tc>
        <w:tc>
          <w:tcPr>
            <w:tcW w:w="1701" w:type="dxa"/>
            <w:vAlign w:val="center"/>
          </w:tcPr>
          <w:p w14:paraId="3E932BE6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3.20</w:t>
            </w:r>
          </w:p>
        </w:tc>
        <w:tc>
          <w:tcPr>
            <w:tcW w:w="1984" w:type="dxa"/>
            <w:vAlign w:val="center"/>
          </w:tcPr>
          <w:p w14:paraId="2F07EEAC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3.34</w:t>
            </w:r>
          </w:p>
        </w:tc>
      </w:tr>
      <w:tr w:rsidR="000D21CD" w14:paraId="49DD8776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0B9259B1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0887A0EA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40</w:t>
            </w:r>
          </w:p>
        </w:tc>
        <w:tc>
          <w:tcPr>
            <w:tcW w:w="1625" w:type="dxa"/>
            <w:vAlign w:val="center"/>
          </w:tcPr>
          <w:p w14:paraId="5634DAA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0.84</w:t>
            </w:r>
          </w:p>
        </w:tc>
        <w:tc>
          <w:tcPr>
            <w:tcW w:w="1701" w:type="dxa"/>
            <w:vAlign w:val="center"/>
          </w:tcPr>
          <w:p w14:paraId="44B5ABA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6.00</w:t>
            </w:r>
          </w:p>
        </w:tc>
        <w:tc>
          <w:tcPr>
            <w:tcW w:w="1984" w:type="dxa"/>
            <w:vAlign w:val="center"/>
          </w:tcPr>
          <w:p w14:paraId="08874E8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6.26</w:t>
            </w:r>
          </w:p>
        </w:tc>
      </w:tr>
      <w:tr w:rsidR="000D21CD" w14:paraId="1E75E2F2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52A28698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40124F0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1625" w:type="dxa"/>
            <w:vAlign w:val="center"/>
          </w:tcPr>
          <w:p w14:paraId="196FC42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0.74</w:t>
            </w:r>
          </w:p>
        </w:tc>
        <w:tc>
          <w:tcPr>
            <w:tcW w:w="1701" w:type="dxa"/>
            <w:vAlign w:val="center"/>
          </w:tcPr>
          <w:p w14:paraId="6FC3B2A6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4.55</w:t>
            </w:r>
          </w:p>
        </w:tc>
        <w:tc>
          <w:tcPr>
            <w:tcW w:w="1984" w:type="dxa"/>
            <w:vAlign w:val="center"/>
          </w:tcPr>
          <w:p w14:paraId="41A97EE5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4.74</w:t>
            </w:r>
          </w:p>
        </w:tc>
      </w:tr>
      <w:tr w:rsidR="000D21CD" w14:paraId="2F18F524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2B9029E5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54A3F0B6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</w:p>
        </w:tc>
        <w:tc>
          <w:tcPr>
            <w:tcW w:w="1625" w:type="dxa"/>
            <w:vAlign w:val="center"/>
          </w:tcPr>
          <w:p w14:paraId="30564AA3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0.66</w:t>
            </w:r>
          </w:p>
        </w:tc>
        <w:tc>
          <w:tcPr>
            <w:tcW w:w="1701" w:type="dxa"/>
            <w:vAlign w:val="center"/>
          </w:tcPr>
          <w:p w14:paraId="797A24D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0.29</w:t>
            </w:r>
          </w:p>
        </w:tc>
        <w:tc>
          <w:tcPr>
            <w:tcW w:w="1984" w:type="dxa"/>
            <w:vAlign w:val="center"/>
          </w:tcPr>
          <w:p w14:paraId="5DE4D70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0.30</w:t>
            </w:r>
          </w:p>
        </w:tc>
      </w:tr>
      <w:tr w:rsidR="000D21CD" w14:paraId="0383F211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6B812D42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55B22C3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1625" w:type="dxa"/>
            <w:vAlign w:val="center"/>
          </w:tcPr>
          <w:p w14:paraId="2F583CB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0.51</w:t>
            </w:r>
          </w:p>
        </w:tc>
        <w:tc>
          <w:tcPr>
            <w:tcW w:w="1701" w:type="dxa"/>
            <w:vAlign w:val="center"/>
          </w:tcPr>
          <w:p w14:paraId="671CF092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0.15</w:t>
            </w:r>
          </w:p>
        </w:tc>
        <w:tc>
          <w:tcPr>
            <w:tcW w:w="1984" w:type="dxa"/>
            <w:vAlign w:val="center"/>
          </w:tcPr>
          <w:p w14:paraId="5C45F99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0.16</w:t>
            </w:r>
          </w:p>
        </w:tc>
      </w:tr>
      <w:tr w:rsidR="000D21CD" w14:paraId="5EEEAFAE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77EA271A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6CEB01BC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1625" w:type="dxa"/>
            <w:vAlign w:val="center"/>
          </w:tcPr>
          <w:p w14:paraId="0EAE7BB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0.48</w:t>
            </w:r>
          </w:p>
        </w:tc>
        <w:tc>
          <w:tcPr>
            <w:tcW w:w="1701" w:type="dxa"/>
            <w:vAlign w:val="center"/>
          </w:tcPr>
          <w:p w14:paraId="56CCDD0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0.12</w:t>
            </w:r>
          </w:p>
        </w:tc>
        <w:tc>
          <w:tcPr>
            <w:tcW w:w="1984" w:type="dxa"/>
            <w:vAlign w:val="center"/>
          </w:tcPr>
          <w:p w14:paraId="0C48C65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0.12</w:t>
            </w:r>
          </w:p>
        </w:tc>
      </w:tr>
      <w:bookmarkEnd w:id="2"/>
      <w:tr w:rsidR="000D21CD" w14:paraId="55DD667F" w14:textId="77777777" w:rsidTr="006575EE">
        <w:trPr>
          <w:jc w:val="center"/>
        </w:trPr>
        <w:tc>
          <w:tcPr>
            <w:tcW w:w="1529" w:type="dxa"/>
            <w:vMerge w:val="restart"/>
            <w:vAlign w:val="center"/>
          </w:tcPr>
          <w:p w14:paraId="05D69482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383" w:type="dxa"/>
            <w:vAlign w:val="center"/>
          </w:tcPr>
          <w:p w14:paraId="140C011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625" w:type="dxa"/>
            <w:vAlign w:val="center"/>
          </w:tcPr>
          <w:p w14:paraId="2B929C3C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0.74</w:t>
            </w:r>
          </w:p>
        </w:tc>
        <w:tc>
          <w:tcPr>
            <w:tcW w:w="1701" w:type="dxa"/>
            <w:vAlign w:val="center"/>
          </w:tcPr>
          <w:p w14:paraId="32806B36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3.47</w:t>
            </w:r>
          </w:p>
        </w:tc>
        <w:tc>
          <w:tcPr>
            <w:tcW w:w="1984" w:type="dxa"/>
            <w:vAlign w:val="center"/>
          </w:tcPr>
          <w:p w14:paraId="039DC00D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3.61</w:t>
            </w:r>
          </w:p>
        </w:tc>
      </w:tr>
      <w:tr w:rsidR="000D21CD" w14:paraId="1A4D73D9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29B203A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2D44197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40</w:t>
            </w:r>
          </w:p>
        </w:tc>
        <w:tc>
          <w:tcPr>
            <w:tcW w:w="1625" w:type="dxa"/>
            <w:vAlign w:val="center"/>
          </w:tcPr>
          <w:p w14:paraId="2892536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0.52</w:t>
            </w:r>
          </w:p>
        </w:tc>
        <w:tc>
          <w:tcPr>
            <w:tcW w:w="1701" w:type="dxa"/>
            <w:vAlign w:val="center"/>
          </w:tcPr>
          <w:p w14:paraId="1096A0D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8.64</w:t>
            </w:r>
          </w:p>
        </w:tc>
        <w:tc>
          <w:tcPr>
            <w:tcW w:w="1984" w:type="dxa"/>
            <w:vAlign w:val="center"/>
          </w:tcPr>
          <w:p w14:paraId="7DA411D8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9.01</w:t>
            </w:r>
          </w:p>
        </w:tc>
      </w:tr>
      <w:tr w:rsidR="000D21CD" w14:paraId="43E2BDA6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2862005C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52B4898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1625" w:type="dxa"/>
            <w:vAlign w:val="center"/>
          </w:tcPr>
          <w:p w14:paraId="730E1F5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0.37</w:t>
            </w:r>
          </w:p>
        </w:tc>
        <w:tc>
          <w:tcPr>
            <w:tcW w:w="1701" w:type="dxa"/>
            <w:vAlign w:val="center"/>
          </w:tcPr>
          <w:p w14:paraId="7FD652FA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13.35</w:t>
            </w:r>
          </w:p>
        </w:tc>
        <w:tc>
          <w:tcPr>
            <w:tcW w:w="1984" w:type="dxa"/>
            <w:vAlign w:val="center"/>
          </w:tcPr>
          <w:p w14:paraId="5C3A4E82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13.92</w:t>
            </w:r>
          </w:p>
        </w:tc>
      </w:tr>
      <w:tr w:rsidR="000D21CD" w14:paraId="232F036A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6C925CC6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45FDFF1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</w:p>
        </w:tc>
        <w:tc>
          <w:tcPr>
            <w:tcW w:w="1625" w:type="dxa"/>
            <w:vAlign w:val="center"/>
          </w:tcPr>
          <w:p w14:paraId="3C308D4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0.31</w:t>
            </w:r>
          </w:p>
        </w:tc>
        <w:tc>
          <w:tcPr>
            <w:tcW w:w="1701" w:type="dxa"/>
            <w:vAlign w:val="center"/>
          </w:tcPr>
          <w:p w14:paraId="2DA951F6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15.33</w:t>
            </w:r>
          </w:p>
        </w:tc>
        <w:tc>
          <w:tcPr>
            <w:tcW w:w="1984" w:type="dxa"/>
            <w:vAlign w:val="center"/>
          </w:tcPr>
          <w:p w14:paraId="53BA0A6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15.99</w:t>
            </w:r>
          </w:p>
        </w:tc>
      </w:tr>
      <w:tr w:rsidR="000D21CD" w14:paraId="63D12334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5DA2D11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4A3C92E2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1625" w:type="dxa"/>
            <w:vAlign w:val="center"/>
          </w:tcPr>
          <w:p w14:paraId="10DBCA0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0.22</w:t>
            </w:r>
          </w:p>
        </w:tc>
        <w:tc>
          <w:tcPr>
            <w:tcW w:w="1701" w:type="dxa"/>
            <w:vAlign w:val="center"/>
          </w:tcPr>
          <w:p w14:paraId="5AE27E41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16.65</w:t>
            </w:r>
          </w:p>
        </w:tc>
        <w:tc>
          <w:tcPr>
            <w:tcW w:w="1984" w:type="dxa"/>
            <w:vAlign w:val="center"/>
          </w:tcPr>
          <w:p w14:paraId="3E126C4A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17.36</w:t>
            </w:r>
          </w:p>
        </w:tc>
      </w:tr>
      <w:tr w:rsidR="000D21CD" w14:paraId="786862B1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6940774D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692DB703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1625" w:type="dxa"/>
            <w:vAlign w:val="center"/>
          </w:tcPr>
          <w:p w14:paraId="19D2D97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0.15</w:t>
            </w:r>
          </w:p>
        </w:tc>
        <w:tc>
          <w:tcPr>
            <w:tcW w:w="1701" w:type="dxa"/>
            <w:vAlign w:val="center"/>
          </w:tcPr>
          <w:p w14:paraId="48ED68D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14.56</w:t>
            </w:r>
          </w:p>
        </w:tc>
        <w:tc>
          <w:tcPr>
            <w:tcW w:w="1984" w:type="dxa"/>
            <w:vAlign w:val="center"/>
          </w:tcPr>
          <w:p w14:paraId="56DD0728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15.18</w:t>
            </w:r>
          </w:p>
        </w:tc>
      </w:tr>
      <w:tr w:rsidR="000D21CD" w14:paraId="4605E25F" w14:textId="77777777" w:rsidTr="006575EE">
        <w:trPr>
          <w:jc w:val="center"/>
        </w:trPr>
        <w:tc>
          <w:tcPr>
            <w:tcW w:w="1529" w:type="dxa"/>
            <w:vMerge w:val="restart"/>
            <w:vAlign w:val="center"/>
          </w:tcPr>
          <w:p w14:paraId="579F265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383" w:type="dxa"/>
            <w:vAlign w:val="center"/>
          </w:tcPr>
          <w:p w14:paraId="0F8EFC8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625" w:type="dxa"/>
            <w:vAlign w:val="center"/>
          </w:tcPr>
          <w:p w14:paraId="7B7A728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0.63</w:t>
            </w:r>
          </w:p>
        </w:tc>
        <w:tc>
          <w:tcPr>
            <w:tcW w:w="1701" w:type="dxa"/>
            <w:vAlign w:val="center"/>
          </w:tcPr>
          <w:p w14:paraId="23877FD4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5.11</w:t>
            </w:r>
          </w:p>
        </w:tc>
        <w:tc>
          <w:tcPr>
            <w:tcW w:w="1984" w:type="dxa"/>
            <w:vAlign w:val="center"/>
          </w:tcPr>
          <w:p w14:paraId="203FAE13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5.32</w:t>
            </w:r>
          </w:p>
        </w:tc>
      </w:tr>
      <w:tr w:rsidR="000D21CD" w14:paraId="329C9F6F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6ACA3DB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6BAD6758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40</w:t>
            </w:r>
          </w:p>
        </w:tc>
        <w:tc>
          <w:tcPr>
            <w:tcW w:w="1625" w:type="dxa"/>
            <w:vAlign w:val="center"/>
          </w:tcPr>
          <w:p w14:paraId="76629613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0.37</w:t>
            </w:r>
          </w:p>
        </w:tc>
        <w:tc>
          <w:tcPr>
            <w:tcW w:w="1701" w:type="dxa"/>
            <w:vAlign w:val="center"/>
          </w:tcPr>
          <w:p w14:paraId="3F24418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13.19</w:t>
            </w:r>
          </w:p>
        </w:tc>
        <w:tc>
          <w:tcPr>
            <w:tcW w:w="1984" w:type="dxa"/>
            <w:vAlign w:val="center"/>
          </w:tcPr>
          <w:p w14:paraId="6CF29DCC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13.75</w:t>
            </w:r>
          </w:p>
        </w:tc>
      </w:tr>
      <w:tr w:rsidR="000D21CD" w14:paraId="4E210CFB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3D9D36C6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534B0E6A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1625" w:type="dxa"/>
            <w:vAlign w:val="center"/>
          </w:tcPr>
          <w:p w14:paraId="0174D31A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0.23</w:t>
            </w:r>
          </w:p>
        </w:tc>
        <w:tc>
          <w:tcPr>
            <w:tcW w:w="1701" w:type="dxa"/>
            <w:vAlign w:val="center"/>
          </w:tcPr>
          <w:p w14:paraId="79D330B5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17.02</w:t>
            </w:r>
          </w:p>
        </w:tc>
        <w:tc>
          <w:tcPr>
            <w:tcW w:w="1984" w:type="dxa"/>
            <w:vAlign w:val="center"/>
          </w:tcPr>
          <w:p w14:paraId="36008CA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17.75</w:t>
            </w:r>
          </w:p>
        </w:tc>
      </w:tr>
      <w:tr w:rsidR="000D21CD" w14:paraId="4AC736D4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64FBCE0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2B1AC785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</w:p>
        </w:tc>
        <w:tc>
          <w:tcPr>
            <w:tcW w:w="1625" w:type="dxa"/>
            <w:vAlign w:val="center"/>
          </w:tcPr>
          <w:p w14:paraId="3D64F3E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0.11</w:t>
            </w:r>
          </w:p>
        </w:tc>
        <w:tc>
          <w:tcPr>
            <w:tcW w:w="1701" w:type="dxa"/>
            <w:vAlign w:val="center"/>
          </w:tcPr>
          <w:p w14:paraId="64EE0D21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14.41</w:t>
            </w:r>
          </w:p>
        </w:tc>
        <w:tc>
          <w:tcPr>
            <w:tcW w:w="1984" w:type="dxa"/>
            <w:vAlign w:val="center"/>
          </w:tcPr>
          <w:p w14:paraId="1B7AA2E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15.03</w:t>
            </w:r>
          </w:p>
        </w:tc>
      </w:tr>
      <w:tr w:rsidR="000D21CD" w14:paraId="5B885CF6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578F397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2C9D150D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1625" w:type="dxa"/>
            <w:vAlign w:val="center"/>
          </w:tcPr>
          <w:p w14:paraId="213D66B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0.09</w:t>
            </w:r>
          </w:p>
        </w:tc>
        <w:tc>
          <w:tcPr>
            <w:tcW w:w="1701" w:type="dxa"/>
            <w:vAlign w:val="center"/>
          </w:tcPr>
          <w:p w14:paraId="4B9B6AC1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2.59</w:t>
            </w:r>
          </w:p>
        </w:tc>
        <w:tc>
          <w:tcPr>
            <w:tcW w:w="1984" w:type="dxa"/>
            <w:vAlign w:val="center"/>
          </w:tcPr>
          <w:p w14:paraId="245B3EE3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:rsidR="000D21CD" w14:paraId="1438A4BB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196322A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0B365AD6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1625" w:type="dxa"/>
            <w:vAlign w:val="center"/>
          </w:tcPr>
          <w:p w14:paraId="3F476D41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0.09</w:t>
            </w:r>
          </w:p>
        </w:tc>
        <w:tc>
          <w:tcPr>
            <w:tcW w:w="1701" w:type="dxa"/>
            <w:vAlign w:val="center"/>
          </w:tcPr>
          <w:p w14:paraId="32372238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0.65</w:t>
            </w:r>
          </w:p>
        </w:tc>
        <w:tc>
          <w:tcPr>
            <w:tcW w:w="1984" w:type="dxa"/>
            <w:vAlign w:val="center"/>
          </w:tcPr>
          <w:p w14:paraId="08287C63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0.68</w:t>
            </w:r>
          </w:p>
        </w:tc>
      </w:tr>
      <w:tr w:rsidR="000D21CD" w14:paraId="63038FCA" w14:textId="77777777" w:rsidTr="006575EE">
        <w:trPr>
          <w:jc w:val="center"/>
        </w:trPr>
        <w:tc>
          <w:tcPr>
            <w:tcW w:w="1529" w:type="dxa"/>
            <w:vMerge w:val="restart"/>
            <w:vAlign w:val="center"/>
          </w:tcPr>
          <w:p w14:paraId="5C14475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383" w:type="dxa"/>
            <w:vAlign w:val="center"/>
          </w:tcPr>
          <w:p w14:paraId="1101B14C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625" w:type="dxa"/>
            <w:vAlign w:val="center"/>
          </w:tcPr>
          <w:p w14:paraId="08FB582D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0.65</w:t>
            </w:r>
          </w:p>
        </w:tc>
        <w:tc>
          <w:tcPr>
            <w:tcW w:w="1701" w:type="dxa"/>
            <w:vAlign w:val="center"/>
          </w:tcPr>
          <w:p w14:paraId="2D72663A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4.71</w:t>
            </w:r>
          </w:p>
        </w:tc>
        <w:tc>
          <w:tcPr>
            <w:tcW w:w="1984" w:type="dxa"/>
            <w:vAlign w:val="center"/>
          </w:tcPr>
          <w:p w14:paraId="18C89B8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4.92</w:t>
            </w:r>
          </w:p>
        </w:tc>
      </w:tr>
      <w:tr w:rsidR="000D21CD" w14:paraId="2EC6179C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1AB01AF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7108373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40</w:t>
            </w:r>
          </w:p>
        </w:tc>
        <w:tc>
          <w:tcPr>
            <w:tcW w:w="1625" w:type="dxa"/>
            <w:vAlign w:val="center"/>
          </w:tcPr>
          <w:p w14:paraId="633C55D5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0.40</w:t>
            </w:r>
          </w:p>
        </w:tc>
        <w:tc>
          <w:tcPr>
            <w:tcW w:w="1701" w:type="dxa"/>
            <w:vAlign w:val="center"/>
          </w:tcPr>
          <w:p w14:paraId="1CB5C69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12.74</w:t>
            </w:r>
          </w:p>
        </w:tc>
        <w:tc>
          <w:tcPr>
            <w:tcW w:w="1984" w:type="dxa"/>
            <w:vAlign w:val="center"/>
          </w:tcPr>
          <w:p w14:paraId="04904C2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13.29</w:t>
            </w:r>
          </w:p>
        </w:tc>
      </w:tr>
      <w:tr w:rsidR="000D21CD" w14:paraId="451F0978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0084924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78ECF9D2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1625" w:type="dxa"/>
            <w:vAlign w:val="center"/>
          </w:tcPr>
          <w:p w14:paraId="3638DE6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0.20</w:t>
            </w:r>
          </w:p>
        </w:tc>
        <w:tc>
          <w:tcPr>
            <w:tcW w:w="1701" w:type="dxa"/>
            <w:vAlign w:val="center"/>
          </w:tcPr>
          <w:p w14:paraId="3EBA11F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16.93</w:t>
            </w:r>
          </w:p>
        </w:tc>
        <w:tc>
          <w:tcPr>
            <w:tcW w:w="1984" w:type="dxa"/>
            <w:vAlign w:val="center"/>
          </w:tcPr>
          <w:p w14:paraId="035092D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17.66</w:t>
            </w:r>
          </w:p>
        </w:tc>
      </w:tr>
      <w:tr w:rsidR="000D21CD" w14:paraId="37515C8D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52BB0AA0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6C937849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</w:p>
        </w:tc>
        <w:tc>
          <w:tcPr>
            <w:tcW w:w="1625" w:type="dxa"/>
            <w:vAlign w:val="center"/>
          </w:tcPr>
          <w:p w14:paraId="707A7264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0.08</w:t>
            </w:r>
          </w:p>
        </w:tc>
        <w:tc>
          <w:tcPr>
            <w:tcW w:w="1701" w:type="dxa"/>
            <w:vAlign w:val="center"/>
          </w:tcPr>
          <w:p w14:paraId="2483597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2.53</w:t>
            </w:r>
          </w:p>
        </w:tc>
        <w:tc>
          <w:tcPr>
            <w:tcW w:w="1984" w:type="dxa"/>
            <w:vAlign w:val="center"/>
          </w:tcPr>
          <w:p w14:paraId="5E0D17A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2.64</w:t>
            </w:r>
          </w:p>
        </w:tc>
      </w:tr>
      <w:tr w:rsidR="000D21CD" w14:paraId="1C647C0F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475862DE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24D5A9BB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1625" w:type="dxa"/>
            <w:vAlign w:val="center"/>
          </w:tcPr>
          <w:p w14:paraId="33DD1E8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0.09</w:t>
            </w:r>
          </w:p>
        </w:tc>
        <w:tc>
          <w:tcPr>
            <w:tcW w:w="1701" w:type="dxa"/>
            <w:vAlign w:val="center"/>
          </w:tcPr>
          <w:p w14:paraId="44EA338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0.92</w:t>
            </w:r>
          </w:p>
        </w:tc>
        <w:tc>
          <w:tcPr>
            <w:tcW w:w="1984" w:type="dxa"/>
            <w:vAlign w:val="center"/>
          </w:tcPr>
          <w:p w14:paraId="67C8C618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0.96</w:t>
            </w:r>
          </w:p>
        </w:tc>
      </w:tr>
      <w:tr w:rsidR="000D21CD" w14:paraId="111F1EF9" w14:textId="77777777" w:rsidTr="006575EE">
        <w:trPr>
          <w:jc w:val="center"/>
        </w:trPr>
        <w:tc>
          <w:tcPr>
            <w:tcW w:w="1529" w:type="dxa"/>
            <w:vMerge/>
            <w:vAlign w:val="center"/>
          </w:tcPr>
          <w:p w14:paraId="55F81028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 w14:paraId="2890BE07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1625" w:type="dxa"/>
            <w:vAlign w:val="center"/>
          </w:tcPr>
          <w:p w14:paraId="53D6D0C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701" w:type="dxa"/>
            <w:vAlign w:val="center"/>
          </w:tcPr>
          <w:p w14:paraId="73156CDD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0.54</w:t>
            </w:r>
          </w:p>
        </w:tc>
        <w:tc>
          <w:tcPr>
            <w:tcW w:w="1984" w:type="dxa"/>
            <w:vAlign w:val="center"/>
          </w:tcPr>
          <w:p w14:paraId="17FE480F" w14:textId="77777777" w:rsidR="000D21CD" w:rsidRDefault="000D21CD" w:rsidP="006575E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0.56</w:t>
            </w:r>
          </w:p>
        </w:tc>
      </w:tr>
    </w:tbl>
    <w:p w14:paraId="71F400C8" w14:textId="77777777" w:rsidR="000D21CD" w:rsidRPr="00CE3D75" w:rsidRDefault="000D21CD" w:rsidP="000D21CD">
      <w:pPr>
        <w:rPr>
          <w:rFonts w:ascii="Times New Roman" w:hAnsi="Times New Roman" w:cs="Times New Roman"/>
          <w:color w:val="000000" w:themeColor="text1"/>
        </w:rPr>
      </w:pPr>
      <w:r w:rsidRPr="00CE3D75">
        <w:rPr>
          <w:rFonts w:ascii="Times New Roman" w:hAnsi="Times New Roman" w:cs="Times New Roman"/>
          <w:color w:val="000000" w:themeColor="text1"/>
        </w:rPr>
        <w:t xml:space="preserve">Table </w:t>
      </w:r>
      <w:r w:rsidRPr="00CE3D75">
        <w:rPr>
          <w:rFonts w:ascii="Times New Roman" w:hAnsi="Times New Roman" w:cs="Times New Roman" w:hint="eastAsia"/>
          <w:color w:val="000000" w:themeColor="text1"/>
        </w:rPr>
        <w:t>S2</w:t>
      </w:r>
      <w:r w:rsidRPr="00CE3D75">
        <w:rPr>
          <w:rFonts w:ascii="Times New Roman" w:hAnsi="Times New Roman" w:cs="Times New Roman"/>
          <w:color w:val="000000" w:themeColor="text1"/>
        </w:rPr>
        <w:t>. Effects of CPMI plasma treatment on the chemical structures of different oligodeoxyribonucleotides (dA₈, dT₈, dG₈, dC₈)</w:t>
      </w:r>
    </w:p>
    <w:tbl>
      <w:tblPr>
        <w:tblStyle w:val="ae"/>
        <w:tblW w:w="8296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1843"/>
        <w:gridCol w:w="1842"/>
        <w:gridCol w:w="2631"/>
      </w:tblGrid>
      <w:tr w:rsidR="000D21CD" w:rsidRPr="006E5C26" w14:paraId="7EC8AAD7" w14:textId="77777777" w:rsidTr="006575EE">
        <w:trPr>
          <w:jc w:val="center"/>
        </w:trPr>
        <w:tc>
          <w:tcPr>
            <w:tcW w:w="846" w:type="dxa"/>
            <w:vAlign w:val="center"/>
          </w:tcPr>
          <w:p w14:paraId="38CF000D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Oligonucleotide</w:t>
            </w:r>
          </w:p>
        </w:tc>
        <w:tc>
          <w:tcPr>
            <w:tcW w:w="1134" w:type="dxa"/>
            <w:vAlign w:val="center"/>
          </w:tcPr>
          <w:p w14:paraId="7841D540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Molecular mass (Da)</w:t>
            </w:r>
          </w:p>
        </w:tc>
        <w:tc>
          <w:tcPr>
            <w:tcW w:w="1843" w:type="dxa"/>
            <w:vAlign w:val="center"/>
          </w:tcPr>
          <w:p w14:paraId="109EF2FC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Loss of chemical structure</w:t>
            </w:r>
          </w:p>
        </w:tc>
        <w:tc>
          <w:tcPr>
            <w:tcW w:w="1842" w:type="dxa"/>
            <w:vAlign w:val="center"/>
          </w:tcPr>
          <w:p w14:paraId="3CDC7567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Grafted chemical structure</w:t>
            </w:r>
          </w:p>
        </w:tc>
        <w:tc>
          <w:tcPr>
            <w:tcW w:w="2631" w:type="dxa"/>
            <w:vAlign w:val="center"/>
          </w:tcPr>
          <w:p w14:paraId="7090D1AC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Chemical structure illustration</w:t>
            </w:r>
          </w:p>
        </w:tc>
      </w:tr>
      <w:tr w:rsidR="000D21CD" w:rsidRPr="006E5C26" w14:paraId="509E6CAF" w14:textId="77777777" w:rsidTr="006575EE">
        <w:trPr>
          <w:trHeight w:val="814"/>
          <w:jc w:val="center"/>
        </w:trPr>
        <w:tc>
          <w:tcPr>
            <w:tcW w:w="846" w:type="dxa"/>
            <w:vMerge w:val="restart"/>
            <w:vAlign w:val="center"/>
          </w:tcPr>
          <w:p w14:paraId="734F07F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dA</w:t>
            </w:r>
            <w:r w:rsidRPr="006E5C26">
              <w:rPr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1134" w:type="dxa"/>
            <w:vMerge w:val="restart"/>
            <w:vAlign w:val="center"/>
          </w:tcPr>
          <w:p w14:paraId="39F0A2E9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2933.5</w:t>
            </w:r>
          </w:p>
        </w:tc>
        <w:tc>
          <w:tcPr>
            <w:tcW w:w="1843" w:type="dxa"/>
            <w:vAlign w:val="center"/>
          </w:tcPr>
          <w:p w14:paraId="5FA68FF2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7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（Adenine）</w:t>
            </w:r>
          </w:p>
        </w:tc>
        <w:tc>
          <w:tcPr>
            <w:tcW w:w="1842" w:type="dxa"/>
            <w:vMerge w:val="restart"/>
            <w:vAlign w:val="center"/>
          </w:tcPr>
          <w:p w14:paraId="13ED25D0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20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26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11</w:t>
            </w:r>
            <w:r w:rsidRPr="006E5C26">
              <w:rPr>
                <w:sz w:val="15"/>
                <w:szCs w:val="15"/>
              </w:rPr>
              <w:t>P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（dA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2631" w:type="dxa"/>
            <w:vMerge w:val="restart"/>
            <w:vAlign w:val="center"/>
          </w:tcPr>
          <w:p w14:paraId="0BD04973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0F560B1E" wp14:editId="72F526CE">
                  <wp:extent cx="1079500" cy="1645285"/>
                  <wp:effectExtent l="2857" t="0" r="9208" b="9207"/>
                  <wp:docPr id="747622011" name="图片 1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622011" name="图片 1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4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6C5662FE" w14:textId="77777777" w:rsidTr="006575EE">
        <w:trPr>
          <w:trHeight w:val="814"/>
          <w:jc w:val="center"/>
        </w:trPr>
        <w:tc>
          <w:tcPr>
            <w:tcW w:w="846" w:type="dxa"/>
            <w:vMerge/>
            <w:vAlign w:val="center"/>
          </w:tcPr>
          <w:p w14:paraId="68BC605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14:paraId="1DC909F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843" w:type="dxa"/>
            <w:vAlign w:val="center"/>
          </w:tcPr>
          <w:p w14:paraId="448FA46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NH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842" w:type="dxa"/>
            <w:vMerge/>
            <w:vAlign w:val="center"/>
          </w:tcPr>
          <w:p w14:paraId="55A2667F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2631" w:type="dxa"/>
            <w:vMerge/>
            <w:vAlign w:val="center"/>
          </w:tcPr>
          <w:p w14:paraId="5242EBA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</w:tr>
      <w:tr w:rsidR="000D21CD" w:rsidRPr="006E5C26" w14:paraId="4F48E8DA" w14:textId="77777777" w:rsidTr="006575EE">
        <w:trPr>
          <w:trHeight w:val="3120"/>
          <w:jc w:val="center"/>
        </w:trPr>
        <w:tc>
          <w:tcPr>
            <w:tcW w:w="846" w:type="dxa"/>
            <w:vMerge/>
            <w:vAlign w:val="center"/>
          </w:tcPr>
          <w:p w14:paraId="49208C8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00BB0FCD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2095.1</w:t>
            </w:r>
          </w:p>
        </w:tc>
        <w:tc>
          <w:tcPr>
            <w:tcW w:w="1843" w:type="dxa"/>
            <w:vAlign w:val="center"/>
          </w:tcPr>
          <w:p w14:paraId="2359E445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14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6</w:t>
            </w:r>
            <w:r w:rsidRPr="006E5C26">
              <w:rPr>
                <w:sz w:val="15"/>
                <w:szCs w:val="15"/>
              </w:rPr>
              <w:t>P（dA）</w:t>
            </w:r>
          </w:p>
        </w:tc>
        <w:tc>
          <w:tcPr>
            <w:tcW w:w="1842" w:type="dxa"/>
            <w:vAlign w:val="center"/>
          </w:tcPr>
          <w:p w14:paraId="4A96F8C5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1CD26A6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41DEB3C8" wp14:editId="17A3DEBE">
                  <wp:extent cx="1079500" cy="1612900"/>
                  <wp:effectExtent l="0" t="0" r="6350" b="6350"/>
                  <wp:docPr id="1778094491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094491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1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17AC4877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3B19E19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6AEF408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1833.5</w:t>
            </w:r>
          </w:p>
        </w:tc>
        <w:tc>
          <w:tcPr>
            <w:tcW w:w="1843" w:type="dxa"/>
            <w:vAlign w:val="center"/>
          </w:tcPr>
          <w:p w14:paraId="778A83F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20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26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11</w:t>
            </w:r>
            <w:r w:rsidRPr="006E5C26">
              <w:rPr>
                <w:sz w:val="15"/>
                <w:szCs w:val="15"/>
              </w:rPr>
              <w:t>P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（dA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1842" w:type="dxa"/>
            <w:vAlign w:val="center"/>
          </w:tcPr>
          <w:p w14:paraId="17F61C69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57ACB51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04A4E5C2" wp14:editId="450F08EF">
                  <wp:extent cx="1079500" cy="1221740"/>
                  <wp:effectExtent l="0" t="0" r="6350" b="0"/>
                  <wp:docPr id="10817125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7125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2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34B71632" w14:textId="77777777" w:rsidTr="006575EE">
        <w:trPr>
          <w:trHeight w:val="490"/>
          <w:jc w:val="center"/>
        </w:trPr>
        <w:tc>
          <w:tcPr>
            <w:tcW w:w="846" w:type="dxa"/>
            <w:vMerge/>
            <w:vAlign w:val="center"/>
          </w:tcPr>
          <w:p w14:paraId="4764C28A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F8802A5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862.8</w:t>
            </w:r>
          </w:p>
        </w:tc>
        <w:tc>
          <w:tcPr>
            <w:tcW w:w="1843" w:type="dxa"/>
            <w:vAlign w:val="center"/>
          </w:tcPr>
          <w:p w14:paraId="1FDA5DF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50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62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25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27</w:t>
            </w:r>
            <w:r w:rsidRPr="006E5C26">
              <w:rPr>
                <w:sz w:val="15"/>
                <w:szCs w:val="15"/>
              </w:rPr>
              <w:t>P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（dA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1842" w:type="dxa"/>
            <w:vMerge w:val="restart"/>
            <w:vAlign w:val="center"/>
          </w:tcPr>
          <w:p w14:paraId="1753A779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Merge w:val="restart"/>
            <w:vAlign w:val="center"/>
          </w:tcPr>
          <w:p w14:paraId="7F4C7F2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6CD6A146" wp14:editId="00F5DC37">
                  <wp:extent cx="1079500" cy="1557020"/>
                  <wp:effectExtent l="0" t="0" r="6350" b="5080"/>
                  <wp:docPr id="1257196816" name="图片 1" descr="图示, 工程绘图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196816" name="图片 1" descr="图示, 工程绘图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1FFB341F" w14:textId="77777777" w:rsidTr="006575EE">
        <w:trPr>
          <w:trHeight w:val="490"/>
          <w:jc w:val="center"/>
        </w:trPr>
        <w:tc>
          <w:tcPr>
            <w:tcW w:w="846" w:type="dxa"/>
            <w:vMerge/>
            <w:vAlign w:val="center"/>
          </w:tcPr>
          <w:p w14:paraId="6EDB4EF5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14:paraId="6E710230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843" w:type="dxa"/>
            <w:vAlign w:val="center"/>
          </w:tcPr>
          <w:p w14:paraId="006DEEF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NH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842" w:type="dxa"/>
            <w:vMerge/>
            <w:vAlign w:val="center"/>
          </w:tcPr>
          <w:p w14:paraId="14743EA3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2631" w:type="dxa"/>
            <w:vMerge/>
            <w:vAlign w:val="center"/>
          </w:tcPr>
          <w:p w14:paraId="4A93B7B3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</w:tr>
      <w:tr w:rsidR="000D21CD" w:rsidRPr="006E5C26" w14:paraId="78792410" w14:textId="77777777" w:rsidTr="006575EE">
        <w:trPr>
          <w:trHeight w:val="107"/>
          <w:jc w:val="center"/>
        </w:trPr>
        <w:tc>
          <w:tcPr>
            <w:tcW w:w="846" w:type="dxa"/>
            <w:vMerge/>
            <w:vAlign w:val="center"/>
          </w:tcPr>
          <w:p w14:paraId="030B3C3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111D13C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772.1</w:t>
            </w:r>
          </w:p>
        </w:tc>
        <w:tc>
          <w:tcPr>
            <w:tcW w:w="1843" w:type="dxa"/>
            <w:vAlign w:val="center"/>
          </w:tcPr>
          <w:p w14:paraId="0394E10A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50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60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25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26</w:t>
            </w:r>
            <w:r w:rsidRPr="006E5C26">
              <w:rPr>
                <w:sz w:val="15"/>
                <w:szCs w:val="15"/>
              </w:rPr>
              <w:t>P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（dA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1842" w:type="dxa"/>
            <w:vMerge w:val="restart"/>
            <w:vAlign w:val="center"/>
          </w:tcPr>
          <w:p w14:paraId="0189F8E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NH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631" w:type="dxa"/>
            <w:vMerge w:val="restart"/>
            <w:vAlign w:val="center"/>
          </w:tcPr>
          <w:p w14:paraId="251D84B7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730DDF1A" wp14:editId="7634E054">
                  <wp:extent cx="1079500" cy="1384300"/>
                  <wp:effectExtent l="0" t="0" r="6350" b="6350"/>
                  <wp:docPr id="273002238" name="图片 1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02238" name="图片 1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8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3BD5CD93" w14:textId="77777777" w:rsidTr="006575EE">
        <w:trPr>
          <w:trHeight w:val="946"/>
          <w:jc w:val="center"/>
        </w:trPr>
        <w:tc>
          <w:tcPr>
            <w:tcW w:w="846" w:type="dxa"/>
            <w:vMerge/>
            <w:vAlign w:val="center"/>
          </w:tcPr>
          <w:p w14:paraId="5A697F5F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14:paraId="1C4843FE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843" w:type="dxa"/>
            <w:vAlign w:val="center"/>
          </w:tcPr>
          <w:p w14:paraId="1B65310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7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（Adenine）</w:t>
            </w:r>
          </w:p>
        </w:tc>
        <w:tc>
          <w:tcPr>
            <w:tcW w:w="1842" w:type="dxa"/>
            <w:vMerge/>
            <w:vAlign w:val="center"/>
          </w:tcPr>
          <w:p w14:paraId="1415C30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2631" w:type="dxa"/>
            <w:vMerge/>
            <w:vAlign w:val="center"/>
          </w:tcPr>
          <w:p w14:paraId="21E72727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</w:tr>
      <w:tr w:rsidR="000D21CD" w:rsidRPr="006E5C26" w14:paraId="269E9DA0" w14:textId="77777777" w:rsidTr="006575EE">
        <w:trPr>
          <w:trHeight w:val="480"/>
          <w:jc w:val="center"/>
        </w:trPr>
        <w:tc>
          <w:tcPr>
            <w:tcW w:w="846" w:type="dxa"/>
            <w:vMerge/>
            <w:vAlign w:val="center"/>
          </w:tcPr>
          <w:p w14:paraId="143C420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6BE57F7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657.2</w:t>
            </w:r>
          </w:p>
        </w:tc>
        <w:tc>
          <w:tcPr>
            <w:tcW w:w="1843" w:type="dxa"/>
            <w:vAlign w:val="center"/>
          </w:tcPr>
          <w:p w14:paraId="2F4192DF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60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73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30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29</w:t>
            </w:r>
            <w:r w:rsidRPr="006E5C26">
              <w:rPr>
                <w:sz w:val="15"/>
                <w:szCs w:val="15"/>
              </w:rPr>
              <w:t>P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（dA</w:t>
            </w:r>
            <w:r w:rsidRPr="006E5C26">
              <w:rPr>
                <w:sz w:val="15"/>
                <w:szCs w:val="15"/>
                <w:vertAlign w:val="subscript"/>
              </w:rPr>
              <w:t>6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1842" w:type="dxa"/>
            <w:vMerge w:val="restart"/>
            <w:vAlign w:val="center"/>
          </w:tcPr>
          <w:p w14:paraId="01AC3D52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NH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631" w:type="dxa"/>
            <w:vMerge w:val="restart"/>
            <w:vAlign w:val="center"/>
          </w:tcPr>
          <w:p w14:paraId="47B9312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658EF3DE" wp14:editId="382E8781">
                  <wp:extent cx="1079500" cy="1639570"/>
                  <wp:effectExtent l="0" t="0" r="6350" b="0"/>
                  <wp:docPr id="1514337941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37941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4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237F6742" w14:textId="77777777" w:rsidTr="006575EE">
        <w:trPr>
          <w:trHeight w:val="480"/>
          <w:jc w:val="center"/>
        </w:trPr>
        <w:tc>
          <w:tcPr>
            <w:tcW w:w="846" w:type="dxa"/>
            <w:vMerge/>
            <w:vAlign w:val="center"/>
          </w:tcPr>
          <w:p w14:paraId="2E11DD6A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14:paraId="7E68009F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843" w:type="dxa"/>
            <w:vAlign w:val="center"/>
          </w:tcPr>
          <w:p w14:paraId="76ECE126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  <w:vertAlign w:val="subscript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6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 xml:space="preserve">（Adenine minus </w:t>
            </w:r>
          </w:p>
          <w:p w14:paraId="788665B6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its amino group）</w:t>
            </w:r>
          </w:p>
        </w:tc>
        <w:tc>
          <w:tcPr>
            <w:tcW w:w="1842" w:type="dxa"/>
            <w:vMerge/>
            <w:vAlign w:val="center"/>
          </w:tcPr>
          <w:p w14:paraId="56F90182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2631" w:type="dxa"/>
            <w:vMerge/>
            <w:vAlign w:val="center"/>
          </w:tcPr>
          <w:p w14:paraId="29BBC4F3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</w:tr>
      <w:tr w:rsidR="000D21CD" w:rsidRPr="006E5C26" w14:paraId="5737407F" w14:textId="77777777" w:rsidTr="006575EE">
        <w:trPr>
          <w:jc w:val="center"/>
        </w:trPr>
        <w:tc>
          <w:tcPr>
            <w:tcW w:w="846" w:type="dxa"/>
            <w:vMerge w:val="restart"/>
            <w:vAlign w:val="center"/>
          </w:tcPr>
          <w:p w14:paraId="69A925A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dT</w:t>
            </w:r>
            <w:r w:rsidRPr="006E5C26">
              <w:rPr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1134" w:type="dxa"/>
            <w:vAlign w:val="center"/>
          </w:tcPr>
          <w:p w14:paraId="1916F10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2406.5</w:t>
            </w:r>
          </w:p>
        </w:tc>
        <w:tc>
          <w:tcPr>
            <w:tcW w:w="1843" w:type="dxa"/>
            <w:vAlign w:val="center"/>
          </w:tcPr>
          <w:p w14:paraId="2029869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1842" w:type="dxa"/>
            <w:vAlign w:val="center"/>
          </w:tcPr>
          <w:p w14:paraId="741C272A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unknown</w:t>
            </w:r>
          </w:p>
        </w:tc>
        <w:tc>
          <w:tcPr>
            <w:tcW w:w="2631" w:type="dxa"/>
            <w:vAlign w:val="center"/>
          </w:tcPr>
          <w:p w14:paraId="771762D3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unknown</w:t>
            </w:r>
          </w:p>
        </w:tc>
      </w:tr>
      <w:tr w:rsidR="000D21CD" w:rsidRPr="006E5C26" w14:paraId="6EDB584A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7DB22E1C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379FF08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2289.6</w:t>
            </w:r>
          </w:p>
        </w:tc>
        <w:tc>
          <w:tcPr>
            <w:tcW w:w="1843" w:type="dxa"/>
            <w:vAlign w:val="center"/>
          </w:tcPr>
          <w:p w14:paraId="0DDBCE7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4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4</w:t>
            </w:r>
            <w:r w:rsidRPr="006E5C26">
              <w:rPr>
                <w:sz w:val="15"/>
                <w:szCs w:val="15"/>
              </w:rPr>
              <w:t>ON（Thymine rupture structural）</w:t>
            </w:r>
          </w:p>
        </w:tc>
        <w:tc>
          <w:tcPr>
            <w:tcW w:w="1842" w:type="dxa"/>
            <w:vAlign w:val="center"/>
          </w:tcPr>
          <w:p w14:paraId="448BF655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4875EB9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6C11435E" wp14:editId="6D524F61">
                  <wp:extent cx="1079500" cy="2438400"/>
                  <wp:effectExtent l="0" t="0" r="6350" b="0"/>
                  <wp:docPr id="15949558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558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243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4A96C774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6FD712AE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28F48A8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2148.2</w:t>
            </w:r>
          </w:p>
        </w:tc>
        <w:tc>
          <w:tcPr>
            <w:tcW w:w="1843" w:type="dxa"/>
            <w:vAlign w:val="center"/>
          </w:tcPr>
          <w:p w14:paraId="48735DD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  <w:highlight w:val="yellow"/>
              </w:rPr>
              <w:t>C</w:t>
            </w:r>
            <w:r w:rsidRPr="006E5C26">
              <w:rPr>
                <w:sz w:val="15"/>
                <w:szCs w:val="15"/>
                <w:highlight w:val="yellow"/>
                <w:vertAlign w:val="subscript"/>
              </w:rPr>
              <w:t>12</w:t>
            </w:r>
            <w:r w:rsidRPr="006E5C26">
              <w:rPr>
                <w:sz w:val="15"/>
                <w:szCs w:val="15"/>
                <w:highlight w:val="yellow"/>
              </w:rPr>
              <w:t>H</w:t>
            </w:r>
            <w:r w:rsidRPr="006E5C26">
              <w:rPr>
                <w:sz w:val="15"/>
                <w:szCs w:val="15"/>
                <w:highlight w:val="yellow"/>
                <w:vertAlign w:val="subscript"/>
              </w:rPr>
              <w:t>14</w:t>
            </w:r>
            <w:r w:rsidRPr="006E5C26">
              <w:rPr>
                <w:sz w:val="15"/>
                <w:szCs w:val="15"/>
                <w:highlight w:val="yellow"/>
              </w:rPr>
              <w:t>N</w:t>
            </w:r>
            <w:r w:rsidRPr="006E5C26">
              <w:rPr>
                <w:sz w:val="15"/>
                <w:szCs w:val="15"/>
                <w:highlight w:val="yellow"/>
                <w:vertAlign w:val="subscript"/>
              </w:rPr>
              <w:t>5</w:t>
            </w:r>
            <w:r w:rsidRPr="006E5C26">
              <w:rPr>
                <w:sz w:val="15"/>
                <w:szCs w:val="15"/>
                <w:highlight w:val="yellow"/>
              </w:rPr>
              <w:t>O</w:t>
            </w:r>
            <w:r w:rsidRPr="006E5C26">
              <w:rPr>
                <w:sz w:val="15"/>
                <w:szCs w:val="15"/>
                <w:highlight w:val="yellow"/>
                <w:vertAlign w:val="subscript"/>
              </w:rPr>
              <w:t>7</w:t>
            </w:r>
            <w:r w:rsidRPr="006E5C26">
              <w:rPr>
                <w:sz w:val="15"/>
                <w:szCs w:val="15"/>
                <w:highlight w:val="yellow"/>
              </w:rPr>
              <w:t>（dA Group）</w:t>
            </w:r>
          </w:p>
        </w:tc>
        <w:tc>
          <w:tcPr>
            <w:tcW w:w="1842" w:type="dxa"/>
            <w:vAlign w:val="center"/>
          </w:tcPr>
          <w:p w14:paraId="0CE40A87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23749577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09BC1B2D" wp14:editId="106B4639">
                  <wp:extent cx="1079500" cy="2219960"/>
                  <wp:effectExtent l="0" t="0" r="6350" b="8890"/>
                  <wp:docPr id="1402992260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992260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222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24A3A851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156E8316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4BA7A39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2067.0</w:t>
            </w:r>
          </w:p>
        </w:tc>
        <w:tc>
          <w:tcPr>
            <w:tcW w:w="1843" w:type="dxa"/>
            <w:vAlign w:val="center"/>
          </w:tcPr>
          <w:p w14:paraId="793B54A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15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rFonts w:eastAsia="MS Gothic"/>
                <w:sz w:val="15"/>
                <w:szCs w:val="15"/>
                <w:vertAlign w:val="subscript"/>
              </w:rPr>
              <w:t>8</w:t>
            </w:r>
            <w:r w:rsidRPr="006E5C26">
              <w:rPr>
                <w:sz w:val="15"/>
                <w:szCs w:val="15"/>
              </w:rPr>
              <w:t>P（dT）</w:t>
            </w:r>
          </w:p>
        </w:tc>
        <w:tc>
          <w:tcPr>
            <w:tcW w:w="1842" w:type="dxa"/>
            <w:vAlign w:val="center"/>
          </w:tcPr>
          <w:p w14:paraId="742AABF5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2413BF6E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7E71A702" wp14:editId="692101AB">
                  <wp:extent cx="1079500" cy="1864995"/>
                  <wp:effectExtent l="0" t="0" r="6350" b="1905"/>
                  <wp:docPr id="1955561262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561262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86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5EA2826F" w14:textId="77777777" w:rsidTr="006575EE">
        <w:trPr>
          <w:trHeight w:val="117"/>
          <w:jc w:val="center"/>
        </w:trPr>
        <w:tc>
          <w:tcPr>
            <w:tcW w:w="846" w:type="dxa"/>
            <w:vMerge/>
            <w:vAlign w:val="center"/>
          </w:tcPr>
          <w:p w14:paraId="357CFE99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173FFEE3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1843.2</w:t>
            </w:r>
          </w:p>
        </w:tc>
        <w:tc>
          <w:tcPr>
            <w:tcW w:w="1843" w:type="dxa"/>
            <w:vAlign w:val="center"/>
          </w:tcPr>
          <w:p w14:paraId="0D221300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14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rFonts w:eastAsia="MS Gothic"/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（5'-dT）</w:t>
            </w:r>
          </w:p>
        </w:tc>
        <w:tc>
          <w:tcPr>
            <w:tcW w:w="1842" w:type="dxa"/>
            <w:vMerge w:val="restart"/>
            <w:vAlign w:val="center"/>
          </w:tcPr>
          <w:p w14:paraId="6F3F93E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Merge w:val="restart"/>
            <w:vAlign w:val="center"/>
          </w:tcPr>
          <w:p w14:paraId="7519175F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3249E666" wp14:editId="58189266">
                  <wp:extent cx="1079500" cy="1594485"/>
                  <wp:effectExtent l="0" t="0" r="6350" b="5715"/>
                  <wp:docPr id="2057832864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832864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9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686CA03B" w14:textId="77777777" w:rsidTr="006575EE">
        <w:trPr>
          <w:trHeight w:val="117"/>
          <w:jc w:val="center"/>
        </w:trPr>
        <w:tc>
          <w:tcPr>
            <w:tcW w:w="846" w:type="dxa"/>
            <w:vMerge/>
            <w:vAlign w:val="center"/>
          </w:tcPr>
          <w:p w14:paraId="1B72BDF5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14:paraId="1BEE2D7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843" w:type="dxa"/>
            <w:vAlign w:val="center"/>
          </w:tcPr>
          <w:p w14:paraId="1B539A7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15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rFonts w:eastAsia="MS Gothic"/>
                <w:sz w:val="15"/>
                <w:szCs w:val="15"/>
                <w:vertAlign w:val="subscript"/>
              </w:rPr>
              <w:t>8</w:t>
            </w:r>
            <w:r w:rsidRPr="006E5C26">
              <w:rPr>
                <w:sz w:val="15"/>
                <w:szCs w:val="15"/>
              </w:rPr>
              <w:t>P（dT）</w:t>
            </w:r>
          </w:p>
        </w:tc>
        <w:tc>
          <w:tcPr>
            <w:tcW w:w="1842" w:type="dxa"/>
            <w:vMerge/>
            <w:vAlign w:val="center"/>
          </w:tcPr>
          <w:p w14:paraId="715A2F8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2631" w:type="dxa"/>
            <w:vMerge/>
            <w:vAlign w:val="center"/>
          </w:tcPr>
          <w:p w14:paraId="2BDD6B5D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</w:tr>
      <w:tr w:rsidR="000D21CD" w:rsidRPr="006E5C26" w14:paraId="697D6E92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2A4BE24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3C34BEBF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1581.6</w:t>
            </w:r>
          </w:p>
        </w:tc>
        <w:tc>
          <w:tcPr>
            <w:tcW w:w="1843" w:type="dxa"/>
            <w:vAlign w:val="center"/>
          </w:tcPr>
          <w:p w14:paraId="4E86700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  <w:highlight w:val="yellow"/>
              </w:rPr>
            </w:pPr>
            <w:r w:rsidRPr="006E5C26">
              <w:rPr>
                <w:sz w:val="15"/>
                <w:szCs w:val="15"/>
              </w:rPr>
              <w:t>dT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1842" w:type="dxa"/>
            <w:vAlign w:val="center"/>
          </w:tcPr>
          <w:p w14:paraId="16842000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  <w:highlight w:val="yellow"/>
              </w:rPr>
            </w:pPr>
            <w:r w:rsidRPr="006E5C26">
              <w:rPr>
                <w:sz w:val="15"/>
                <w:szCs w:val="15"/>
              </w:rPr>
              <w:t>2（NH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2631" w:type="dxa"/>
            <w:vAlign w:val="center"/>
          </w:tcPr>
          <w:p w14:paraId="65CC4B9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41B52780" wp14:editId="5DB9282C">
                  <wp:extent cx="1079500" cy="2247900"/>
                  <wp:effectExtent l="0" t="0" r="6350" b="0"/>
                  <wp:docPr id="18035626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5626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224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3F07BF7D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0C07BB26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1FA347B2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1211.1</w:t>
            </w:r>
          </w:p>
        </w:tc>
        <w:tc>
          <w:tcPr>
            <w:tcW w:w="1843" w:type="dxa"/>
            <w:vAlign w:val="center"/>
          </w:tcPr>
          <w:p w14:paraId="5602358E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  <w:highlight w:val="yellow"/>
              </w:rPr>
            </w:pPr>
            <w:r w:rsidRPr="006E5C26">
              <w:rPr>
                <w:sz w:val="15"/>
                <w:szCs w:val="15"/>
              </w:rPr>
              <w:t>dT</w:t>
            </w:r>
            <w:r w:rsidRPr="006E5C26">
              <w:rPr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1842" w:type="dxa"/>
            <w:vAlign w:val="center"/>
          </w:tcPr>
          <w:p w14:paraId="2DCD63C6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  <w:highlight w:val="yellow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3B797EF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2347158D" wp14:editId="79127578">
                  <wp:extent cx="1079500" cy="2237740"/>
                  <wp:effectExtent l="0" t="0" r="6350" b="0"/>
                  <wp:docPr id="3825578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5578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22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28AECB56" w14:textId="77777777" w:rsidTr="006575EE">
        <w:trPr>
          <w:trHeight w:val="3120"/>
          <w:jc w:val="center"/>
        </w:trPr>
        <w:tc>
          <w:tcPr>
            <w:tcW w:w="846" w:type="dxa"/>
            <w:vMerge w:val="restart"/>
            <w:vAlign w:val="center"/>
          </w:tcPr>
          <w:p w14:paraId="2749F36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dG</w:t>
            </w:r>
            <w:r w:rsidRPr="006E5C26">
              <w:rPr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1134" w:type="dxa"/>
            <w:vAlign w:val="center"/>
          </w:tcPr>
          <w:p w14:paraId="5B0AA95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2438.3</w:t>
            </w:r>
          </w:p>
        </w:tc>
        <w:tc>
          <w:tcPr>
            <w:tcW w:w="1843" w:type="dxa"/>
            <w:vAlign w:val="center"/>
          </w:tcPr>
          <w:p w14:paraId="430ED43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6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O（uanine minus its amino group）</w:t>
            </w:r>
          </w:p>
        </w:tc>
        <w:tc>
          <w:tcPr>
            <w:tcW w:w="1842" w:type="dxa"/>
            <w:vAlign w:val="center"/>
          </w:tcPr>
          <w:p w14:paraId="2AF0B7AC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6FC30BF6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54318616" wp14:editId="0AF1DFD3">
                  <wp:extent cx="1079500" cy="1792605"/>
                  <wp:effectExtent l="0" t="0" r="6350" b="0"/>
                  <wp:docPr id="268205252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05252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79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5BB8D1E2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54BB7C8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37A54287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2242.9</w:t>
            </w:r>
          </w:p>
        </w:tc>
        <w:tc>
          <w:tcPr>
            <w:tcW w:w="1843" w:type="dxa"/>
            <w:vAlign w:val="center"/>
          </w:tcPr>
          <w:p w14:paraId="59F5F5B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14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rFonts w:eastAsia="MS Gothic"/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7</w:t>
            </w:r>
            <w:r w:rsidRPr="006E5C26">
              <w:rPr>
                <w:sz w:val="15"/>
                <w:szCs w:val="15"/>
              </w:rPr>
              <w:t>P（dG）</w:t>
            </w:r>
          </w:p>
        </w:tc>
        <w:tc>
          <w:tcPr>
            <w:tcW w:w="1842" w:type="dxa"/>
            <w:vAlign w:val="center"/>
          </w:tcPr>
          <w:p w14:paraId="4BDFF13A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69361B0E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7C244F5B" wp14:editId="18054E9F">
                  <wp:extent cx="1079500" cy="1371600"/>
                  <wp:effectExtent l="0" t="0" r="6350" b="0"/>
                  <wp:docPr id="1997632891" name="图片 1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632891" name="图片 1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7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42D3694A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5C58B739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5279E3A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1993.7</w:t>
            </w:r>
          </w:p>
        </w:tc>
        <w:tc>
          <w:tcPr>
            <w:tcW w:w="1843" w:type="dxa"/>
            <w:vAlign w:val="center"/>
          </w:tcPr>
          <w:p w14:paraId="291FE86C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20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24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P（5'-dG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1842" w:type="dxa"/>
            <w:vAlign w:val="center"/>
          </w:tcPr>
          <w:p w14:paraId="48242DC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2EFD347D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1EA5E748" wp14:editId="5DA66D80">
                  <wp:extent cx="1079500" cy="1109345"/>
                  <wp:effectExtent l="0" t="0" r="6350" b="0"/>
                  <wp:docPr id="1091916398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916398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0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1AF9FE99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437B197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648CE569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1913.3</w:t>
            </w:r>
          </w:p>
        </w:tc>
        <w:tc>
          <w:tcPr>
            <w:tcW w:w="1843" w:type="dxa"/>
            <w:vAlign w:val="center"/>
          </w:tcPr>
          <w:p w14:paraId="0C49DEAA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20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27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10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13</w:t>
            </w:r>
            <w:r w:rsidRPr="006E5C26">
              <w:rPr>
                <w:sz w:val="15"/>
                <w:szCs w:val="15"/>
              </w:rPr>
              <w:t>P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（dG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1842" w:type="dxa"/>
            <w:vAlign w:val="center"/>
          </w:tcPr>
          <w:p w14:paraId="08EFDA5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74988A2E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54C3B81E" wp14:editId="737B30F6">
                  <wp:extent cx="1079500" cy="1372235"/>
                  <wp:effectExtent l="0" t="0" r="6350" b="0"/>
                  <wp:docPr id="1937516858" name="图片 1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16858" name="图片 1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7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256E83F4" w14:textId="77777777" w:rsidTr="006575EE">
        <w:trPr>
          <w:jc w:val="center"/>
        </w:trPr>
        <w:tc>
          <w:tcPr>
            <w:tcW w:w="846" w:type="dxa"/>
            <w:vMerge w:val="restart"/>
            <w:vAlign w:val="center"/>
          </w:tcPr>
          <w:p w14:paraId="03A8FF0A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dC</w:t>
            </w:r>
            <w:r w:rsidRPr="006E5C26">
              <w:rPr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1134" w:type="dxa"/>
            <w:vAlign w:val="center"/>
          </w:tcPr>
          <w:p w14:paraId="054CD2BE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2301.3</w:t>
            </w:r>
          </w:p>
        </w:tc>
        <w:tc>
          <w:tcPr>
            <w:tcW w:w="1843" w:type="dxa"/>
            <w:vAlign w:val="center"/>
          </w:tcPr>
          <w:p w14:paraId="6F3D67A9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1842" w:type="dxa"/>
            <w:vAlign w:val="center"/>
          </w:tcPr>
          <w:p w14:paraId="21BEB7C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unknown</w:t>
            </w:r>
          </w:p>
        </w:tc>
        <w:tc>
          <w:tcPr>
            <w:tcW w:w="2631" w:type="dxa"/>
            <w:vAlign w:val="center"/>
          </w:tcPr>
          <w:p w14:paraId="2C9D3106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unknown</w:t>
            </w:r>
          </w:p>
        </w:tc>
      </w:tr>
      <w:tr w:rsidR="000D21CD" w:rsidRPr="006E5C26" w14:paraId="38FD0B0C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1BC8FA2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0830EA0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2043.2</w:t>
            </w:r>
          </w:p>
        </w:tc>
        <w:tc>
          <w:tcPr>
            <w:tcW w:w="1843" w:type="dxa"/>
            <w:vAlign w:val="center"/>
          </w:tcPr>
          <w:p w14:paraId="578EFC29" w14:textId="77777777" w:rsidR="000D21CD" w:rsidRPr="006E5C26" w:rsidRDefault="000D21CD" w:rsidP="006575EE">
            <w:pPr>
              <w:jc w:val="center"/>
              <w:rPr>
                <w:rFonts w:eastAsiaTheme="minorEastAsia"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9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13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（5'-dC）</w:t>
            </w:r>
          </w:p>
        </w:tc>
        <w:tc>
          <w:tcPr>
            <w:tcW w:w="1842" w:type="dxa"/>
            <w:vAlign w:val="center"/>
          </w:tcPr>
          <w:p w14:paraId="236CA722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1A548EF5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581233F1" wp14:editId="4D5F9804">
                  <wp:extent cx="1079500" cy="1536065"/>
                  <wp:effectExtent l="0" t="0" r="6350" b="6985"/>
                  <wp:docPr id="38434813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4813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5B40DA1C" w14:textId="77777777" w:rsidTr="006575EE">
        <w:trPr>
          <w:trHeight w:val="261"/>
          <w:jc w:val="center"/>
        </w:trPr>
        <w:tc>
          <w:tcPr>
            <w:tcW w:w="846" w:type="dxa"/>
            <w:vMerge/>
            <w:vAlign w:val="center"/>
          </w:tcPr>
          <w:p w14:paraId="5E9D8E1E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5D620F0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1963.1</w:t>
            </w:r>
          </w:p>
        </w:tc>
        <w:tc>
          <w:tcPr>
            <w:tcW w:w="1843" w:type="dxa"/>
            <w:vAlign w:val="center"/>
          </w:tcPr>
          <w:p w14:paraId="15E7829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rFonts w:eastAsiaTheme="minorEastAsia"/>
                <w:sz w:val="15"/>
                <w:szCs w:val="15"/>
                <w:vertAlign w:val="subscript"/>
              </w:rPr>
              <w:t>18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27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6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rFonts w:eastAsiaTheme="minorEastAsia"/>
                <w:sz w:val="15"/>
                <w:szCs w:val="15"/>
                <w:vertAlign w:val="subscript"/>
              </w:rPr>
              <w:t>15</w:t>
            </w:r>
            <w:r w:rsidRPr="006E5C26">
              <w:rPr>
                <w:sz w:val="15"/>
                <w:szCs w:val="15"/>
              </w:rPr>
              <w:t>P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（dC</w:t>
            </w:r>
            <w:r w:rsidRPr="006E5C26">
              <w:rPr>
                <w:sz w:val="15"/>
                <w:szCs w:val="15"/>
                <w:vertAlign w:val="subscript"/>
              </w:rPr>
              <w:t>2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1842" w:type="dxa"/>
            <w:vAlign w:val="center"/>
          </w:tcPr>
          <w:p w14:paraId="6D89CF2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Align w:val="center"/>
          </w:tcPr>
          <w:p w14:paraId="5ADC94AF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6757A7C5" wp14:editId="28CC13FF">
                  <wp:extent cx="1079500" cy="1920875"/>
                  <wp:effectExtent l="0" t="0" r="6350" b="3175"/>
                  <wp:docPr id="2093674488" name="图片 1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674488" name="图片 1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9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752B3728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61FC4A86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26C3D52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1501.3</w:t>
            </w:r>
          </w:p>
        </w:tc>
        <w:tc>
          <w:tcPr>
            <w:tcW w:w="1843" w:type="dxa"/>
            <w:vAlign w:val="center"/>
          </w:tcPr>
          <w:p w14:paraId="41D587F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9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13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（5'-dC）</w:t>
            </w:r>
          </w:p>
        </w:tc>
        <w:tc>
          <w:tcPr>
            <w:tcW w:w="1842" w:type="dxa"/>
            <w:vMerge w:val="restart"/>
            <w:vAlign w:val="center"/>
          </w:tcPr>
          <w:p w14:paraId="37CE1B86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Merge w:val="restart"/>
            <w:vAlign w:val="center"/>
          </w:tcPr>
          <w:p w14:paraId="7902A2C4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3827F8E6" wp14:editId="70847288">
                  <wp:extent cx="1079500" cy="1729105"/>
                  <wp:effectExtent l="0" t="0" r="6350" b="4445"/>
                  <wp:docPr id="760706662" name="图片 1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706662" name="图片 1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72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5150B931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15EFE069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14:paraId="2E80DEC2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843" w:type="dxa"/>
            <w:vAlign w:val="center"/>
          </w:tcPr>
          <w:p w14:paraId="20EE7E50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dC</w:t>
            </w:r>
          </w:p>
        </w:tc>
        <w:tc>
          <w:tcPr>
            <w:tcW w:w="1842" w:type="dxa"/>
            <w:vMerge/>
            <w:vAlign w:val="center"/>
          </w:tcPr>
          <w:p w14:paraId="787081A0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2631" w:type="dxa"/>
            <w:vMerge/>
            <w:vAlign w:val="center"/>
          </w:tcPr>
          <w:p w14:paraId="0F29CAA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</w:tr>
      <w:tr w:rsidR="000D21CD" w:rsidRPr="006E5C26" w14:paraId="08A4FB7A" w14:textId="77777777" w:rsidTr="006575EE">
        <w:trPr>
          <w:jc w:val="center"/>
        </w:trPr>
        <w:tc>
          <w:tcPr>
            <w:tcW w:w="846" w:type="dxa"/>
            <w:vMerge/>
            <w:vAlign w:val="center"/>
          </w:tcPr>
          <w:p w14:paraId="20DD7A0C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14:paraId="6B9FF1C1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843" w:type="dxa"/>
            <w:vAlign w:val="center"/>
          </w:tcPr>
          <w:p w14:paraId="720A5952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4（NH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1842" w:type="dxa"/>
            <w:vMerge/>
            <w:vAlign w:val="center"/>
          </w:tcPr>
          <w:p w14:paraId="12118153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2631" w:type="dxa"/>
            <w:vMerge/>
            <w:vAlign w:val="center"/>
          </w:tcPr>
          <w:p w14:paraId="449AFB3C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</w:tr>
      <w:tr w:rsidR="000D21CD" w:rsidRPr="006E5C26" w14:paraId="4CF04726" w14:textId="77777777" w:rsidTr="006575EE">
        <w:trPr>
          <w:trHeight w:val="162"/>
          <w:jc w:val="center"/>
        </w:trPr>
        <w:tc>
          <w:tcPr>
            <w:tcW w:w="846" w:type="dxa"/>
            <w:vMerge/>
            <w:vAlign w:val="center"/>
          </w:tcPr>
          <w:p w14:paraId="3C502028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8EE7825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1271.3</w:t>
            </w:r>
          </w:p>
        </w:tc>
        <w:tc>
          <w:tcPr>
            <w:tcW w:w="1843" w:type="dxa"/>
            <w:vAlign w:val="center"/>
          </w:tcPr>
          <w:p w14:paraId="1F840693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rFonts w:ascii="Cambria Math" w:hAnsi="Cambria Math" w:cs="Cambria Math"/>
                <w:sz w:val="15"/>
                <w:szCs w:val="15"/>
              </w:rPr>
              <w:t>₂₇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rFonts w:ascii="Cambria Math" w:hAnsi="Cambria Math" w:cs="Cambria Math"/>
                <w:sz w:val="15"/>
                <w:szCs w:val="15"/>
              </w:rPr>
              <w:t>₄₀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rFonts w:ascii="Cambria Math" w:hAnsi="Cambria Math" w:cs="Cambria Math"/>
                <w:sz w:val="15"/>
                <w:szCs w:val="15"/>
              </w:rPr>
              <w:t>₉</w:t>
            </w:r>
            <w:r w:rsidRPr="006E5C26">
              <w:rPr>
                <w:sz w:val="15"/>
                <w:szCs w:val="15"/>
              </w:rPr>
              <w:t>O</w:t>
            </w:r>
            <w:r w:rsidRPr="006E5C26">
              <w:rPr>
                <w:rFonts w:ascii="Cambria Math" w:hAnsi="Cambria Math" w:cs="Cambria Math"/>
                <w:sz w:val="15"/>
                <w:szCs w:val="15"/>
              </w:rPr>
              <w:t>₂₂</w:t>
            </w:r>
            <w:r w:rsidRPr="006E5C26">
              <w:rPr>
                <w:sz w:val="15"/>
                <w:szCs w:val="15"/>
              </w:rPr>
              <w:t>P</w:t>
            </w:r>
            <w:r w:rsidRPr="006E5C26">
              <w:rPr>
                <w:rFonts w:ascii="Cambria Math" w:hAnsi="Cambria Math" w:cs="Cambria Math"/>
                <w:sz w:val="15"/>
                <w:szCs w:val="15"/>
              </w:rPr>
              <w:t>₃</w:t>
            </w:r>
            <w:r w:rsidRPr="006E5C26">
              <w:rPr>
                <w:sz w:val="15"/>
                <w:szCs w:val="15"/>
              </w:rPr>
              <w:t>（dC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  <w:r w:rsidRPr="006E5C26">
              <w:rPr>
                <w:sz w:val="15"/>
                <w:szCs w:val="15"/>
              </w:rPr>
              <w:t>）</w:t>
            </w:r>
          </w:p>
        </w:tc>
        <w:tc>
          <w:tcPr>
            <w:tcW w:w="1842" w:type="dxa"/>
            <w:vMerge w:val="restart"/>
            <w:vAlign w:val="center"/>
          </w:tcPr>
          <w:p w14:paraId="26FCF4CB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--</w:t>
            </w:r>
          </w:p>
        </w:tc>
        <w:tc>
          <w:tcPr>
            <w:tcW w:w="2631" w:type="dxa"/>
            <w:vMerge w:val="restart"/>
            <w:vAlign w:val="center"/>
          </w:tcPr>
          <w:p w14:paraId="5147DCD9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noProof/>
                <w:sz w:val="15"/>
                <w:szCs w:val="15"/>
              </w:rPr>
              <w:drawing>
                <wp:inline distT="0" distB="0" distL="0" distR="0" wp14:anchorId="242AC996" wp14:editId="188454D7">
                  <wp:extent cx="1079500" cy="2052320"/>
                  <wp:effectExtent l="0" t="0" r="6350" b="5080"/>
                  <wp:docPr id="889076427" name="图片 1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076427" name="图片 1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205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CD" w:rsidRPr="006E5C26" w14:paraId="1CC935AD" w14:textId="77777777" w:rsidTr="006575EE">
        <w:trPr>
          <w:trHeight w:val="161"/>
          <w:jc w:val="center"/>
        </w:trPr>
        <w:tc>
          <w:tcPr>
            <w:tcW w:w="846" w:type="dxa"/>
            <w:vMerge/>
            <w:vAlign w:val="center"/>
          </w:tcPr>
          <w:p w14:paraId="38E6603C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14:paraId="7906B90E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843" w:type="dxa"/>
            <w:vAlign w:val="center"/>
          </w:tcPr>
          <w:p w14:paraId="11F6576F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  <w:r w:rsidRPr="006E5C26">
              <w:rPr>
                <w:sz w:val="15"/>
                <w:szCs w:val="15"/>
              </w:rPr>
              <w:t>C</w:t>
            </w:r>
            <w:r w:rsidRPr="006E5C26">
              <w:rPr>
                <w:sz w:val="15"/>
                <w:szCs w:val="15"/>
                <w:vertAlign w:val="subscript"/>
              </w:rPr>
              <w:t>4</w:t>
            </w:r>
            <w:r w:rsidRPr="006E5C26">
              <w:rPr>
                <w:sz w:val="15"/>
                <w:szCs w:val="15"/>
              </w:rPr>
              <w:t>H</w:t>
            </w:r>
            <w:r w:rsidRPr="006E5C26">
              <w:rPr>
                <w:sz w:val="15"/>
                <w:szCs w:val="15"/>
                <w:vertAlign w:val="subscript"/>
              </w:rPr>
              <w:t>5</w:t>
            </w:r>
            <w:r w:rsidRPr="006E5C26">
              <w:rPr>
                <w:sz w:val="15"/>
                <w:szCs w:val="15"/>
              </w:rPr>
              <w:t>N</w:t>
            </w:r>
            <w:r w:rsidRPr="006E5C26">
              <w:rPr>
                <w:sz w:val="15"/>
                <w:szCs w:val="15"/>
                <w:vertAlign w:val="subscript"/>
              </w:rPr>
              <w:t>3</w:t>
            </w:r>
            <w:r w:rsidRPr="006E5C26">
              <w:rPr>
                <w:sz w:val="15"/>
                <w:szCs w:val="15"/>
              </w:rPr>
              <w:t>O（Cytosine）</w:t>
            </w:r>
          </w:p>
        </w:tc>
        <w:tc>
          <w:tcPr>
            <w:tcW w:w="1842" w:type="dxa"/>
            <w:vMerge/>
            <w:vAlign w:val="center"/>
          </w:tcPr>
          <w:p w14:paraId="3284EEDA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2631" w:type="dxa"/>
            <w:vMerge/>
            <w:vAlign w:val="center"/>
          </w:tcPr>
          <w:p w14:paraId="30CBFD82" w14:textId="77777777" w:rsidR="000D21CD" w:rsidRPr="006E5C26" w:rsidRDefault="000D21CD" w:rsidP="006575EE"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</w:tr>
    </w:tbl>
    <w:p w14:paraId="30D4D53C" w14:textId="0C714C67" w:rsidR="004C352F" w:rsidRPr="004C352F" w:rsidRDefault="004C352F" w:rsidP="004C352F">
      <w:pPr>
        <w:rPr>
          <w:rFonts w:ascii="Times New Roman" w:hAnsi="Times New Roman" w:cs="Times New Roman"/>
          <w:color w:val="000000" w:themeColor="text1"/>
        </w:rPr>
      </w:pPr>
      <w:r w:rsidRPr="004C352F">
        <w:rPr>
          <w:rFonts w:ascii="Times New Roman" w:hAnsi="Times New Roman" w:cs="Times New Roman"/>
          <w:color w:val="000000" w:themeColor="text1"/>
        </w:rPr>
        <w:t>Table S</w:t>
      </w:r>
      <w:r w:rsidR="001F4D58">
        <w:rPr>
          <w:rFonts w:ascii="Times New Roman" w:hAnsi="Times New Roman" w:cs="Times New Roman" w:hint="eastAsia"/>
          <w:color w:val="000000" w:themeColor="text1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4C352F">
        <w:rPr>
          <w:rFonts w:ascii="Times New Roman" w:hAnsi="Times New Roman" w:cs="Times New Roman"/>
          <w:color w:val="000000" w:themeColor="text1"/>
        </w:rPr>
        <w:t xml:space="preserve">CPMI / ARTP / UV / </w:t>
      </w:r>
      <w:r>
        <w:rPr>
          <w:rFonts w:ascii="Times New Roman" w:hAnsi="Times New Roman" w:cs="Times New Roman" w:hint="eastAsia"/>
          <w:color w:val="000000" w:themeColor="text1"/>
        </w:rPr>
        <w:t>Chmeical</w:t>
      </w:r>
      <w:r w:rsidRPr="004C352F">
        <w:rPr>
          <w:rFonts w:ascii="Times New Roman" w:hAnsi="Times New Roman" w:cs="Times New Roman"/>
          <w:color w:val="000000" w:themeColor="text1"/>
        </w:rPr>
        <w:t>（</w:t>
      </w:r>
      <w:r w:rsidRPr="004C352F">
        <w:rPr>
          <w:rFonts w:ascii="Times New Roman" w:hAnsi="Times New Roman" w:cs="Times New Roman"/>
          <w:color w:val="000000" w:themeColor="text1"/>
        </w:rPr>
        <w:t>EMS/NTG</w:t>
      </w:r>
      <w:r w:rsidRPr="004C352F">
        <w:rPr>
          <w:rFonts w:ascii="Times New Roman" w:hAnsi="Times New Roman" w:cs="Times New Roman"/>
          <w:color w:val="000000" w:themeColor="text1"/>
        </w:rPr>
        <w:t>）</w:t>
      </w:r>
      <w:r w:rsidRPr="004C352F">
        <w:rPr>
          <w:rFonts w:ascii="Times New Roman" w:hAnsi="Times New Roman" w:cs="Times New Roman"/>
          <w:color w:val="000000" w:themeColor="text1"/>
        </w:rPr>
        <w:t xml:space="preserve"> / γ</w:t>
      </w:r>
      <w:r>
        <w:rPr>
          <w:rFonts w:ascii="Times New Roman" w:hAnsi="Times New Roman" w:cs="Times New Roman"/>
          <w:color w:val="000000" w:themeColor="text1"/>
        </w:rPr>
        <w:br/>
      </w:r>
      <w:r w:rsidRPr="004C352F">
        <w:rPr>
          <w:rFonts w:ascii="Times New Roman" w:hAnsi="Times New Roman" w:cs="Times New Roman"/>
          <w:color w:val="000000" w:themeColor="text1"/>
        </w:rPr>
        <w:t>Minimal comparison of mutagenesis modalities (six key dimensions).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3"/>
        <w:gridCol w:w="1111"/>
        <w:gridCol w:w="1402"/>
        <w:gridCol w:w="1019"/>
        <w:gridCol w:w="1716"/>
        <w:gridCol w:w="1785"/>
      </w:tblGrid>
      <w:tr w:rsidR="004C352F" w:rsidRPr="004C352F" w14:paraId="78204173" w14:textId="77777777" w:rsidTr="006C3831">
        <w:trPr>
          <w:jc w:val="center"/>
        </w:trPr>
        <w:tc>
          <w:tcPr>
            <w:tcW w:w="1273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70051A36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Modality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0ECB8B65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Medium</w:t>
            </w:r>
          </w:p>
        </w:tc>
        <w:tc>
          <w:tcPr>
            <w:tcW w:w="1402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31AF6C3F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Power / Distance</w:t>
            </w:r>
          </w:p>
        </w:tc>
        <w:tc>
          <w:tcPr>
            <w:tcW w:w="1019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31D87C76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Cooling</w:t>
            </w:r>
          </w:p>
        </w:tc>
        <w:tc>
          <w:tcPr>
            <w:tcW w:w="1716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592B90F5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Toxicity</w:t>
            </w:r>
          </w:p>
        </w:tc>
        <w:tc>
          <w:tcPr>
            <w:tcW w:w="1785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7764FBE4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Key Takeaway</w:t>
            </w:r>
          </w:p>
        </w:tc>
      </w:tr>
      <w:tr w:rsidR="004C352F" w:rsidRPr="004C352F" w14:paraId="13C57C59" w14:textId="77777777" w:rsidTr="006C3831">
        <w:trPr>
          <w:jc w:val="center"/>
        </w:trPr>
        <w:tc>
          <w:tcPr>
            <w:tcW w:w="1273" w:type="dxa"/>
            <w:tcBorders>
              <w:top w:val="single" w:sz="8" w:space="0" w:color="auto"/>
            </w:tcBorders>
            <w:hideMark/>
          </w:tcPr>
          <w:p w14:paraId="087BE113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CPMI (this work)</w:t>
            </w:r>
          </w:p>
        </w:tc>
        <w:tc>
          <w:tcPr>
            <w:tcW w:w="1111" w:type="dxa"/>
            <w:tcBorders>
              <w:top w:val="single" w:sz="8" w:space="0" w:color="auto"/>
            </w:tcBorders>
            <w:hideMark/>
          </w:tcPr>
          <w:p w14:paraId="137658F7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Air (no specialty gas)</w:t>
            </w:r>
          </w:p>
        </w:tc>
        <w:tc>
          <w:tcPr>
            <w:tcW w:w="1402" w:type="dxa"/>
            <w:tcBorders>
              <w:top w:val="single" w:sz="8" w:space="0" w:color="auto"/>
            </w:tcBorders>
            <w:hideMark/>
          </w:tcPr>
          <w:p w14:paraId="3E3FC503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2–8 W; 2–6 cm</w:t>
            </w:r>
          </w:p>
        </w:tc>
        <w:tc>
          <w:tcPr>
            <w:tcW w:w="1019" w:type="dxa"/>
            <w:tcBorders>
              <w:top w:val="single" w:sz="8" w:space="0" w:color="auto"/>
            </w:tcBorders>
            <w:hideMark/>
          </w:tcPr>
          <w:p w14:paraId="2F75D04B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Not required</w:t>
            </w:r>
          </w:p>
        </w:tc>
        <w:tc>
          <w:tcPr>
            <w:tcW w:w="1716" w:type="dxa"/>
            <w:tcBorders>
              <w:top w:val="single" w:sz="8" w:space="0" w:color="auto"/>
            </w:tcBorders>
            <w:hideMark/>
          </w:tcPr>
          <w:p w14:paraId="55C49CAB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Non-toxic (no chemical residues)</w:t>
            </w: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  <w:t>*Basic ventilation for O3/NOx recommended*</w:t>
            </w:r>
          </w:p>
        </w:tc>
        <w:tc>
          <w:tcPr>
            <w:tcW w:w="1785" w:type="dxa"/>
            <w:tcBorders>
              <w:top w:val="single" w:sz="8" w:space="0" w:color="auto"/>
            </w:tcBorders>
            <w:hideMark/>
          </w:tcPr>
          <w:p w14:paraId="72BB3AA3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Low-power yet effective; requires high-throughput screening to capture beneficial variants.</w:t>
            </w:r>
          </w:p>
        </w:tc>
      </w:tr>
      <w:tr w:rsidR="004C352F" w:rsidRPr="004C352F" w14:paraId="349C74CC" w14:textId="77777777" w:rsidTr="006C3831">
        <w:trPr>
          <w:jc w:val="center"/>
        </w:trPr>
        <w:tc>
          <w:tcPr>
            <w:tcW w:w="1273" w:type="dxa"/>
            <w:hideMark/>
          </w:tcPr>
          <w:p w14:paraId="1A4022FF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ARTP (plasma)</w:t>
            </w:r>
          </w:p>
        </w:tc>
        <w:tc>
          <w:tcPr>
            <w:tcW w:w="1111" w:type="dxa"/>
            <w:hideMark/>
          </w:tcPr>
          <w:p w14:paraId="298B611D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Ar / N2 (typical)</w:t>
            </w:r>
          </w:p>
        </w:tc>
        <w:tc>
          <w:tcPr>
            <w:tcW w:w="1402" w:type="dxa"/>
            <w:hideMark/>
          </w:tcPr>
          <w:p w14:paraId="63194C28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≈180 W; mm-level gap</w:t>
            </w:r>
          </w:p>
        </w:tc>
        <w:tc>
          <w:tcPr>
            <w:tcW w:w="1019" w:type="dxa"/>
            <w:hideMark/>
          </w:tcPr>
          <w:p w14:paraId="5C8B8454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Typically required (head / gas-flow)</w:t>
            </w:r>
          </w:p>
        </w:tc>
        <w:tc>
          <w:tcPr>
            <w:tcW w:w="1716" w:type="dxa"/>
            <w:hideMark/>
          </w:tcPr>
          <w:p w14:paraId="6F6076A2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Low (no residues; gas/HV safety)</w:t>
            </w:r>
          </w:p>
        </w:tc>
        <w:tc>
          <w:tcPr>
            <w:tcW w:w="1785" w:type="dxa"/>
            <w:hideMark/>
          </w:tcPr>
          <w:p w14:paraId="62B4292C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High excitation density but needs gas logistics and cooling.</w:t>
            </w:r>
          </w:p>
        </w:tc>
      </w:tr>
      <w:tr w:rsidR="004C352F" w:rsidRPr="004C352F" w14:paraId="6D2D7253" w14:textId="77777777" w:rsidTr="006C3831">
        <w:trPr>
          <w:jc w:val="center"/>
        </w:trPr>
        <w:tc>
          <w:tcPr>
            <w:tcW w:w="1273" w:type="dxa"/>
            <w:hideMark/>
          </w:tcPr>
          <w:p w14:paraId="71397A97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UV (254 nm)</w:t>
            </w:r>
          </w:p>
        </w:tc>
        <w:tc>
          <w:tcPr>
            <w:tcW w:w="1111" w:type="dxa"/>
            <w:hideMark/>
          </w:tcPr>
          <w:p w14:paraId="4520F3CF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—</w:t>
            </w:r>
          </w:p>
        </w:tc>
        <w:tc>
          <w:tcPr>
            <w:tcW w:w="1402" w:type="dxa"/>
            <w:hideMark/>
          </w:tcPr>
          <w:p w14:paraId="1C3616E8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Dose = intensity × time</w:t>
            </w:r>
          </w:p>
        </w:tc>
        <w:tc>
          <w:tcPr>
            <w:tcW w:w="1019" w:type="dxa"/>
            <w:hideMark/>
          </w:tcPr>
          <w:p w14:paraId="6219796D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Not required</w:t>
            </w:r>
          </w:p>
        </w:tc>
        <w:tc>
          <w:tcPr>
            <w:tcW w:w="1716" w:type="dxa"/>
            <w:hideMark/>
          </w:tcPr>
          <w:p w14:paraId="06543ED1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Low–Moderate (operator protection)</w:t>
            </w:r>
          </w:p>
        </w:tc>
        <w:tc>
          <w:tcPr>
            <w:tcW w:w="1785" w:type="dxa"/>
            <w:hideMark/>
          </w:tcPr>
          <w:p w14:paraId="68FA80D6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Simple and cheap; mutation spectrum biased; shading/dose control issues.</w:t>
            </w:r>
          </w:p>
        </w:tc>
      </w:tr>
      <w:tr w:rsidR="004C352F" w:rsidRPr="004C352F" w14:paraId="5DDFC6B5" w14:textId="77777777" w:rsidTr="006C3831">
        <w:trPr>
          <w:jc w:val="center"/>
        </w:trPr>
        <w:tc>
          <w:tcPr>
            <w:tcW w:w="1273" w:type="dxa"/>
            <w:hideMark/>
          </w:tcPr>
          <w:p w14:paraId="0387B92A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Gamma / ion beam</w:t>
            </w:r>
          </w:p>
        </w:tc>
        <w:tc>
          <w:tcPr>
            <w:tcW w:w="1111" w:type="dxa"/>
            <w:hideMark/>
          </w:tcPr>
          <w:p w14:paraId="08D74007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Facility-based</w:t>
            </w:r>
          </w:p>
        </w:tc>
        <w:tc>
          <w:tcPr>
            <w:tcW w:w="1402" w:type="dxa"/>
            <w:hideMark/>
          </w:tcPr>
          <w:p w14:paraId="44BFEFC2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Facility dose settings</w:t>
            </w:r>
          </w:p>
        </w:tc>
        <w:tc>
          <w:tcPr>
            <w:tcW w:w="1019" w:type="dxa"/>
            <w:hideMark/>
          </w:tcPr>
          <w:p w14:paraId="125DCD8E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Facility-level</w:t>
            </w:r>
          </w:p>
        </w:tc>
        <w:tc>
          <w:tcPr>
            <w:tcW w:w="1716" w:type="dxa"/>
            <w:hideMark/>
          </w:tcPr>
          <w:p w14:paraId="33A37F87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Moderate–High (radiation safety)</w:t>
            </w:r>
          </w:p>
        </w:tc>
        <w:tc>
          <w:tcPr>
            <w:tcW w:w="1785" w:type="dxa"/>
            <w:hideMark/>
          </w:tcPr>
          <w:p w14:paraId="226027B3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Large structural changes; dedicated facility and scheduling.</w:t>
            </w:r>
          </w:p>
        </w:tc>
      </w:tr>
      <w:tr w:rsidR="004C352F" w:rsidRPr="004C352F" w14:paraId="55718928" w14:textId="77777777" w:rsidTr="006C3831">
        <w:trPr>
          <w:jc w:val="center"/>
        </w:trPr>
        <w:tc>
          <w:tcPr>
            <w:tcW w:w="1273" w:type="dxa"/>
            <w:hideMark/>
          </w:tcPr>
          <w:p w14:paraId="6CD6EEEF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Chemical (EMS/NTG)</w:t>
            </w:r>
          </w:p>
        </w:tc>
        <w:tc>
          <w:tcPr>
            <w:tcW w:w="1111" w:type="dxa"/>
            <w:hideMark/>
          </w:tcPr>
          <w:p w14:paraId="0C993738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Hazardous chemicals</w:t>
            </w:r>
          </w:p>
        </w:tc>
        <w:tc>
          <w:tcPr>
            <w:tcW w:w="1402" w:type="dxa"/>
            <w:hideMark/>
          </w:tcPr>
          <w:p w14:paraId="6CE82480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Concentration × time</w:t>
            </w:r>
          </w:p>
        </w:tc>
        <w:tc>
          <w:tcPr>
            <w:tcW w:w="1019" w:type="dxa"/>
            <w:hideMark/>
          </w:tcPr>
          <w:p w14:paraId="20CD3571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Not required</w:t>
            </w:r>
          </w:p>
        </w:tc>
        <w:tc>
          <w:tcPr>
            <w:tcW w:w="1716" w:type="dxa"/>
            <w:hideMark/>
          </w:tcPr>
          <w:p w14:paraId="7B87FC1A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High (toxic/carcinogenic; waste)</w:t>
            </w:r>
          </w:p>
        </w:tc>
        <w:tc>
          <w:tcPr>
            <w:tcW w:w="1785" w:type="dxa"/>
            <w:hideMark/>
          </w:tcPr>
          <w:p w14:paraId="2ADF594C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High efficiency; broad SNV spectrum; decontamination and waste burden.</w:t>
            </w:r>
          </w:p>
        </w:tc>
      </w:tr>
      <w:tr w:rsidR="004C352F" w:rsidRPr="004C352F" w14:paraId="37FBC2E5" w14:textId="77777777" w:rsidTr="006C3831">
        <w:trPr>
          <w:jc w:val="center"/>
        </w:trPr>
        <w:tc>
          <w:tcPr>
            <w:tcW w:w="1273" w:type="dxa"/>
            <w:hideMark/>
          </w:tcPr>
          <w:p w14:paraId="7FA7A77B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Biological (ALE / editing)</w:t>
            </w:r>
          </w:p>
        </w:tc>
        <w:tc>
          <w:tcPr>
            <w:tcW w:w="1111" w:type="dxa"/>
            <w:hideMark/>
          </w:tcPr>
          <w:p w14:paraId="5DD125B9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Media / enzymes / kits</w:t>
            </w:r>
          </w:p>
        </w:tc>
        <w:tc>
          <w:tcPr>
            <w:tcW w:w="1402" w:type="dxa"/>
            <w:hideMark/>
          </w:tcPr>
          <w:p w14:paraId="3BA116C7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Design-/cycle-dependent</w:t>
            </w:r>
          </w:p>
        </w:tc>
        <w:tc>
          <w:tcPr>
            <w:tcW w:w="1019" w:type="dxa"/>
            <w:hideMark/>
          </w:tcPr>
          <w:p w14:paraId="2DF3B1B4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Not required</w:t>
            </w:r>
          </w:p>
        </w:tc>
        <w:tc>
          <w:tcPr>
            <w:tcW w:w="1716" w:type="dxa"/>
            <w:hideMark/>
          </w:tcPr>
          <w:p w14:paraId="78F4FEF5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Low (method-dependent)</w:t>
            </w:r>
          </w:p>
        </w:tc>
        <w:tc>
          <w:tcPr>
            <w:tcW w:w="1785" w:type="dxa"/>
            <w:hideMark/>
          </w:tcPr>
          <w:p w14:paraId="69E60286" w14:textId="77777777" w:rsidR="004C352F" w:rsidRPr="004C352F" w:rsidRDefault="004C352F" w:rsidP="004C352F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C35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Precision (editing) or adaptive outcomes (ALE); time- and labor-intensive; editing may be regulated.</w:t>
            </w:r>
          </w:p>
        </w:tc>
      </w:tr>
    </w:tbl>
    <w:p w14:paraId="50709A77" w14:textId="77777777" w:rsidR="004C352F" w:rsidRPr="004C352F" w:rsidRDefault="004C352F" w:rsidP="004C352F">
      <w:pPr>
        <w:rPr>
          <w:rFonts w:ascii="Times New Roman" w:hAnsi="Times New Roman" w:cs="Times New Roman"/>
          <w:color w:val="000000" w:themeColor="text1"/>
        </w:rPr>
      </w:pPr>
      <w:r w:rsidRPr="004C352F">
        <w:rPr>
          <w:rFonts w:ascii="Times New Roman" w:hAnsi="Times New Roman" w:cs="Times New Roman"/>
          <w:color w:val="000000" w:themeColor="text1"/>
        </w:rPr>
        <w:br/>
        <w:t>Notes:</w:t>
      </w:r>
    </w:p>
    <w:p w14:paraId="0AE2A7D1" w14:textId="77777777" w:rsidR="004C352F" w:rsidRPr="004C352F" w:rsidRDefault="004C352F" w:rsidP="004C352F">
      <w:pPr>
        <w:rPr>
          <w:rFonts w:ascii="Times New Roman" w:hAnsi="Times New Roman" w:cs="Times New Roman"/>
          <w:color w:val="000000" w:themeColor="text1"/>
        </w:rPr>
      </w:pPr>
      <w:r w:rsidRPr="004C352F">
        <w:rPr>
          <w:rFonts w:ascii="Times New Roman" w:hAnsi="Times New Roman" w:cs="Times New Roman"/>
          <w:color w:val="000000" w:themeColor="text1"/>
        </w:rPr>
        <w:t>1) CPMI uses ambient air as the discharge medium and generates minimal heat at low power (2–8 W), running stably at room temperature without active cooling.</w:t>
      </w:r>
    </w:p>
    <w:p w14:paraId="344CB593" w14:textId="77777777" w:rsidR="004C352F" w:rsidRPr="004C352F" w:rsidRDefault="004C352F" w:rsidP="004C352F">
      <w:pPr>
        <w:rPr>
          <w:rFonts w:ascii="Times New Roman" w:hAnsi="Times New Roman" w:cs="Times New Roman"/>
          <w:color w:val="000000" w:themeColor="text1"/>
        </w:rPr>
      </w:pPr>
      <w:r w:rsidRPr="004C352F">
        <w:rPr>
          <w:rFonts w:ascii="Times New Roman" w:hAnsi="Times New Roman" w:cs="Times New Roman"/>
          <w:color w:val="000000" w:themeColor="text1"/>
        </w:rPr>
        <w:t>2) ARTP commonly uses argon or nitrogen as the working gas and typically requires head/gas-flow cooling to stabilize discharge.</w:t>
      </w:r>
    </w:p>
    <w:p w14:paraId="2138A34D" w14:textId="025913F7" w:rsidR="000D21CD" w:rsidRPr="008638E9" w:rsidRDefault="000D21CD" w:rsidP="008638E9">
      <w:pPr>
        <w:rPr>
          <w:rFonts w:ascii="Times New Roman" w:hAnsi="Times New Roman" w:cs="Times New Roman"/>
          <w:color w:val="000000" w:themeColor="text1"/>
        </w:rPr>
      </w:pPr>
    </w:p>
    <w:p w14:paraId="0FEB4D2C" w14:textId="5C1B4D7E" w:rsidR="004C352F" w:rsidRDefault="004C352F">
      <w:pPr>
        <w:rPr>
          <w:rFonts w:ascii="Times New Roman" w:hAnsi="Times New Roman" w:cs="Times New Roman"/>
          <w:color w:val="000000" w:themeColor="text1"/>
          <w:szCs w:val="22"/>
        </w:rPr>
      </w:pPr>
    </w:p>
    <w:p w14:paraId="1850DBD7" w14:textId="442C3951" w:rsidR="008638E9" w:rsidRDefault="004C352F">
      <w:pPr>
        <w:rPr>
          <w:rFonts w:ascii="Times New Roman" w:hAnsi="Times New Roman" w:cs="Times New Roman"/>
          <w:color w:val="000000" w:themeColor="text1"/>
          <w:szCs w:val="22"/>
        </w:rPr>
      </w:pPr>
      <w:r w:rsidRPr="00CE3D75">
        <w:rPr>
          <w:rFonts w:ascii="Times New Roman" w:hAnsi="Times New Roman" w:cs="Times New Roman"/>
          <w:color w:val="000000" w:themeColor="text1"/>
          <w:szCs w:val="22"/>
        </w:rPr>
        <w:t>Figure</w:t>
      </w:r>
      <w:r w:rsidRPr="00CE3D75">
        <w:rPr>
          <w:rFonts w:ascii="Times New Roman" w:hAnsi="Times New Roman" w:cs="Times New Roman" w:hint="eastAsia"/>
          <w:color w:val="000000" w:themeColor="text1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2"/>
        </w:rPr>
        <w:t>S</w:t>
      </w:r>
      <w:r w:rsidR="006C3831">
        <w:rPr>
          <w:rFonts w:ascii="Times New Roman" w:hAnsi="Times New Roman" w:cs="Times New Roman" w:hint="eastAsia"/>
          <w:color w:val="000000" w:themeColor="text1"/>
          <w:szCs w:val="22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2"/>
        </w:rPr>
        <w:t>.</w:t>
      </w:r>
      <w:r>
        <w:rPr>
          <w:rFonts w:ascii="Times New Roman" w:hAnsi="Times New Roman" w:cs="Times New Roman"/>
          <w:noProof/>
          <w:color w:val="000000" w:themeColor="text1"/>
          <w:szCs w:val="22"/>
        </w:rPr>
        <w:t xml:space="preserve"> </w:t>
      </w:r>
      <w:r w:rsidR="008638E9" w:rsidRPr="008638E9">
        <w:rPr>
          <w:rFonts w:ascii="Times New Roman" w:hAnsi="Times New Roman" w:cs="Times New Roman" w:hint="eastAsia"/>
          <w:color w:val="000000" w:themeColor="text1"/>
          <w:szCs w:val="22"/>
        </w:rPr>
        <w:t>Mass spectrometry profiles of dA8, dG8, dC8, and dT8 oligonucleotides following 2 minutes of CPMI treatment, showing m/z values from 421 to 1650 and from 0 to 3000. CPMI generates base modifications consistent with oxidative DNA damage.</w:t>
      </w:r>
    </w:p>
    <w:p w14:paraId="1398B551" w14:textId="6F9FB004" w:rsidR="008638E9" w:rsidRDefault="008638E9" w:rsidP="001F4D58">
      <w:pPr>
        <w:jc w:val="center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noProof/>
          <w:color w:val="000000" w:themeColor="text1"/>
          <w:szCs w:val="22"/>
        </w:rPr>
        <w:drawing>
          <wp:inline distT="0" distB="0" distL="0" distR="0" wp14:anchorId="7C5EC3A1" wp14:editId="299E0260">
            <wp:extent cx="3760157" cy="3643906"/>
            <wp:effectExtent l="0" t="0" r="0" b="0"/>
            <wp:docPr id="18504509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01" cy="364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3771CB" w14:textId="77777777" w:rsidR="000B0B7C" w:rsidRPr="000B0B7C" w:rsidRDefault="000B0B7C" w:rsidP="000B0B7C">
      <w:pPr>
        <w:rPr>
          <w:rFonts w:ascii="Times New Roman" w:hAnsi="Times New Roman" w:cs="Times New Roman"/>
          <w:color w:val="000000" w:themeColor="text1"/>
          <w:szCs w:val="22"/>
        </w:rPr>
      </w:pPr>
    </w:p>
    <w:sectPr w:rsidR="000B0B7C" w:rsidRPr="000B0B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6F885" w14:textId="77777777" w:rsidR="00B402F9" w:rsidRDefault="00B402F9" w:rsidP="004C352F">
      <w:pPr>
        <w:rPr>
          <w:rFonts w:hint="eastAsia"/>
        </w:rPr>
      </w:pPr>
      <w:r>
        <w:separator/>
      </w:r>
    </w:p>
  </w:endnote>
  <w:endnote w:type="continuationSeparator" w:id="0">
    <w:p w14:paraId="43E240D0" w14:textId="77777777" w:rsidR="00B402F9" w:rsidRDefault="00B402F9" w:rsidP="004C352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1FCD1" w14:textId="77777777" w:rsidR="00B402F9" w:rsidRDefault="00B402F9" w:rsidP="004C352F">
      <w:pPr>
        <w:rPr>
          <w:rFonts w:hint="eastAsia"/>
        </w:rPr>
      </w:pPr>
      <w:r>
        <w:separator/>
      </w:r>
    </w:p>
  </w:footnote>
  <w:footnote w:type="continuationSeparator" w:id="0">
    <w:p w14:paraId="14B0658A" w14:textId="77777777" w:rsidR="00B402F9" w:rsidRDefault="00B402F9" w:rsidP="004C352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BBE13"/>
    <w:multiLevelType w:val="singleLevel"/>
    <w:tmpl w:val="163BBE13"/>
    <w:lvl w:ilvl="0">
      <w:start w:val="2"/>
      <w:numFmt w:val="decimal"/>
      <w:suff w:val="space"/>
      <w:lvlText w:val="(%1)"/>
      <w:lvlJc w:val="left"/>
    </w:lvl>
  </w:abstractNum>
  <w:abstractNum w:abstractNumId="1" w15:restartNumberingAfterBreak="0">
    <w:nsid w:val="72B129DA"/>
    <w:multiLevelType w:val="singleLevel"/>
    <w:tmpl w:val="72B129DA"/>
    <w:lvl w:ilvl="0">
      <w:start w:val="1"/>
      <w:numFmt w:val="decimal"/>
      <w:suff w:val="space"/>
      <w:lvlText w:val="(%1)"/>
      <w:lvlJc w:val="left"/>
    </w:lvl>
  </w:abstractNum>
  <w:num w:numId="1" w16cid:durableId="1879078803">
    <w:abstractNumId w:val="1"/>
  </w:num>
  <w:num w:numId="2" w16cid:durableId="345063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1CD"/>
    <w:rsid w:val="000B0B7C"/>
    <w:rsid w:val="000D21CD"/>
    <w:rsid w:val="00160360"/>
    <w:rsid w:val="001F4D58"/>
    <w:rsid w:val="003B0FD6"/>
    <w:rsid w:val="004C352F"/>
    <w:rsid w:val="006744C9"/>
    <w:rsid w:val="006C3831"/>
    <w:rsid w:val="007D3216"/>
    <w:rsid w:val="007F58A1"/>
    <w:rsid w:val="00825846"/>
    <w:rsid w:val="00861621"/>
    <w:rsid w:val="008638E9"/>
    <w:rsid w:val="00877260"/>
    <w:rsid w:val="00957B7A"/>
    <w:rsid w:val="00A86B50"/>
    <w:rsid w:val="00AC4607"/>
    <w:rsid w:val="00B007FC"/>
    <w:rsid w:val="00B402F9"/>
    <w:rsid w:val="00CD7D13"/>
    <w:rsid w:val="00DC2DD5"/>
    <w:rsid w:val="00E6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0E6C0"/>
  <w15:chartTrackingRefBased/>
  <w15:docId w15:val="{1D0ADB1D-C9BD-451E-9802-9BE1054EA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21CD"/>
    <w:pPr>
      <w:spacing w:after="0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21CD"/>
    <w:pPr>
      <w:keepNext/>
      <w:keepLines/>
      <w:widowControl w:val="0"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21CD"/>
    <w:pPr>
      <w:keepNext/>
      <w:keepLines/>
      <w:widowControl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21CD"/>
    <w:pPr>
      <w:keepNext/>
      <w:keepLines/>
      <w:widowControl w:val="0"/>
      <w:spacing w:before="160" w:after="80" w:line="278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21CD"/>
    <w:pPr>
      <w:keepNext/>
      <w:keepLines/>
      <w:widowControl w:val="0"/>
      <w:spacing w:before="80" w:after="40" w:line="278" w:lineRule="auto"/>
      <w:outlineLvl w:val="3"/>
    </w:pPr>
    <w:rPr>
      <w:rFonts w:asciiTheme="minorHAnsi" w:eastAsiaTheme="min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21CD"/>
    <w:pPr>
      <w:keepNext/>
      <w:keepLines/>
      <w:widowControl w:val="0"/>
      <w:spacing w:before="80" w:after="40" w:line="278" w:lineRule="auto"/>
      <w:outlineLvl w:val="4"/>
    </w:pPr>
    <w:rPr>
      <w:rFonts w:asciiTheme="minorHAnsi" w:eastAsiaTheme="min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21CD"/>
    <w:pPr>
      <w:keepNext/>
      <w:keepLines/>
      <w:widowControl w:val="0"/>
      <w:spacing w:before="40" w:line="278" w:lineRule="auto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kern w:val="2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21CD"/>
    <w:pPr>
      <w:keepNext/>
      <w:keepLines/>
      <w:widowControl w:val="0"/>
      <w:spacing w:before="40" w:line="278" w:lineRule="auto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21CD"/>
    <w:pPr>
      <w:keepNext/>
      <w:keepLines/>
      <w:widowControl w:val="0"/>
      <w:spacing w:line="278" w:lineRule="auto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21CD"/>
    <w:pPr>
      <w:keepNext/>
      <w:keepLines/>
      <w:widowControl w:val="0"/>
      <w:spacing w:line="278" w:lineRule="auto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D21C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D2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D2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D21C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D21C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D21C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D21C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D21C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D21C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D21CD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0D2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21CD"/>
    <w:pPr>
      <w:widowControl w:val="0"/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0D21C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D21CD"/>
    <w:pPr>
      <w:widowControl w:val="0"/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0D21C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D21CD"/>
    <w:pPr>
      <w:widowControl w:val="0"/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0D21C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D21CD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0D21C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D21CD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qFormat/>
    <w:rsid w:val="000D21CD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uiPriority w:val="39"/>
    <w:qFormat/>
    <w:rsid w:val="000D21CD"/>
    <w:pPr>
      <w:spacing w:after="0" w:line="240" w:lineRule="auto"/>
    </w:pPr>
    <w:rPr>
      <w:rFonts w:ascii="Times New Roman" w:eastAsia="宋体" w:hAnsi="Times New Roman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4C352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C352F"/>
    <w:rPr>
      <w:rFonts w:ascii="宋体" w:eastAsia="宋体" w:hAnsi="宋体" w:cs="宋体"/>
      <w:kern w:val="0"/>
      <w:sz w:val="18"/>
      <w:szCs w:val="18"/>
      <w14:ligatures w14:val="none"/>
    </w:rPr>
  </w:style>
  <w:style w:type="paragraph" w:styleId="af1">
    <w:name w:val="footer"/>
    <w:basedOn w:val="a"/>
    <w:link w:val="af2"/>
    <w:uiPriority w:val="99"/>
    <w:unhideWhenUsed/>
    <w:rsid w:val="004C352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C352F"/>
    <w:rPr>
      <w:rFonts w:ascii="宋体" w:eastAsia="宋体" w:hAnsi="宋体" w:cs="宋体"/>
      <w:kern w:val="0"/>
      <w:sz w:val="18"/>
      <w:szCs w:val="18"/>
      <w14:ligatures w14:val="none"/>
    </w:rPr>
  </w:style>
  <w:style w:type="character" w:customStyle="1" w:styleId="mord">
    <w:name w:val="mord"/>
    <w:basedOn w:val="a0"/>
    <w:qFormat/>
    <w:rsid w:val="004C3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10</Pages>
  <Words>1148</Words>
  <Characters>6548</Characters>
  <Application>Microsoft Office Word</Application>
  <DocSecurity>0</DocSecurity>
  <Lines>54</Lines>
  <Paragraphs>15</Paragraphs>
  <ScaleCrop>false</ScaleCrop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Kylian -</dc:creator>
  <cp:keywords/>
  <dc:description/>
  <cp:lastModifiedBy>Kylian -</cp:lastModifiedBy>
  <cp:revision>5</cp:revision>
  <dcterms:created xsi:type="dcterms:W3CDTF">2025-10-28T03:47:00Z</dcterms:created>
  <dcterms:modified xsi:type="dcterms:W3CDTF">2025-11-13T04:03:00Z</dcterms:modified>
</cp:coreProperties>
</file>