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9A723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>Supplementary Figures</w:t>
      </w:r>
    </w:p>
    <w:p w14:paraId="229D9E8B" w14:textId="005D07B1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lang w:val="en-US"/>
        </w:rPr>
        <w:drawing>
          <wp:inline distT="0" distB="0" distL="0" distR="0" wp14:anchorId="63F4DE71" wp14:editId="759215D8">
            <wp:extent cx="5731510" cy="1780540"/>
            <wp:effectExtent l="0" t="0" r="2540" b="0"/>
            <wp:docPr id="124627375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8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7F026" w14:textId="77B217A4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lang w:val="en-US"/>
        </w:rPr>
        <w:drawing>
          <wp:inline distT="0" distB="0" distL="0" distR="0" wp14:anchorId="44068EE2" wp14:editId="739A0B58">
            <wp:extent cx="5724525" cy="1752600"/>
            <wp:effectExtent l="0" t="0" r="9525" b="0"/>
            <wp:docPr id="203263924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49760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 xml:space="preserve">Figure S1. The taxonomic structure of the </w:t>
      </w:r>
      <w:r w:rsidRPr="00907B98">
        <w:rPr>
          <w:b/>
          <w:bCs/>
          <w:i/>
          <w:iCs/>
          <w:lang w:val="en-US"/>
        </w:rPr>
        <w:t>Anopheles gambiae</w:t>
      </w:r>
      <w:r w:rsidRPr="00907B98">
        <w:rPr>
          <w:b/>
          <w:bCs/>
          <w:lang w:val="en-US"/>
        </w:rPr>
        <w:t xml:space="preserve"> by ancestral informative markers (AIM), </w:t>
      </w:r>
      <w:r w:rsidRPr="00907B98">
        <w:rPr>
          <w:b/>
          <w:bCs/>
          <w:i/>
          <w:iCs/>
          <w:lang w:val="en-US"/>
        </w:rPr>
        <w:t>Anopheles gambiae</w:t>
      </w:r>
      <w:r w:rsidRPr="00907B98">
        <w:rPr>
          <w:b/>
          <w:bCs/>
          <w:lang w:val="en-US"/>
        </w:rPr>
        <w:t xml:space="preserve"> versus </w:t>
      </w:r>
      <w:r w:rsidRPr="00907B98">
        <w:rPr>
          <w:b/>
          <w:bCs/>
          <w:i/>
          <w:iCs/>
          <w:lang w:val="en-US"/>
        </w:rPr>
        <w:t xml:space="preserve">Anopheles </w:t>
      </w:r>
      <w:proofErr w:type="spellStart"/>
      <w:r w:rsidRPr="00907B98">
        <w:rPr>
          <w:b/>
          <w:bCs/>
          <w:i/>
          <w:iCs/>
          <w:lang w:val="en-US"/>
        </w:rPr>
        <w:t>coluzzii</w:t>
      </w:r>
      <w:proofErr w:type="spellEnd"/>
      <w:r w:rsidRPr="00907B98">
        <w:rPr>
          <w:b/>
          <w:bCs/>
          <w:lang w:val="en-US"/>
        </w:rPr>
        <w:t xml:space="preserve"> (top), and </w:t>
      </w:r>
      <w:r w:rsidRPr="00907B98">
        <w:rPr>
          <w:b/>
          <w:bCs/>
          <w:i/>
          <w:iCs/>
          <w:lang w:val="en-US"/>
        </w:rPr>
        <w:t>Anopheles gambiae</w:t>
      </w:r>
      <w:r w:rsidRPr="00907B98">
        <w:rPr>
          <w:b/>
          <w:bCs/>
          <w:lang w:val="en-US"/>
        </w:rPr>
        <w:t>/</w:t>
      </w:r>
      <w:proofErr w:type="spellStart"/>
      <w:r w:rsidRPr="00907B98">
        <w:rPr>
          <w:b/>
          <w:bCs/>
          <w:i/>
          <w:iCs/>
          <w:lang w:val="en-US"/>
        </w:rPr>
        <w:t>coluzzii</w:t>
      </w:r>
      <w:proofErr w:type="spellEnd"/>
      <w:r w:rsidRPr="00907B98">
        <w:rPr>
          <w:b/>
          <w:bCs/>
          <w:i/>
          <w:iCs/>
          <w:lang w:val="en-US"/>
        </w:rPr>
        <w:t xml:space="preserve"> </w:t>
      </w:r>
      <w:r w:rsidRPr="00907B98">
        <w:rPr>
          <w:b/>
          <w:bCs/>
          <w:lang w:val="en-US"/>
        </w:rPr>
        <w:t xml:space="preserve">versus </w:t>
      </w:r>
      <w:proofErr w:type="spellStart"/>
      <w:r w:rsidRPr="00907B98">
        <w:rPr>
          <w:b/>
          <w:bCs/>
          <w:i/>
          <w:iCs/>
          <w:lang w:val="en-US"/>
        </w:rPr>
        <w:t>arabiensis</w:t>
      </w:r>
      <w:proofErr w:type="spellEnd"/>
      <w:r w:rsidRPr="00907B98">
        <w:rPr>
          <w:b/>
          <w:bCs/>
          <w:lang w:val="en-US"/>
        </w:rPr>
        <w:t xml:space="preserve"> (bottom).</w:t>
      </w:r>
    </w:p>
    <w:p w14:paraId="3CD03935" w14:textId="77777777" w:rsidR="00907B98" w:rsidRPr="00907B98" w:rsidRDefault="00907B98" w:rsidP="00907B98">
      <w:pPr>
        <w:rPr>
          <w:b/>
          <w:lang w:val="en-US"/>
        </w:rPr>
      </w:pPr>
    </w:p>
    <w:p w14:paraId="1B2F7F59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> </w:t>
      </w:r>
    </w:p>
    <w:p w14:paraId="08352BB0" w14:textId="77777777" w:rsidR="00907B98" w:rsidRPr="00907B98" w:rsidRDefault="00907B98" w:rsidP="00907B98">
      <w:pPr>
        <w:rPr>
          <w:b/>
          <w:lang w:val="en-US"/>
        </w:rPr>
      </w:pPr>
    </w:p>
    <w:p w14:paraId="7AD9B4CF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> </w:t>
      </w:r>
    </w:p>
    <w:p w14:paraId="0CFA5A0B" w14:textId="77777777" w:rsidR="00907B98" w:rsidRPr="00907B98" w:rsidRDefault="00907B98" w:rsidP="00907B98">
      <w:pPr>
        <w:rPr>
          <w:b/>
          <w:lang w:val="en-US"/>
        </w:rPr>
      </w:pPr>
    </w:p>
    <w:p w14:paraId="7B5D20C0" w14:textId="303A4BD1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lang w:val="en-US"/>
        </w:rPr>
        <w:lastRenderedPageBreak/>
        <w:t> </w:t>
      </w:r>
      <w:r w:rsidRPr="00907B98">
        <w:rPr>
          <w:b/>
          <w:lang w:val="en-US"/>
        </w:rPr>
        <w:drawing>
          <wp:inline distT="0" distB="0" distL="0" distR="0" wp14:anchorId="4AA45B47" wp14:editId="71644F12">
            <wp:extent cx="2790825" cy="1943100"/>
            <wp:effectExtent l="0" t="0" r="9525" b="0"/>
            <wp:docPr id="142337071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B98">
        <w:rPr>
          <w:b/>
          <w:lang w:val="en-US"/>
        </w:rPr>
        <w:drawing>
          <wp:inline distT="0" distB="0" distL="0" distR="0" wp14:anchorId="1E4E9134" wp14:editId="0DF98556">
            <wp:extent cx="2514600" cy="2019300"/>
            <wp:effectExtent l="0" t="0" r="0" b="0"/>
            <wp:docPr id="201135104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B98">
        <w:rPr>
          <w:b/>
          <w:lang w:val="en-US"/>
        </w:rPr>
        <w:drawing>
          <wp:inline distT="0" distB="0" distL="0" distR="0" wp14:anchorId="47254CA2" wp14:editId="1D6BC9D9">
            <wp:extent cx="2667000" cy="2152650"/>
            <wp:effectExtent l="0" t="0" r="0" b="0"/>
            <wp:docPr id="73365301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B98">
        <w:rPr>
          <w:b/>
          <w:lang w:val="en-US"/>
        </w:rPr>
        <w:drawing>
          <wp:inline distT="0" distB="0" distL="0" distR="0" wp14:anchorId="7CF9CD65" wp14:editId="111B347E">
            <wp:extent cx="2686050" cy="2171700"/>
            <wp:effectExtent l="0" t="0" r="0" b="0"/>
            <wp:docPr id="155346029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B98">
        <w:rPr>
          <w:b/>
          <w:lang w:val="en-US"/>
        </w:rPr>
        <w:t> </w:t>
      </w:r>
    </w:p>
    <w:p w14:paraId="3EBE4DE7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>Figure S2. Genome-wide selection scan indicating strong recent positive selection sweep onto the 2R (Cyp6aa/p, Cyp6ad1, and Coeae6o), 3R (</w:t>
      </w:r>
      <w:proofErr w:type="spellStart"/>
      <w:r w:rsidRPr="00907B98">
        <w:rPr>
          <w:b/>
          <w:bCs/>
          <w:lang w:val="en-US"/>
        </w:rPr>
        <w:t>gste</w:t>
      </w:r>
      <w:proofErr w:type="spellEnd"/>
      <w:r w:rsidRPr="00907B98">
        <w:rPr>
          <w:b/>
          <w:bCs/>
          <w:lang w:val="en-US"/>
        </w:rPr>
        <w:t>), and X (</w:t>
      </w:r>
      <w:r w:rsidRPr="00907B98">
        <w:rPr>
          <w:b/>
          <w:bCs/>
          <w:i/>
          <w:iCs/>
          <w:lang w:val="en-US"/>
        </w:rPr>
        <w:t>Cyp9k1</w:t>
      </w:r>
      <w:r w:rsidRPr="00907B98">
        <w:rPr>
          <w:b/>
          <w:bCs/>
          <w:lang w:val="en-US"/>
        </w:rPr>
        <w:t>) chromosome arms using the H12 statistics. </w:t>
      </w:r>
    </w:p>
    <w:p w14:paraId="25BF5CFA" w14:textId="77777777" w:rsidR="00907B98" w:rsidRPr="00907B98" w:rsidRDefault="00907B98" w:rsidP="00907B98">
      <w:pPr>
        <w:rPr>
          <w:b/>
          <w:bCs/>
          <w:lang w:val="en-US"/>
        </w:rPr>
      </w:pPr>
    </w:p>
    <w:p w14:paraId="395EB64B" w14:textId="77777777" w:rsidR="00907B98" w:rsidRPr="00907B98" w:rsidRDefault="00907B98" w:rsidP="00907B98">
      <w:pPr>
        <w:rPr>
          <w:b/>
          <w:bCs/>
          <w:lang w:val="en-US"/>
        </w:rPr>
      </w:pPr>
    </w:p>
    <w:p w14:paraId="01841C10" w14:textId="77777777" w:rsidR="00907B98" w:rsidRPr="00907B98" w:rsidRDefault="00907B98" w:rsidP="00907B98">
      <w:pPr>
        <w:rPr>
          <w:b/>
          <w:bCs/>
          <w:lang w:val="en-US"/>
        </w:rPr>
      </w:pPr>
    </w:p>
    <w:p w14:paraId="443549DC" w14:textId="77777777" w:rsidR="00907B98" w:rsidRPr="00907B98" w:rsidRDefault="00907B98" w:rsidP="00907B98">
      <w:pPr>
        <w:rPr>
          <w:b/>
          <w:bCs/>
          <w:lang w:val="en-US"/>
        </w:rPr>
      </w:pPr>
    </w:p>
    <w:p w14:paraId="4B5F51AB" w14:textId="77777777" w:rsidR="00907B98" w:rsidRPr="00907B98" w:rsidRDefault="00907B98" w:rsidP="00907B98">
      <w:pPr>
        <w:rPr>
          <w:b/>
          <w:bCs/>
          <w:lang w:val="en-US"/>
        </w:rPr>
      </w:pPr>
    </w:p>
    <w:p w14:paraId="22CCDCC6" w14:textId="77777777" w:rsidR="00907B98" w:rsidRPr="00907B98" w:rsidRDefault="00907B98" w:rsidP="00907B98">
      <w:pPr>
        <w:rPr>
          <w:b/>
          <w:bCs/>
          <w:lang w:val="en-US"/>
        </w:rPr>
      </w:pPr>
    </w:p>
    <w:p w14:paraId="283E4EA1" w14:textId="77777777" w:rsidR="00907B98" w:rsidRPr="00907B98" w:rsidRDefault="00907B98" w:rsidP="00907B98">
      <w:pPr>
        <w:rPr>
          <w:b/>
          <w:bCs/>
          <w:lang w:val="en-US"/>
        </w:rPr>
      </w:pPr>
    </w:p>
    <w:p w14:paraId="795B40E4" w14:textId="77777777" w:rsidR="00907B98" w:rsidRPr="00907B98" w:rsidRDefault="00907B98" w:rsidP="00907B98">
      <w:pPr>
        <w:rPr>
          <w:b/>
          <w:bCs/>
          <w:lang w:val="en-US"/>
        </w:rPr>
      </w:pPr>
    </w:p>
    <w:p w14:paraId="3CD552D4" w14:textId="77777777" w:rsidR="00907B98" w:rsidRPr="00907B98" w:rsidRDefault="00907B98" w:rsidP="00907B98">
      <w:pPr>
        <w:rPr>
          <w:b/>
          <w:bCs/>
          <w:lang w:val="en-US"/>
        </w:rPr>
      </w:pPr>
    </w:p>
    <w:p w14:paraId="5ED76D59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>Supplementary Tables</w:t>
      </w:r>
    </w:p>
    <w:p w14:paraId="098AE379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t xml:space="preserve">Table S1. Putative genes showing increased H12 values (peaks) in both </w:t>
      </w:r>
      <w:proofErr w:type="spellStart"/>
      <w:r w:rsidRPr="00907B98">
        <w:rPr>
          <w:b/>
          <w:bCs/>
          <w:lang w:val="en-US"/>
        </w:rPr>
        <w:t>Gambella</w:t>
      </w:r>
      <w:proofErr w:type="spellEnd"/>
      <w:r w:rsidRPr="00907B98">
        <w:rPr>
          <w:b/>
          <w:bCs/>
          <w:lang w:val="en-US"/>
        </w:rPr>
        <w:t xml:space="preserve"> and Benishangul-</w:t>
      </w:r>
      <w:proofErr w:type="spellStart"/>
      <w:r w:rsidRPr="00907B98">
        <w:rPr>
          <w:b/>
          <w:bCs/>
          <w:lang w:val="en-US"/>
        </w:rPr>
        <w:t>Gumuz</w:t>
      </w:r>
      <w:proofErr w:type="spellEnd"/>
      <w:r w:rsidRPr="00907B98">
        <w:rPr>
          <w:b/>
          <w:bCs/>
          <w:lang w:val="en-US"/>
        </w:rPr>
        <w:t xml:space="preserve"> </w:t>
      </w:r>
      <w:r w:rsidRPr="00907B98">
        <w:rPr>
          <w:b/>
          <w:bCs/>
          <w:i/>
          <w:iCs/>
          <w:lang w:val="en-US"/>
        </w:rPr>
        <w:t xml:space="preserve">Anopheles gambiae </w:t>
      </w:r>
      <w:r w:rsidRPr="00907B98">
        <w:rPr>
          <w:b/>
          <w:bCs/>
          <w:lang w:val="en-US"/>
        </w:rPr>
        <w:t>cohorts.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77"/>
        <w:gridCol w:w="919"/>
        <w:gridCol w:w="1370"/>
        <w:gridCol w:w="1370"/>
        <w:gridCol w:w="2268"/>
        <w:gridCol w:w="1502"/>
      </w:tblGrid>
      <w:tr w:rsidR="00907B98" w:rsidRPr="00907B98" w14:paraId="0631AA3B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5614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lastRenderedPageBreak/>
              <w:t>Gene ID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B12C0A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Contig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380A1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Start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9A8A37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End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51EC5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Name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A4DA6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Description</w:t>
            </w:r>
          </w:p>
        </w:tc>
      </w:tr>
      <w:tr w:rsidR="00907B98" w:rsidRPr="00907B98" w14:paraId="0BF3E507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5C5381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C4CF1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05B32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33,767,545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75600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33,773,835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AF766" w14:textId="77777777" w:rsidR="00907B98" w:rsidRPr="00907B98" w:rsidRDefault="00907B98" w:rsidP="00907B98">
            <w:pPr>
              <w:rPr>
                <w:b/>
                <w:bCs/>
                <w:lang w:val="en-US"/>
              </w:rPr>
            </w:pPr>
            <w:proofErr w:type="spellStart"/>
            <w:r w:rsidRPr="00907B98">
              <w:rPr>
                <w:b/>
                <w:lang w:val="en-US"/>
              </w:rPr>
              <w:t>Gryzun</w:t>
            </w:r>
            <w:proofErr w:type="spellEnd"/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1BCC8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0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2C6AF61D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A60301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CE1672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3FDCE3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33,776,282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09949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33,777,612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5E0BC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charged multivesicular body protein 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B7D8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1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02A6465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0831D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62BB70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BD919A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33,939,186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879997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33,946,087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1BE4C2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UDP-glucose 6-dehydrogenase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3DB71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2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24D88F5A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E5F5C3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21879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1DA9B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33,963,337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C67DD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33,969,843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D9775B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Oseg1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C4B17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outer segment 1</w:t>
            </w:r>
          </w:p>
        </w:tc>
      </w:tr>
      <w:tr w:rsidR="00907B98" w:rsidRPr="00907B98" w14:paraId="4EAD4975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02BDD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9F91A7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A3A1BC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33,948,755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80A2FB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33,950,031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9506C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surfeit locus 1 family protein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8F25E3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3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0FDA10CE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E7FF18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3223A5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E484F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34,158,499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78D098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34,168,017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E7458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acetyl-CoA synthetase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29AD2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4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026C3ECB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37040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B610AE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ABD5A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34,168,871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2EECE0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34,170,407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423CA5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myo-inositol-1(or 4)-</w:t>
            </w:r>
            <w:proofErr w:type="spellStart"/>
            <w:r w:rsidRPr="00907B98">
              <w:rPr>
                <w:b/>
                <w:lang w:val="en-US"/>
              </w:rPr>
              <w:t>monophosphatase</w:t>
            </w:r>
            <w:proofErr w:type="spellEnd"/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1D55AA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5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150E28FC" w14:textId="77777777">
        <w:trPr>
          <w:trHeight w:val="7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191AB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E0F22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77D2B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34,170,872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59B129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34,203,002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EE6A3A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nuclear receptor subfamily 1 group D member 3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E2855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6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  <w:tr w:rsidR="00907B98" w:rsidRPr="00907B98" w14:paraId="6EF9E4D5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718CC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AGAP006590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F2E5D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2L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F280F8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34,288,135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4AAC77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34,391,778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C75389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T-lymphoma invasion and metastasis-inducing protein 1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C5D7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protein-coding</w:t>
            </w:r>
            <w:hyperlink r:id="rId17" w:history="1">
              <w:r w:rsidRPr="00907B98">
                <w:rPr>
                  <w:rStyle w:val="Hyperlink"/>
                  <w:b/>
                  <w:lang w:val="en-US"/>
                </w:rPr>
                <w:t xml:space="preserve"> gene</w:t>
              </w:r>
            </w:hyperlink>
          </w:p>
        </w:tc>
      </w:tr>
    </w:tbl>
    <w:p w14:paraId="03CCBA57" w14:textId="77777777" w:rsidR="00907B98" w:rsidRPr="00907B98" w:rsidRDefault="00907B98" w:rsidP="00907B98">
      <w:pPr>
        <w:rPr>
          <w:b/>
          <w:bCs/>
          <w:lang w:val="en-US"/>
        </w:rPr>
      </w:pPr>
    </w:p>
    <w:p w14:paraId="601551ED" w14:textId="77777777" w:rsidR="00907B98" w:rsidRPr="00907B98" w:rsidRDefault="00907B98" w:rsidP="00907B98">
      <w:pPr>
        <w:rPr>
          <w:b/>
          <w:lang w:val="en-US"/>
        </w:rPr>
      </w:pPr>
      <w:r w:rsidRPr="00907B98">
        <w:rPr>
          <w:b/>
          <w:bCs/>
          <w:lang w:val="en-US"/>
        </w:rPr>
        <w:lastRenderedPageBreak/>
        <w:t xml:space="preserve">Table S2.  sample sets and accession numbers for </w:t>
      </w:r>
      <w:r w:rsidRPr="00907B98">
        <w:rPr>
          <w:b/>
          <w:bCs/>
          <w:i/>
          <w:iCs/>
          <w:lang w:val="en-US"/>
        </w:rPr>
        <w:t>Anopheles gambiae</w:t>
      </w:r>
      <w:r w:rsidRPr="00907B98">
        <w:rPr>
          <w:b/>
          <w:bCs/>
          <w:lang w:val="en-US"/>
        </w:rPr>
        <w:t xml:space="preserve"> sequence data. </w:t>
      </w:r>
    </w:p>
    <w:tbl>
      <w:tblPr>
        <w:tblW w:w="9026" w:type="dxa"/>
        <w:tblLook w:val="04A0" w:firstRow="1" w:lastRow="0" w:firstColumn="1" w:lastColumn="0" w:noHBand="0" w:noVBand="1"/>
      </w:tblPr>
      <w:tblGrid>
        <w:gridCol w:w="4867"/>
        <w:gridCol w:w="4159"/>
      </w:tblGrid>
      <w:tr w:rsidR="00907B98" w:rsidRPr="00907B98" w14:paraId="040316B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F4E563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Sample sets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10DD35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bCs/>
                <w:lang w:val="en-US"/>
              </w:rPr>
              <w:t>Accession numbers</w:t>
            </w:r>
          </w:p>
        </w:tc>
      </w:tr>
      <w:tr w:rsidR="00907B98" w:rsidRPr="00907B98" w14:paraId="7526572A" w14:textId="77777777">
        <w:tc>
          <w:tcPr>
            <w:tcW w:w="0" w:type="auto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8B49DE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1324-VO-ET-GOLASSA-VMF00257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D85E4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ERR12314211-ERR12314243</w:t>
            </w:r>
          </w:p>
        </w:tc>
      </w:tr>
      <w:tr w:rsidR="00907B98" w:rsidRPr="00907B98" w14:paraId="74C783B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AD035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1324-VO-ET-GOLASSA-VMF00257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25518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ERR12326237-ERR12326277</w:t>
            </w:r>
          </w:p>
        </w:tc>
      </w:tr>
      <w:tr w:rsidR="00907B98" w:rsidRPr="00907B98" w14:paraId="0F73BB6D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5B39E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1324-VO-ET-GOLASSA-VMF00275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872AA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ERR12983154-ERR12983193</w:t>
            </w:r>
          </w:p>
        </w:tc>
      </w:tr>
      <w:tr w:rsidR="00907B98" w:rsidRPr="00907B98" w14:paraId="210561B6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A0C01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1324-VO-ET-GOLASSA-VMF00275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B602C" w14:textId="77777777" w:rsidR="00907B98" w:rsidRPr="00907B98" w:rsidRDefault="00907B98" w:rsidP="00907B98">
            <w:pPr>
              <w:rPr>
                <w:b/>
                <w:lang w:val="en-US"/>
              </w:rPr>
            </w:pPr>
            <w:r w:rsidRPr="00907B98">
              <w:rPr>
                <w:b/>
                <w:lang w:val="en-US"/>
              </w:rPr>
              <w:t>ERR13101381-ERR13101432</w:t>
            </w:r>
          </w:p>
        </w:tc>
      </w:tr>
    </w:tbl>
    <w:p w14:paraId="668241E8" w14:textId="77777777" w:rsidR="00907B98" w:rsidRPr="00907B98" w:rsidRDefault="00907B98" w:rsidP="00907B98">
      <w:pPr>
        <w:rPr>
          <w:b/>
          <w:lang w:val="en-US"/>
        </w:rPr>
      </w:pPr>
    </w:p>
    <w:p w14:paraId="19BD63D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B98"/>
    <w:rsid w:val="003A75E3"/>
    <w:rsid w:val="00767E38"/>
    <w:rsid w:val="00866F7D"/>
    <w:rsid w:val="00907B9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F8F09"/>
  <w15:chartTrackingRefBased/>
  <w15:docId w15:val="{4D673327-44C6-487C-A34E-C5853B90E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B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B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B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B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B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B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B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B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B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B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B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B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B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B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B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B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B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B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B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B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B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B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B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B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B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B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07B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B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sequenceontology.org/browser/obob.cgi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://www.sequenceontology.org/browser/obob.cgi" TargetMode="External"/><Relationship Id="rId17" Type="http://schemas.openxmlformats.org/officeDocument/2006/relationships/hyperlink" Target="http://www.sequenceontology.org/browser/obob.cgi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sequenceontology.org/browser/obob.cgi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sequenceontology.org/browser/obob.cgi" TargetMode="External"/><Relationship Id="rId5" Type="http://schemas.openxmlformats.org/officeDocument/2006/relationships/image" Target="media/image2.png"/><Relationship Id="rId15" Type="http://schemas.openxmlformats.org/officeDocument/2006/relationships/hyperlink" Target="http://www.sequenceontology.org/browser/obob.cgi" TargetMode="External"/><Relationship Id="rId10" Type="http://schemas.openxmlformats.org/officeDocument/2006/relationships/hyperlink" Target="http://www.sequenceontology.org/browser/obob.cgi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yperlink" Target="http://www.sequenceontology.org/browser/obob.cg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2026-03-06T14:56:00Z</dcterms:created>
  <dcterms:modified xsi:type="dcterms:W3CDTF">2026-03-06T14:56:00Z</dcterms:modified>
</cp:coreProperties>
</file>