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pageBreakBefore w:val="1"/>
        <w:spacing w:after="120" w:line="360" w:lineRule="auto"/>
        <w:ind w:hanging="2"/>
        <w:jc w:val="center"/>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Supporting information for:</w:t>
      </w:r>
    </w:p>
    <w:p w:rsidR="00000000" w:rsidDel="00000000" w:rsidP="00000000" w:rsidRDefault="00000000" w:rsidRPr="00000000" w14:paraId="00000002">
      <w:pPr>
        <w:keepNext w:val="1"/>
        <w:keepLines w:val="1"/>
        <w:spacing w:after="120" w:line="276" w:lineRule="auto"/>
        <w:jc w:val="center"/>
        <w:rPr>
          <w:rFonts w:ascii="Times New Roman" w:cs="Times New Roman" w:eastAsia="Times New Roman" w:hAnsi="Times New Roman"/>
          <w:b w:val="1"/>
          <w:bCs w:val="1"/>
          <w:sz w:val="33"/>
          <w:szCs w:val="33"/>
        </w:rPr>
      </w:pPr>
      <w:bookmarkStart w:colFirst="0" w:colLast="0" w:name="_heading=h.41ndtqj3d0pt" w:id="0"/>
      <w:bookmarkEnd w:id="0"/>
      <w:r w:rsidDel="00000000" w:rsidR="00000000" w:rsidRPr="00000000">
        <w:rPr>
          <w:rFonts w:ascii="Times New Roman" w:cs="Times New Roman" w:eastAsia="Times New Roman" w:hAnsi="Times New Roman"/>
          <w:b w:val="1"/>
          <w:bCs w:val="1"/>
          <w:sz w:val="33"/>
          <w:szCs w:val="33"/>
          <w:rtl w:val="0"/>
        </w:rPr>
        <w:t xml:space="preserve">How precise are mutation rate estimates? Comparison of different approaches to estimate de novo mutation rates</w:t>
      </w:r>
    </w:p>
    <w:p w:rsidR="00000000" w:rsidDel="00000000" w:rsidP="00000000" w:rsidRDefault="00000000" w:rsidRPr="00000000" w14:paraId="00000003">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Contents:</w:t>
      </w:r>
    </w:p>
    <w:tbl>
      <w:tblPr>
        <w:tblStyle w:val="Table1"/>
        <w:tblW w:w="961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9"/>
        <w:gridCol w:w="4810"/>
        <w:tblGridChange w:id="0">
          <w:tblGrid>
            <w:gridCol w:w="4809"/>
            <w:gridCol w:w="481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05">
            <w:pPr>
              <w:widowControl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S1</w:t>
            </w:r>
          </w:p>
        </w:tc>
        <w:tc>
          <w:tcPr>
            <w:tcMar>
              <w:top w:w="100.0" w:type="dxa"/>
              <w:left w:w="100.0" w:type="dxa"/>
              <w:bottom w:w="100.0" w:type="dxa"/>
              <w:right w:w="100.0" w:type="dxa"/>
            </w:tcMar>
          </w:tcPr>
          <w:p w:rsidR="00000000" w:rsidDel="00000000" w:rsidP="00000000" w:rsidRDefault="00000000" w:rsidRPr="00000000" w14:paraId="00000006">
            <w:pPr>
              <w:widowControl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Page 2</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07">
            <w:pPr>
              <w:widowControl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S2</w:t>
            </w:r>
          </w:p>
        </w:tc>
        <w:tc>
          <w:tcPr>
            <w:tcMar>
              <w:top w:w="100.0" w:type="dxa"/>
              <w:left w:w="100.0" w:type="dxa"/>
              <w:bottom w:w="100.0" w:type="dxa"/>
              <w:right w:w="100.0" w:type="dxa"/>
            </w:tcMar>
          </w:tcPr>
          <w:p w:rsidR="00000000" w:rsidDel="00000000" w:rsidP="00000000" w:rsidRDefault="00000000" w:rsidRPr="00000000" w14:paraId="00000008">
            <w:pPr>
              <w:widowControl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Page 3</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09">
            <w:pPr>
              <w:widowControl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S3</w:t>
            </w:r>
          </w:p>
        </w:tc>
        <w:tc>
          <w:tcPr>
            <w:tcMar>
              <w:top w:w="100.0" w:type="dxa"/>
              <w:left w:w="100.0" w:type="dxa"/>
              <w:bottom w:w="100.0" w:type="dxa"/>
              <w:right w:w="100.0" w:type="dxa"/>
            </w:tcMar>
          </w:tcPr>
          <w:p w:rsidR="00000000" w:rsidDel="00000000" w:rsidP="00000000" w:rsidRDefault="00000000" w:rsidRPr="00000000" w14:paraId="0000000A">
            <w:pPr>
              <w:widowControl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Page 4</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0B">
            <w:pPr>
              <w:widowControl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S4</w:t>
            </w:r>
          </w:p>
        </w:tc>
        <w:tc>
          <w:tcPr>
            <w:tcMar>
              <w:top w:w="100.0" w:type="dxa"/>
              <w:left w:w="100.0" w:type="dxa"/>
              <w:bottom w:w="100.0" w:type="dxa"/>
              <w:right w:w="100.0" w:type="dxa"/>
            </w:tcMar>
          </w:tcPr>
          <w:p w:rsidR="00000000" w:rsidDel="00000000" w:rsidP="00000000" w:rsidRDefault="00000000" w:rsidRPr="00000000" w14:paraId="0000000C">
            <w:pPr>
              <w:widowControl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Page 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0D">
            <w:pPr>
              <w:widowControl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Supplemental Material</w:t>
            </w:r>
          </w:p>
        </w:tc>
        <w:tc>
          <w:tcPr>
            <w:tcMar>
              <w:top w:w="100.0" w:type="dxa"/>
              <w:left w:w="100.0" w:type="dxa"/>
              <w:bottom w:w="100.0" w:type="dxa"/>
              <w:right w:w="100.0" w:type="dxa"/>
            </w:tcMar>
          </w:tcPr>
          <w:p w:rsidR="00000000" w:rsidDel="00000000" w:rsidP="00000000" w:rsidRDefault="00000000" w:rsidRPr="00000000" w14:paraId="0000000E">
            <w:pPr>
              <w:widowControl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Page 6</w:t>
            </w:r>
          </w:p>
        </w:tc>
      </w:tr>
    </w:tbl>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522612" cy="8066736"/>
            <wp:effectExtent b="0" l="0" r="0" t="0"/>
            <wp:docPr id="209525967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522612" cy="8066736"/>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line="36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S1. </w:t>
      </w:r>
      <w:r w:rsidDel="00000000" w:rsidR="00000000" w:rsidRPr="00000000">
        <w:rPr>
          <w:rFonts w:ascii="Times New Roman" w:cs="Times New Roman" w:eastAsia="Times New Roman" w:hAnsi="Times New Roman"/>
          <w:i w:val="1"/>
          <w:iCs w:val="1"/>
          <w:sz w:val="24"/>
          <w:szCs w:val="24"/>
          <w:rtl w:val="0"/>
        </w:rPr>
        <w:t xml:space="preserve">De novo</w:t>
      </w:r>
      <w:r w:rsidDel="00000000" w:rsidR="00000000" w:rsidRPr="00000000">
        <w:rPr>
          <w:rFonts w:ascii="Times New Roman" w:cs="Times New Roman" w:eastAsia="Times New Roman" w:hAnsi="Times New Roman"/>
          <w:sz w:val="24"/>
          <w:szCs w:val="24"/>
          <w:rtl w:val="0"/>
        </w:rPr>
        <w:t xml:space="preserve"> DNM calling and validation workflow.</w:t>
      </w:r>
    </w:p>
    <w:p w:rsidR="00000000" w:rsidDel="00000000" w:rsidP="00000000" w:rsidRDefault="00000000" w:rsidRPr="00000000" w14:paraId="00000013">
      <w:pPr>
        <w:spacing w:line="360" w:lineRule="auto"/>
        <w:ind w:firstLine="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120455" cy="4610100"/>
            <wp:effectExtent b="0" l="0" r="0" t="0"/>
            <wp:docPr id="2095259675"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6120455"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S2. Distribution of Genotype Quality (GQ) of different approaches. The red line represents the filtering threshold (details are provided in the methods).</w:t>
      </w:r>
    </w:p>
    <w:p w:rsidR="00000000" w:rsidDel="00000000" w:rsidP="00000000" w:rsidRDefault="00000000" w:rsidRPr="00000000" w14:paraId="00000017">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120455" cy="5156200"/>
            <wp:effectExtent b="0" l="0" r="0" t="0"/>
            <wp:docPr id="209525967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6120455" cy="51562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S3. Callable genome (CG) and fFNR obtained using different approaches at 30x (left) or under different mapping depths (right). Boxes represent interquartile ranges (IQR), horizontal lines denote medians, whiskers extend to 1.5×IQR, and dots indicate outliers. Letters above each box indicate results of Tukey HSD post-hoc tests (α = 0.05), where identical letters denote no significant difference between groups (p &gt; 0.05), and distinct letters indicate significant differences (p &lt; 0.05).</w:t>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072130" cy="4400985"/>
            <wp:effectExtent b="0" l="0" r="0" t="0"/>
            <wp:docPr descr="图表, 箱线图&#10;&#10;AI 生成的内容可能不正确。" id="2095259677" name="image1.png"/>
            <a:graphic>
              <a:graphicData uri="http://schemas.openxmlformats.org/drawingml/2006/picture">
                <pic:pic>
                  <pic:nvPicPr>
                    <pic:cNvPr descr="图表, 箱线图&#10;&#10;AI 生成的内容可能不正确。" id="0" name="image1.png"/>
                    <pic:cNvPicPr preferRelativeResize="0"/>
                  </pic:nvPicPr>
                  <pic:blipFill>
                    <a:blip r:embed="rId10"/>
                    <a:srcRect b="0" l="0" r="0" t="0"/>
                    <a:stretch>
                      <a:fillRect/>
                    </a:stretch>
                  </pic:blipFill>
                  <pic:spPr>
                    <a:xfrm>
                      <a:off x="0" y="0"/>
                      <a:ext cx="6072130" cy="440098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360" w:lineRule="auto"/>
        <w:rPr/>
      </w:pPr>
      <w:r w:rsidDel="00000000" w:rsidR="00000000" w:rsidRPr="00000000">
        <w:rPr>
          <w:rFonts w:ascii="Times New Roman" w:cs="Times New Roman" w:eastAsia="Times New Roman" w:hAnsi="Times New Roman"/>
          <w:sz w:val="24"/>
          <w:szCs w:val="24"/>
          <w:rtl w:val="0"/>
        </w:rPr>
        <w:t xml:space="preserve">Figure S4. The pedigree-based DNM rate per generation for different fish species. The 95% CIs are shown except for those that are not available. For more details and references, see Table S7.</w:t>
      </w:r>
      <w:r w:rsidDel="00000000" w:rsidR="00000000" w:rsidRPr="00000000">
        <w:br w:type="page"/>
      </w:r>
      <w:r w:rsidDel="00000000" w:rsidR="00000000" w:rsidRPr="00000000">
        <w:rPr>
          <w:rtl w:val="0"/>
        </w:rPr>
      </w:r>
    </w:p>
    <w:p w:rsidR="00000000" w:rsidDel="00000000" w:rsidP="00000000" w:rsidRDefault="00000000" w:rsidRPr="00000000" w14:paraId="0000001C">
      <w:pPr>
        <w:pStyle w:val="Heading4"/>
        <w:spacing w:line="360" w:lineRule="auto"/>
        <w:rPr>
          <w:rFonts w:ascii="Times New Roman" w:cs="Times New Roman" w:eastAsia="Times New Roman" w:hAnsi="Times New Roman"/>
          <w:b w:val="1"/>
          <w:bCs w:val="1"/>
          <w:color w:val="000000"/>
        </w:rPr>
      </w:pPr>
      <w:bookmarkStart w:colFirst="0" w:colLast="0" w:name="_heading=h.r1y5phf1898n" w:id="1"/>
      <w:bookmarkEnd w:id="1"/>
      <w:r w:rsidDel="00000000" w:rsidR="00000000" w:rsidRPr="00000000">
        <w:rPr>
          <w:rFonts w:ascii="Times New Roman" w:cs="Times New Roman" w:eastAsia="Times New Roman" w:hAnsi="Times New Roman"/>
          <w:b w:val="1"/>
          <w:bCs w:val="1"/>
          <w:color w:val="000000"/>
          <w:rtl w:val="0"/>
        </w:rPr>
        <w:t xml:space="preserve">Supplemental Material</w:t>
      </w:r>
    </w:p>
    <w:p w:rsidR="00000000" w:rsidDel="00000000" w:rsidP="00000000" w:rsidRDefault="00000000" w:rsidRPr="00000000" w14:paraId="0000001D">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IGV checking</w:t>
      </w:r>
    </w:p>
    <w:p w:rsidR="00000000" w:rsidDel="00000000" w:rsidP="00000000" w:rsidRDefault="00000000" w:rsidRPr="00000000" w14:paraId="0000001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true </w:t>
      </w:r>
      <w:r w:rsidDel="00000000" w:rsidR="00000000" w:rsidRPr="00000000">
        <w:rPr>
          <w:rFonts w:ascii="Times New Roman" w:cs="Times New Roman" w:eastAsia="Times New Roman" w:hAnsi="Times New Roman"/>
          <w:i w:val="1"/>
          <w:iCs w:val="1"/>
          <w:sz w:val="24"/>
          <w:szCs w:val="24"/>
          <w:rtl w:val="0"/>
        </w:rPr>
        <w:t xml:space="preserve">de novo</w:t>
      </w:r>
      <w:r w:rsidDel="00000000" w:rsidR="00000000" w:rsidRPr="00000000">
        <w:rPr>
          <w:rFonts w:ascii="Times New Roman" w:cs="Times New Roman" w:eastAsia="Times New Roman" w:hAnsi="Times New Roman"/>
          <w:sz w:val="24"/>
          <w:szCs w:val="24"/>
          <w:rtl w:val="0"/>
        </w:rPr>
        <w:t xml:space="preserve"> mutation must meet trio segregation (present in offspring and absent in parents) and the allele frequency of the mutation of the offspring must be between 0.3 and 0.7. Two situations were found in IGV (Figure 1): a) Parents were homozygous and the offspring was heterozygous; b) parents were homozygous and the offspring was heterozygous, but so many mutations within 100bp and all the mutations were located on the same read. Given that mutation is a rare event, situation 2 could reflect mismapping of similar reads rather than a DNM event. Therefore, only situation 1 was considered as a DNM candidate.</w:t>
      </w:r>
    </w:p>
    <w:p w:rsidR="00000000" w:rsidDel="00000000" w:rsidP="00000000" w:rsidRDefault="00000000" w:rsidRPr="00000000" w14:paraId="0000002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120455" cy="2641600"/>
            <wp:effectExtent b="0" l="0" r="0" t="0"/>
            <wp:docPr id="209525967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6120455"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120455" cy="2870200"/>
            <wp:effectExtent b="0" l="0" r="0" t="0"/>
            <wp:docPr id="2095259676"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120455"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Identify DNM candidates via IGV.</w:t>
      </w:r>
    </w:p>
    <w:p w:rsidR="00000000" w:rsidDel="00000000" w:rsidP="00000000" w:rsidRDefault="00000000" w:rsidRPr="00000000" w14:paraId="00000023">
      <w:pPr>
        <w:spacing w:line="36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4">
      <w:pPr>
        <w:spacing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Sanger sequencing</w:t>
      </w:r>
    </w:p>
    <w:p w:rsidR="00000000" w:rsidDel="00000000" w:rsidP="00000000" w:rsidRDefault="00000000" w:rsidRPr="00000000" w14:paraId="0000002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Sanger sequencing, PCR amplification was performed on the sampled trio. The total PCR volume was 30 μl, comprising 50 ng DNA template, 0.4 μM primers, 15 μl of 2× Taq PCR StarMix with loading dye, and 8 μl of deionized water. The PCR program was as follows: initial denaturation at 95°C for 5 min, followed by 30 cycles of denaturation at 95°C for 30 s, annealing at 57°C for 30 s, and extension at 72°C for 45 s, with a final extension at 72°C for 5 min. </w:t>
      </w:r>
    </w:p>
    <w:p w:rsidR="00000000" w:rsidDel="00000000" w:rsidP="00000000" w:rsidRDefault="00000000" w:rsidRPr="00000000" w14:paraId="00000026">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receiving the pair-end sequencing data, the traces were analyzed using Geneious v2025.0.3 (Kearse et al. 2012). There were three situations (Figure 2): 1) Parents were homozygous and the offspring was heterozygous - true DNM; 2) parents and offspring were homozygous which indicated a false positive signal; 3) one of the parents was heterozygous (richness too low to be detected by IGV) so the heterozygosity of the offspring was inherited - also a false positive signal.</w:t>
      </w:r>
    </w:p>
    <w:p w:rsidR="00000000" w:rsidDel="00000000" w:rsidP="00000000" w:rsidRDefault="00000000" w:rsidRPr="00000000" w14:paraId="0000002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120455" cy="1600200"/>
            <wp:effectExtent b="0" l="0" r="0" t="0"/>
            <wp:docPr id="209525967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6120455"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Validate DNMs via Sanger sequencing.</w:t>
      </w:r>
    </w:p>
    <w:p w:rsidR="00000000" w:rsidDel="00000000" w:rsidP="00000000" w:rsidRDefault="00000000" w:rsidRPr="00000000" w14:paraId="0000002A">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ANOVA for callable genome (CG) and filtering false negative rate (fFNR)</w:t>
      </w:r>
      <w:r w:rsidDel="00000000" w:rsidR="00000000" w:rsidRPr="00000000">
        <w:rPr>
          <w:rtl w:val="0"/>
        </w:rPr>
      </w:r>
    </w:p>
    <w:p w:rsidR="00000000" w:rsidDel="00000000" w:rsidP="00000000" w:rsidRDefault="00000000" w:rsidRPr="00000000" w14:paraId="0000002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dissect the factors underlying this discrepancy, one-way ANOVA was performed on CG and fFNR obtained under different mapping depths or using different approaches at 30x. ANOVA was conducted with mapping depth / different approaches (Table S6) as fixed factors and CG/fFNR as the dependent variable, with statistical significance set at </w:t>
      </w:r>
      <w:r w:rsidDel="00000000" w:rsidR="00000000" w:rsidRPr="00000000">
        <w:rPr>
          <w:rFonts w:ascii="Times New Roman" w:cs="Times New Roman" w:eastAsia="Times New Roman" w:hAnsi="Times New Roman"/>
          <w:i w:val="1"/>
          <w:iCs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&lt; 0.05. Post-hoc multiple comparisons were further carried out using Tukey’s honest significant difference (HSD) test to identify pairwise differences in CG and fFNR values across the tested groups, and Benjamini-Hochberg correction was applied to adjust for multiple testing errors. </w:t>
      </w:r>
    </w:p>
    <w:p w:rsidR="00000000" w:rsidDel="00000000" w:rsidP="00000000" w:rsidRDefault="00000000" w:rsidRPr="00000000" w14:paraId="0000002D">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Literature search</w:t>
      </w:r>
    </w:p>
    <w:p w:rsidR="00000000" w:rsidDel="00000000" w:rsidP="00000000" w:rsidRDefault="00000000" w:rsidRPr="00000000" w14:paraId="0000002F">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better understand methods for minimizing false positives (FPs), we conducted a literature search of de novo mutation studies using the parent-offspring (PO) method. According to Wang &amp; Obbard (2023), 32 papers estimated the </w:t>
      </w:r>
      <w:r w:rsidDel="00000000" w:rsidR="00000000" w:rsidRPr="00000000">
        <w:rPr>
          <w:rFonts w:ascii="Times New Roman" w:cs="Times New Roman" w:eastAsia="Times New Roman" w:hAnsi="Times New Roman"/>
          <w:i w:val="1"/>
          <w:iCs w:val="1"/>
          <w:sz w:val="24"/>
          <w:szCs w:val="24"/>
          <w:rtl w:val="0"/>
        </w:rPr>
        <w:t xml:space="preserve">de</w:t>
      </w:r>
      <w:r w:rsidDel="00000000" w:rsidR="00000000" w:rsidRPr="00000000">
        <w:rPr>
          <w:rFonts w:ascii="Times New Roman" w:cs="Times New Roman" w:eastAsia="Times New Roman" w:hAnsi="Times New Roman"/>
          <w:sz w:val="24"/>
          <w:szCs w:val="24"/>
          <w:rtl w:val="0"/>
        </w:rPr>
        <w:t xml:space="preserve"> novo mutation rate in non-human species using the PO method. In addition, using Google Scholar, we searched for publications containing the terms "</w:t>
      </w:r>
      <w:r w:rsidDel="00000000" w:rsidR="00000000" w:rsidRPr="00000000">
        <w:rPr>
          <w:rFonts w:ascii="Times New Roman" w:cs="Times New Roman" w:eastAsia="Times New Roman" w:hAnsi="Times New Roman"/>
          <w:i w:val="1"/>
          <w:iCs w:val="1"/>
          <w:sz w:val="24"/>
          <w:szCs w:val="24"/>
          <w:rtl w:val="0"/>
        </w:rPr>
        <w:t xml:space="preserve">de novo</w:t>
      </w:r>
      <w:r w:rsidDel="00000000" w:rsidR="00000000" w:rsidRPr="00000000">
        <w:rPr>
          <w:rFonts w:ascii="Times New Roman" w:cs="Times New Roman" w:eastAsia="Times New Roman" w:hAnsi="Times New Roman"/>
          <w:sz w:val="24"/>
          <w:szCs w:val="24"/>
          <w:rtl w:val="0"/>
        </w:rPr>
        <w:t xml:space="preserve">/germline, mutation rate" and limited the search to years after 2023 (including preprint studies). In total, 38 studies were retained for discussion (Table S1, References), of which eight were related to fish species (Table S1 &amp; S6). </w:t>
      </w:r>
      <w:r w:rsidDel="00000000" w:rsidR="00000000" w:rsidRPr="00000000">
        <w:rPr>
          <w:rtl w:val="0"/>
        </w:rPr>
      </w:r>
    </w:p>
    <w:p w:rsidR="00000000" w:rsidDel="00000000" w:rsidP="00000000" w:rsidRDefault="00000000" w:rsidRPr="00000000" w14:paraId="00000030">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line="360" w:lineRule="auto"/>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DNM detection in the other family</w:t>
      </w:r>
    </w:p>
    <w:p w:rsidR="00000000" w:rsidDel="00000000" w:rsidP="00000000" w:rsidRDefault="00000000" w:rsidRPr="00000000" w14:paraId="00000032">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DNM calling for the other family (including 13 trios, 30x) was performed using the SRS_DeepVariant method, following the standard pipeline described in the main text, with the same filtration criteria. The remaining candidate DNMs were manually inspected in IGV, with only high-confidence DNMs retained for Sanger sequencing. After Sanger sequencing, 44 (out of 55) DNMs were detected, with 21 transitions and 23 transversions (Ts/Tv = 0.913).</w:t>
      </w:r>
    </w:p>
    <w:p w:rsidR="00000000" w:rsidDel="00000000" w:rsidP="00000000" w:rsidRDefault="00000000" w:rsidRPr="00000000" w14:paraId="00000033">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References</w:t>
      </w:r>
      <w:r w:rsidDel="00000000" w:rsidR="00000000" w:rsidRPr="00000000">
        <w:rPr>
          <w:rtl w:val="0"/>
        </w:rPr>
      </w:r>
    </w:p>
    <w:p w:rsidR="00000000" w:rsidDel="00000000" w:rsidP="00000000" w:rsidRDefault="00000000" w:rsidRPr="00000000" w14:paraId="00000035">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Armstrong EE, Carey SB, Harkess A, Zenato Lazzari G, Solari KA, Maldonado JE, </w:t>
      </w:r>
      <w:r w:rsidDel="00000000" w:rsidR="00000000" w:rsidRPr="00000000">
        <w:rPr>
          <w:rFonts w:ascii="Times New Roman" w:cs="Times New Roman" w:eastAsia="Times New Roman" w:hAnsi="Times New Roman"/>
          <w:i w:val="1"/>
          <w:iCs w:val="1"/>
          <w:rtl w:val="0"/>
        </w:rPr>
        <w:t xml:space="preserve">et al.</w:t>
      </w:r>
      <w:r w:rsidDel="00000000" w:rsidR="00000000" w:rsidRPr="00000000">
        <w:rPr>
          <w:rFonts w:ascii="Times New Roman" w:cs="Times New Roman" w:eastAsia="Times New Roman" w:hAnsi="Times New Roman"/>
          <w:rtl w:val="0"/>
        </w:rPr>
        <w:t xml:space="preserve"> (2025). Parameterizing Pantherinae: De Novo Mutation Rate Estimates from Panthera and Neofelis Pedigrees. </w:t>
      </w:r>
      <w:r w:rsidDel="00000000" w:rsidR="00000000" w:rsidRPr="00000000">
        <w:rPr>
          <w:rFonts w:ascii="Times New Roman" w:cs="Times New Roman" w:eastAsia="Times New Roman" w:hAnsi="Times New Roman"/>
          <w:i w:val="1"/>
          <w:iCs w:val="1"/>
          <w:rtl w:val="0"/>
        </w:rPr>
        <w:t xml:space="preserve">Genome Biology and Evolution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17</w:t>
      </w:r>
      <w:r w:rsidDel="00000000" w:rsidR="00000000" w:rsidRPr="00000000">
        <w:rPr>
          <w:rFonts w:ascii="Times New Roman" w:cs="Times New Roman" w:eastAsia="Times New Roman" w:hAnsi="Times New Roman"/>
          <w:rtl w:val="0"/>
        </w:rPr>
        <w:t xml:space="preserve">: evaf060.</w:t>
      </w:r>
    </w:p>
    <w:p w:rsidR="00000000" w:rsidDel="00000000" w:rsidP="00000000" w:rsidRDefault="00000000" w:rsidRPr="00000000" w14:paraId="00000036">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Baranova MA, Logacheva MD, Penin AA, Seplyarskiy VB, Safonova YY, Naumenko SA, </w:t>
      </w:r>
      <w:r w:rsidDel="00000000" w:rsidR="00000000" w:rsidRPr="00000000">
        <w:rPr>
          <w:rFonts w:ascii="Times New Roman" w:cs="Times New Roman" w:eastAsia="Times New Roman" w:hAnsi="Times New Roman"/>
          <w:i w:val="1"/>
          <w:iCs w:val="1"/>
          <w:rtl w:val="0"/>
        </w:rPr>
        <w:t xml:space="preserve">et al.</w:t>
      </w:r>
      <w:r w:rsidDel="00000000" w:rsidR="00000000" w:rsidRPr="00000000">
        <w:rPr>
          <w:rFonts w:ascii="Times New Roman" w:cs="Times New Roman" w:eastAsia="Times New Roman" w:hAnsi="Times New Roman"/>
          <w:rtl w:val="0"/>
        </w:rPr>
        <w:t xml:space="preserve"> (2015). Extraordinary Genetic Diversity in a Wood Decay Mushroom. </w:t>
      </w:r>
      <w:r w:rsidDel="00000000" w:rsidR="00000000" w:rsidRPr="00000000">
        <w:rPr>
          <w:rFonts w:ascii="Times New Roman" w:cs="Times New Roman" w:eastAsia="Times New Roman" w:hAnsi="Times New Roman"/>
          <w:i w:val="1"/>
          <w:iCs w:val="1"/>
          <w:rtl w:val="0"/>
        </w:rPr>
        <w:t xml:space="preserve">Molecular Biology and Evolution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32</w:t>
      </w:r>
      <w:r w:rsidDel="00000000" w:rsidR="00000000" w:rsidRPr="00000000">
        <w:rPr>
          <w:rFonts w:ascii="Times New Roman" w:cs="Times New Roman" w:eastAsia="Times New Roman" w:hAnsi="Times New Roman"/>
          <w:rtl w:val="0"/>
        </w:rPr>
        <w:t xml:space="preserve">: 2775–2783.</w:t>
      </w:r>
    </w:p>
    <w:p w:rsidR="00000000" w:rsidDel="00000000" w:rsidP="00000000" w:rsidRDefault="00000000" w:rsidRPr="00000000" w14:paraId="00000037">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Bergeron LA, Besenbacher S, Bakker J, Zheng J, Li P, Pacheco G, </w:t>
      </w:r>
      <w:r w:rsidDel="00000000" w:rsidR="00000000" w:rsidRPr="00000000">
        <w:rPr>
          <w:rFonts w:ascii="Times New Roman" w:cs="Times New Roman" w:eastAsia="Times New Roman" w:hAnsi="Times New Roman"/>
          <w:i w:val="1"/>
          <w:iCs w:val="1"/>
          <w:rtl w:val="0"/>
        </w:rPr>
        <w:t xml:space="preserve">et al.</w:t>
      </w:r>
      <w:r w:rsidDel="00000000" w:rsidR="00000000" w:rsidRPr="00000000">
        <w:rPr>
          <w:rFonts w:ascii="Times New Roman" w:cs="Times New Roman" w:eastAsia="Times New Roman" w:hAnsi="Times New Roman"/>
          <w:rtl w:val="0"/>
        </w:rPr>
        <w:t xml:space="preserve"> (2021). The germline mutational process in rhesus macaque and its implications for phylogenetic dating. </w:t>
      </w:r>
      <w:r w:rsidDel="00000000" w:rsidR="00000000" w:rsidRPr="00000000">
        <w:rPr>
          <w:rFonts w:ascii="Times New Roman" w:cs="Times New Roman" w:eastAsia="Times New Roman" w:hAnsi="Times New Roman"/>
          <w:i w:val="1"/>
          <w:iCs w:val="1"/>
          <w:rtl w:val="0"/>
        </w:rPr>
        <w:t xml:space="preserve">GigaScience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10</w:t>
      </w:r>
      <w:r w:rsidDel="00000000" w:rsidR="00000000" w:rsidRPr="00000000">
        <w:rPr>
          <w:rFonts w:ascii="Times New Roman" w:cs="Times New Roman" w:eastAsia="Times New Roman" w:hAnsi="Times New Roman"/>
          <w:rtl w:val="0"/>
        </w:rPr>
        <w:t xml:space="preserve">: giab029.</w:t>
      </w:r>
    </w:p>
    <w:p w:rsidR="00000000" w:rsidDel="00000000" w:rsidP="00000000" w:rsidRDefault="00000000" w:rsidRPr="00000000" w14:paraId="00000038">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Bergeron LA, Besenbacher S, Zheng J, Li P, Bertelsen MF, Quintard B, </w:t>
      </w:r>
      <w:r w:rsidDel="00000000" w:rsidR="00000000" w:rsidRPr="00000000">
        <w:rPr>
          <w:rFonts w:ascii="Times New Roman" w:cs="Times New Roman" w:eastAsia="Times New Roman" w:hAnsi="Times New Roman"/>
          <w:i w:val="1"/>
          <w:iCs w:val="1"/>
          <w:rtl w:val="0"/>
        </w:rPr>
        <w:t xml:space="preserve">et al.</w:t>
      </w:r>
      <w:r w:rsidDel="00000000" w:rsidR="00000000" w:rsidRPr="00000000">
        <w:rPr>
          <w:rFonts w:ascii="Times New Roman" w:cs="Times New Roman" w:eastAsia="Times New Roman" w:hAnsi="Times New Roman"/>
          <w:rtl w:val="0"/>
        </w:rPr>
        <w:t xml:space="preserve"> (2023). Evolution of the germline mutation rate across vertebrates. </w:t>
      </w:r>
      <w:r w:rsidDel="00000000" w:rsidR="00000000" w:rsidRPr="00000000">
        <w:rPr>
          <w:rFonts w:ascii="Times New Roman" w:cs="Times New Roman" w:eastAsia="Times New Roman" w:hAnsi="Times New Roman"/>
          <w:i w:val="1"/>
          <w:iCs w:val="1"/>
          <w:rtl w:val="0"/>
        </w:rPr>
        <w:t xml:space="preserve">Nature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615</w:t>
      </w:r>
      <w:r w:rsidDel="00000000" w:rsidR="00000000" w:rsidRPr="00000000">
        <w:rPr>
          <w:rFonts w:ascii="Times New Roman" w:cs="Times New Roman" w:eastAsia="Times New Roman" w:hAnsi="Times New Roman"/>
          <w:rtl w:val="0"/>
        </w:rPr>
        <w:t xml:space="preserve">: 285–291.</w:t>
      </w:r>
    </w:p>
    <w:p w:rsidR="00000000" w:rsidDel="00000000" w:rsidP="00000000" w:rsidRDefault="00000000" w:rsidRPr="00000000" w14:paraId="00000039">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Besenbacher S, Hvilsom C, Marques-Bonet T, Mailund T, Schierup MH (2019). Direct estimation of mutations in great apes reconciles phylogenetic dating. </w:t>
      </w:r>
      <w:r w:rsidDel="00000000" w:rsidR="00000000" w:rsidRPr="00000000">
        <w:rPr>
          <w:rFonts w:ascii="Times New Roman" w:cs="Times New Roman" w:eastAsia="Times New Roman" w:hAnsi="Times New Roman"/>
          <w:i w:val="1"/>
          <w:iCs w:val="1"/>
          <w:rtl w:val="0"/>
        </w:rPr>
        <w:t xml:space="preserve">Nat Ecol Evol</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3</w:t>
      </w:r>
      <w:r w:rsidDel="00000000" w:rsidR="00000000" w:rsidRPr="00000000">
        <w:rPr>
          <w:rFonts w:ascii="Times New Roman" w:cs="Times New Roman" w:eastAsia="Times New Roman" w:hAnsi="Times New Roman"/>
          <w:rtl w:val="0"/>
        </w:rPr>
        <w:t xml:space="preserve">: 286–292.</w:t>
      </w:r>
    </w:p>
    <w:p w:rsidR="00000000" w:rsidDel="00000000" w:rsidP="00000000" w:rsidRDefault="00000000" w:rsidRPr="00000000" w14:paraId="0000003A">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Burda K, Konczal M (2023). Validation of machine learning approach for direct mutation rate estimation. </w:t>
      </w:r>
      <w:r w:rsidDel="00000000" w:rsidR="00000000" w:rsidRPr="00000000">
        <w:rPr>
          <w:rFonts w:ascii="Times New Roman" w:cs="Times New Roman" w:eastAsia="Times New Roman" w:hAnsi="Times New Roman"/>
          <w:i w:val="1"/>
          <w:iCs w:val="1"/>
          <w:rtl w:val="0"/>
        </w:rPr>
        <w:t xml:space="preserve">Molecular Ecology Resources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23</w:t>
      </w:r>
      <w:r w:rsidDel="00000000" w:rsidR="00000000" w:rsidRPr="00000000">
        <w:rPr>
          <w:rFonts w:ascii="Times New Roman" w:cs="Times New Roman" w:eastAsia="Times New Roman" w:hAnsi="Times New Roman"/>
          <w:rtl w:val="0"/>
        </w:rPr>
        <w:t xml:space="preserve">: 1757–1771.</w:t>
      </w:r>
    </w:p>
    <w:p w:rsidR="00000000" w:rsidDel="00000000" w:rsidP="00000000" w:rsidRDefault="00000000" w:rsidRPr="00000000" w14:paraId="0000003B">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Campbell CR, Tiley GP, Poelstra JW, Hunnicutt KE, Larsen PA, Lee H-J, </w:t>
      </w:r>
      <w:r w:rsidDel="00000000" w:rsidR="00000000" w:rsidRPr="00000000">
        <w:rPr>
          <w:rFonts w:ascii="Times New Roman" w:cs="Times New Roman" w:eastAsia="Times New Roman" w:hAnsi="Times New Roman"/>
          <w:i w:val="1"/>
          <w:iCs w:val="1"/>
          <w:rtl w:val="0"/>
        </w:rPr>
        <w:t xml:space="preserve">et al.</w:t>
      </w:r>
      <w:r w:rsidDel="00000000" w:rsidR="00000000" w:rsidRPr="00000000">
        <w:rPr>
          <w:rFonts w:ascii="Times New Roman" w:cs="Times New Roman" w:eastAsia="Times New Roman" w:hAnsi="Times New Roman"/>
          <w:rtl w:val="0"/>
        </w:rPr>
        <w:t xml:space="preserve"> (2021). Pedigree-based and phylogenetic methods support surprising patterns of mutation rate and spectrum in the gray mouse lemur. </w:t>
      </w:r>
      <w:r w:rsidDel="00000000" w:rsidR="00000000" w:rsidRPr="00000000">
        <w:rPr>
          <w:rFonts w:ascii="Times New Roman" w:cs="Times New Roman" w:eastAsia="Times New Roman" w:hAnsi="Times New Roman"/>
          <w:i w:val="1"/>
          <w:iCs w:val="1"/>
          <w:rtl w:val="0"/>
        </w:rPr>
        <w:t xml:space="preserve">Heredity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127</w:t>
      </w:r>
      <w:r w:rsidDel="00000000" w:rsidR="00000000" w:rsidRPr="00000000">
        <w:rPr>
          <w:rFonts w:ascii="Times New Roman" w:cs="Times New Roman" w:eastAsia="Times New Roman" w:hAnsi="Times New Roman"/>
          <w:rtl w:val="0"/>
        </w:rPr>
        <w:t xml:space="preserve">: 233–244.</w:t>
      </w:r>
    </w:p>
    <w:p w:rsidR="00000000" w:rsidDel="00000000" w:rsidP="00000000" w:rsidRDefault="00000000" w:rsidRPr="00000000" w14:paraId="0000003C">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Feng C, Pettersson M, Lamichhaney S, Rubin C-J, Rafati N, Casini M, </w:t>
      </w:r>
      <w:r w:rsidDel="00000000" w:rsidR="00000000" w:rsidRPr="00000000">
        <w:rPr>
          <w:rFonts w:ascii="Times New Roman" w:cs="Times New Roman" w:eastAsia="Times New Roman" w:hAnsi="Times New Roman"/>
          <w:i w:val="1"/>
          <w:iCs w:val="1"/>
          <w:rtl w:val="0"/>
        </w:rPr>
        <w:t xml:space="preserve">et al.</w:t>
      </w:r>
      <w:r w:rsidDel="00000000" w:rsidR="00000000" w:rsidRPr="00000000">
        <w:rPr>
          <w:rFonts w:ascii="Times New Roman" w:cs="Times New Roman" w:eastAsia="Times New Roman" w:hAnsi="Times New Roman"/>
          <w:rtl w:val="0"/>
        </w:rPr>
        <w:t xml:space="preserve"> (2017). Moderate nucleotide diversity in the Atlantic herring is associated with a low mutation rate (M Przeworski, Ed.). </w:t>
      </w:r>
      <w:r w:rsidDel="00000000" w:rsidR="00000000" w:rsidRPr="00000000">
        <w:rPr>
          <w:rFonts w:ascii="Times New Roman" w:cs="Times New Roman" w:eastAsia="Times New Roman" w:hAnsi="Times New Roman"/>
          <w:i w:val="1"/>
          <w:iCs w:val="1"/>
          <w:rtl w:val="0"/>
        </w:rPr>
        <w:t xml:space="preserve">eLife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6</w:t>
      </w:r>
      <w:r w:rsidDel="00000000" w:rsidR="00000000" w:rsidRPr="00000000">
        <w:rPr>
          <w:rFonts w:ascii="Times New Roman" w:cs="Times New Roman" w:eastAsia="Times New Roman" w:hAnsi="Times New Roman"/>
          <w:rtl w:val="0"/>
        </w:rPr>
        <w:t xml:space="preserve">: e23907.</w:t>
      </w:r>
    </w:p>
    <w:p w:rsidR="00000000" w:rsidDel="00000000" w:rsidP="00000000" w:rsidRDefault="00000000" w:rsidRPr="00000000" w14:paraId="0000003D">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Han M, Ren J, Guo H, Tong X, Hu H, Lu K, </w:t>
      </w:r>
      <w:r w:rsidDel="00000000" w:rsidR="00000000" w:rsidRPr="00000000">
        <w:rPr>
          <w:rFonts w:ascii="Times New Roman" w:cs="Times New Roman" w:eastAsia="Times New Roman" w:hAnsi="Times New Roman"/>
          <w:i w:val="1"/>
          <w:iCs w:val="1"/>
          <w:rtl w:val="0"/>
        </w:rPr>
        <w:t xml:space="preserve">et al.</w:t>
      </w:r>
      <w:r w:rsidDel="00000000" w:rsidR="00000000" w:rsidRPr="00000000">
        <w:rPr>
          <w:rFonts w:ascii="Times New Roman" w:cs="Times New Roman" w:eastAsia="Times New Roman" w:hAnsi="Times New Roman"/>
          <w:rtl w:val="0"/>
        </w:rPr>
        <w:t xml:space="preserve"> (2023). Mutation Rate and Spectrum of the Silkworm in Normal and Temperature Stress Conditions. </w:t>
      </w:r>
      <w:r w:rsidDel="00000000" w:rsidR="00000000" w:rsidRPr="00000000">
        <w:rPr>
          <w:rFonts w:ascii="Times New Roman" w:cs="Times New Roman" w:eastAsia="Times New Roman" w:hAnsi="Times New Roman"/>
          <w:i w:val="1"/>
          <w:iCs w:val="1"/>
          <w:rtl w:val="0"/>
        </w:rPr>
        <w:t xml:space="preserve">Genes (Basel)</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14</w:t>
      </w:r>
      <w:r w:rsidDel="00000000" w:rsidR="00000000" w:rsidRPr="00000000">
        <w:rPr>
          <w:rFonts w:ascii="Times New Roman" w:cs="Times New Roman" w:eastAsia="Times New Roman" w:hAnsi="Times New Roman"/>
          <w:rtl w:val="0"/>
        </w:rPr>
        <w:t xml:space="preserve">: 649.</w:t>
      </w:r>
    </w:p>
    <w:p w:rsidR="00000000" w:rsidDel="00000000" w:rsidP="00000000" w:rsidRDefault="00000000" w:rsidRPr="00000000" w14:paraId="0000003E">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Keightley PD, Ness RW, Halligan DL, Haddrill PR (2014). Estimation of the Spontaneous Mutation Rate per Nucleotide Site in a Drosophila melanogaster Full-Sib Family. </w:t>
      </w:r>
      <w:r w:rsidDel="00000000" w:rsidR="00000000" w:rsidRPr="00000000">
        <w:rPr>
          <w:rFonts w:ascii="Times New Roman" w:cs="Times New Roman" w:eastAsia="Times New Roman" w:hAnsi="Times New Roman"/>
          <w:i w:val="1"/>
          <w:iCs w:val="1"/>
          <w:rtl w:val="0"/>
        </w:rPr>
        <w:t xml:space="preserve">Genetics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196</w:t>
      </w:r>
      <w:r w:rsidDel="00000000" w:rsidR="00000000" w:rsidRPr="00000000">
        <w:rPr>
          <w:rFonts w:ascii="Times New Roman" w:cs="Times New Roman" w:eastAsia="Times New Roman" w:hAnsi="Times New Roman"/>
          <w:rtl w:val="0"/>
        </w:rPr>
        <w:t xml:space="preserve">: 313–320.</w:t>
      </w:r>
    </w:p>
    <w:p w:rsidR="00000000" w:rsidDel="00000000" w:rsidP="00000000" w:rsidRDefault="00000000" w:rsidRPr="00000000" w14:paraId="0000003F">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Keightley PD, Pinharanda A, Ness RW, Simpson F, Dasmahapatra KK, Mallet J, </w:t>
      </w:r>
      <w:r w:rsidDel="00000000" w:rsidR="00000000" w:rsidRPr="00000000">
        <w:rPr>
          <w:rFonts w:ascii="Times New Roman" w:cs="Times New Roman" w:eastAsia="Times New Roman" w:hAnsi="Times New Roman"/>
          <w:i w:val="1"/>
          <w:iCs w:val="1"/>
          <w:rtl w:val="0"/>
        </w:rPr>
        <w:t xml:space="preserve">et al.</w:t>
      </w:r>
      <w:r w:rsidDel="00000000" w:rsidR="00000000" w:rsidRPr="00000000">
        <w:rPr>
          <w:rFonts w:ascii="Times New Roman" w:cs="Times New Roman" w:eastAsia="Times New Roman" w:hAnsi="Times New Roman"/>
          <w:rtl w:val="0"/>
        </w:rPr>
        <w:t xml:space="preserve"> (2015). Estimation of the Spontaneous Mutation Rate in Heliconius melpomene. </w:t>
      </w:r>
      <w:r w:rsidDel="00000000" w:rsidR="00000000" w:rsidRPr="00000000">
        <w:rPr>
          <w:rFonts w:ascii="Times New Roman" w:cs="Times New Roman" w:eastAsia="Times New Roman" w:hAnsi="Times New Roman"/>
          <w:i w:val="1"/>
          <w:iCs w:val="1"/>
          <w:rtl w:val="0"/>
        </w:rPr>
        <w:t xml:space="preserve">Molecular Biology and Evolution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32</w:t>
      </w:r>
      <w:r w:rsidDel="00000000" w:rsidR="00000000" w:rsidRPr="00000000">
        <w:rPr>
          <w:rFonts w:ascii="Times New Roman" w:cs="Times New Roman" w:eastAsia="Times New Roman" w:hAnsi="Times New Roman"/>
          <w:rtl w:val="0"/>
        </w:rPr>
        <w:t xml:space="preserve">: 239–243.</w:t>
      </w:r>
    </w:p>
    <w:p w:rsidR="00000000" w:rsidDel="00000000" w:rsidP="00000000" w:rsidRDefault="00000000" w:rsidRPr="00000000" w14:paraId="00000040">
      <w:pPr>
        <w:spacing w:line="360" w:lineRule="auto"/>
        <w:ind w:left="56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Kearse M, Moir R, Wilson A, Stones-Havas S, Cheung M, Sturrock S, Buxton S, Cooper A, Markowitz S, Duran C, et al. 2012. Geneious Basic: an integrated and extendable desktop software platform for the organization and analysis of sequence data. </w:t>
      </w:r>
      <w:r w:rsidDel="00000000" w:rsidR="00000000" w:rsidRPr="00000000">
        <w:rPr>
          <w:rFonts w:ascii="Times New Roman" w:cs="Times New Roman" w:eastAsia="Times New Roman" w:hAnsi="Times New Roman"/>
          <w:i w:val="1"/>
          <w:iCs w:val="1"/>
          <w:rtl w:val="0"/>
        </w:rPr>
        <w:t xml:space="preserve">Bioinforma</w:t>
      </w:r>
      <w:r w:rsidDel="00000000" w:rsidR="00000000" w:rsidRPr="00000000">
        <w:rPr>
          <w:rFonts w:ascii="Times New Roman" w:cs="Times New Roman" w:eastAsia="Times New Roman" w:hAnsi="Times New Roman"/>
          <w:rtl w:val="0"/>
        </w:rPr>
        <w:t xml:space="preserve">. Oxf. Engl. </w:t>
      </w:r>
      <w:r w:rsidDel="00000000" w:rsidR="00000000" w:rsidRPr="00000000">
        <w:rPr>
          <w:rFonts w:ascii="Times New Roman" w:cs="Times New Roman" w:eastAsia="Times New Roman" w:hAnsi="Times New Roman"/>
          <w:b w:val="1"/>
          <w:bCs w:val="1"/>
          <w:rtl w:val="0"/>
        </w:rPr>
        <w:t xml:space="preserve">28</w:t>
      </w:r>
      <w:r w:rsidDel="00000000" w:rsidR="00000000" w:rsidRPr="00000000">
        <w:rPr>
          <w:rFonts w:ascii="Times New Roman" w:cs="Times New Roman" w:eastAsia="Times New Roman" w:hAnsi="Times New Roman"/>
          <w:rtl w:val="0"/>
        </w:rPr>
        <w:t xml:space="preserve">:1647–1649.</w:t>
      </w:r>
    </w:p>
    <w:p w:rsidR="00000000" w:rsidDel="00000000" w:rsidP="00000000" w:rsidRDefault="00000000" w:rsidRPr="00000000" w14:paraId="00000041">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Koch EM, Schweizer RM, Schweizer TM, Stahler DR, Smith DW, Wayne RK, </w:t>
      </w:r>
      <w:r w:rsidDel="00000000" w:rsidR="00000000" w:rsidRPr="00000000">
        <w:rPr>
          <w:rFonts w:ascii="Times New Roman" w:cs="Times New Roman" w:eastAsia="Times New Roman" w:hAnsi="Times New Roman"/>
          <w:i w:val="1"/>
          <w:iCs w:val="1"/>
          <w:rtl w:val="0"/>
        </w:rPr>
        <w:t xml:space="preserve">et al.</w:t>
      </w:r>
      <w:r w:rsidDel="00000000" w:rsidR="00000000" w:rsidRPr="00000000">
        <w:rPr>
          <w:rFonts w:ascii="Times New Roman" w:cs="Times New Roman" w:eastAsia="Times New Roman" w:hAnsi="Times New Roman"/>
          <w:rtl w:val="0"/>
        </w:rPr>
        <w:t xml:space="preserve"> (2019). De Novo Mutation Rate Estimation in Wolves of Known Pedigree. </w:t>
      </w:r>
      <w:r w:rsidDel="00000000" w:rsidR="00000000" w:rsidRPr="00000000">
        <w:rPr>
          <w:rFonts w:ascii="Times New Roman" w:cs="Times New Roman" w:eastAsia="Times New Roman" w:hAnsi="Times New Roman"/>
          <w:i w:val="1"/>
          <w:iCs w:val="1"/>
          <w:rtl w:val="0"/>
        </w:rPr>
        <w:t xml:space="preserve">Molecular Biology and Evolution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36</w:t>
      </w:r>
      <w:r w:rsidDel="00000000" w:rsidR="00000000" w:rsidRPr="00000000">
        <w:rPr>
          <w:rFonts w:ascii="Times New Roman" w:cs="Times New Roman" w:eastAsia="Times New Roman" w:hAnsi="Times New Roman"/>
          <w:rtl w:val="0"/>
        </w:rPr>
        <w:t xml:space="preserve">: 2536–2547.</w:t>
      </w:r>
    </w:p>
    <w:p w:rsidR="00000000" w:rsidDel="00000000" w:rsidP="00000000" w:rsidRDefault="00000000" w:rsidRPr="00000000" w14:paraId="00000042">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Krasovec M (2021). The spontaneous mutation rate of Drosophila pseudoobscura. </w:t>
      </w:r>
      <w:r w:rsidDel="00000000" w:rsidR="00000000" w:rsidRPr="00000000">
        <w:rPr>
          <w:rFonts w:ascii="Times New Roman" w:cs="Times New Roman" w:eastAsia="Times New Roman" w:hAnsi="Times New Roman"/>
          <w:i w:val="1"/>
          <w:iCs w:val="1"/>
          <w:rtl w:val="0"/>
        </w:rPr>
        <w:t xml:space="preserve">G3 Genes|Genomes|Genetics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11</w:t>
      </w:r>
      <w:r w:rsidDel="00000000" w:rsidR="00000000" w:rsidRPr="00000000">
        <w:rPr>
          <w:rFonts w:ascii="Times New Roman" w:cs="Times New Roman" w:eastAsia="Times New Roman" w:hAnsi="Times New Roman"/>
          <w:rtl w:val="0"/>
        </w:rPr>
        <w:t xml:space="preserve">: jkab151.</w:t>
      </w:r>
    </w:p>
    <w:p w:rsidR="00000000" w:rsidDel="00000000" w:rsidP="00000000" w:rsidRDefault="00000000" w:rsidRPr="00000000" w14:paraId="00000043">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Krasovec M, Chester M, Ridout K, Filatov DA (2018). The Mutation Rate and the Age of the Sex Chromosomes in </w:t>
      </w:r>
      <w:r w:rsidDel="00000000" w:rsidR="00000000" w:rsidRPr="00000000">
        <w:rPr>
          <w:rFonts w:ascii="Times New Roman" w:cs="Times New Roman" w:eastAsia="Times New Roman" w:hAnsi="Times New Roman"/>
          <w:i w:val="1"/>
          <w:iCs w:val="1"/>
          <w:rtl w:val="0"/>
        </w:rPr>
        <w:t xml:space="preserve">Silene latifolia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iCs w:val="1"/>
          <w:rtl w:val="0"/>
        </w:rPr>
        <w:t xml:space="preserve">Current Biology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28</w:t>
      </w:r>
      <w:r w:rsidDel="00000000" w:rsidR="00000000" w:rsidRPr="00000000">
        <w:rPr>
          <w:rFonts w:ascii="Times New Roman" w:cs="Times New Roman" w:eastAsia="Times New Roman" w:hAnsi="Times New Roman"/>
          <w:rtl w:val="0"/>
        </w:rPr>
        <w:t xml:space="preserve">: 1832-1838.e4.</w:t>
      </w:r>
    </w:p>
    <w:p w:rsidR="00000000" w:rsidDel="00000000" w:rsidP="00000000" w:rsidRDefault="00000000" w:rsidRPr="00000000" w14:paraId="00000044">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Liang X, Yang S, Wang D, Knief U (2024). Characterization and distribution of de novo mutations in the zebra finch. </w:t>
      </w:r>
      <w:r w:rsidDel="00000000" w:rsidR="00000000" w:rsidRPr="00000000">
        <w:rPr>
          <w:rFonts w:ascii="Times New Roman" w:cs="Times New Roman" w:eastAsia="Times New Roman" w:hAnsi="Times New Roman"/>
          <w:i w:val="1"/>
          <w:iCs w:val="1"/>
          <w:rtl w:val="0"/>
        </w:rPr>
        <w:t xml:space="preserve">Commun Biol</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7</w:t>
      </w:r>
      <w:r w:rsidDel="00000000" w:rsidR="00000000" w:rsidRPr="00000000">
        <w:rPr>
          <w:rFonts w:ascii="Times New Roman" w:cs="Times New Roman" w:eastAsia="Times New Roman" w:hAnsi="Times New Roman"/>
          <w:rtl w:val="0"/>
        </w:rPr>
        <w:t xml:space="preserve">: 1–13.</w:t>
      </w:r>
    </w:p>
    <w:p w:rsidR="00000000" w:rsidDel="00000000" w:rsidP="00000000" w:rsidRDefault="00000000" w:rsidRPr="00000000" w14:paraId="00000045">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Lin Y, Darolti I, Bijl W van der, Morris J, Mank JE (2023). Extensive variation in germline de novo mutations in Poecilia reticulata. </w:t>
      </w:r>
      <w:r w:rsidDel="00000000" w:rsidR="00000000" w:rsidRPr="00000000">
        <w:rPr>
          <w:rFonts w:ascii="Times New Roman" w:cs="Times New Roman" w:eastAsia="Times New Roman" w:hAnsi="Times New Roman"/>
          <w:i w:val="1"/>
          <w:iCs w:val="1"/>
          <w:rtl w:val="0"/>
        </w:rPr>
        <w:t xml:space="preserve">Genome Res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33</w:t>
      </w:r>
      <w:r w:rsidDel="00000000" w:rsidR="00000000" w:rsidRPr="00000000">
        <w:rPr>
          <w:rFonts w:ascii="Times New Roman" w:cs="Times New Roman" w:eastAsia="Times New Roman" w:hAnsi="Times New Roman"/>
          <w:rtl w:val="0"/>
        </w:rPr>
        <w:t xml:space="preserve">: 1317–1324.</w:t>
      </w:r>
    </w:p>
    <w:p w:rsidR="00000000" w:rsidDel="00000000" w:rsidP="00000000" w:rsidRDefault="00000000" w:rsidRPr="00000000" w14:paraId="00000046">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Liu H, Jia Y, Sun X, Tian D, Hurst LD, Yang S (2017). Direct Determination of the Mutation Rate in the Bumblebee Reveals Evidence for Weak Recombination-Associated Mutation and an Approximate Rate Constancy in Insects. </w:t>
      </w:r>
      <w:r w:rsidDel="00000000" w:rsidR="00000000" w:rsidRPr="00000000">
        <w:rPr>
          <w:rFonts w:ascii="Times New Roman" w:cs="Times New Roman" w:eastAsia="Times New Roman" w:hAnsi="Times New Roman"/>
          <w:i w:val="1"/>
          <w:iCs w:val="1"/>
          <w:rtl w:val="0"/>
        </w:rPr>
        <w:t xml:space="preserve">Molecular Biology and Evolution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34</w:t>
      </w:r>
      <w:r w:rsidDel="00000000" w:rsidR="00000000" w:rsidRPr="00000000">
        <w:rPr>
          <w:rFonts w:ascii="Times New Roman" w:cs="Times New Roman" w:eastAsia="Times New Roman" w:hAnsi="Times New Roman"/>
          <w:rtl w:val="0"/>
        </w:rPr>
        <w:t xml:space="preserve">: 119–130.</w:t>
      </w:r>
    </w:p>
    <w:p w:rsidR="00000000" w:rsidDel="00000000" w:rsidP="00000000" w:rsidRDefault="00000000" w:rsidRPr="00000000" w14:paraId="00000047">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Malinsky M, Svardal H, Tyers AM, Miska EA, Genner MJ, Turner GF, </w:t>
      </w:r>
      <w:r w:rsidDel="00000000" w:rsidR="00000000" w:rsidRPr="00000000">
        <w:rPr>
          <w:rFonts w:ascii="Times New Roman" w:cs="Times New Roman" w:eastAsia="Times New Roman" w:hAnsi="Times New Roman"/>
          <w:i w:val="1"/>
          <w:iCs w:val="1"/>
          <w:rtl w:val="0"/>
        </w:rPr>
        <w:t xml:space="preserve">et al.</w:t>
      </w:r>
      <w:r w:rsidDel="00000000" w:rsidR="00000000" w:rsidRPr="00000000">
        <w:rPr>
          <w:rFonts w:ascii="Times New Roman" w:cs="Times New Roman" w:eastAsia="Times New Roman" w:hAnsi="Times New Roman"/>
          <w:rtl w:val="0"/>
        </w:rPr>
        <w:t xml:space="preserve"> (2018). Whole-genome sequences of Malawi cichlids reveal multiple radiations interconnected by gene flow. </w:t>
      </w:r>
      <w:r w:rsidDel="00000000" w:rsidR="00000000" w:rsidRPr="00000000">
        <w:rPr>
          <w:rFonts w:ascii="Times New Roman" w:cs="Times New Roman" w:eastAsia="Times New Roman" w:hAnsi="Times New Roman"/>
          <w:i w:val="1"/>
          <w:iCs w:val="1"/>
          <w:rtl w:val="0"/>
        </w:rPr>
        <w:t xml:space="preserve">Nat Ecol Evol</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2</w:t>
      </w:r>
      <w:r w:rsidDel="00000000" w:rsidR="00000000" w:rsidRPr="00000000">
        <w:rPr>
          <w:rFonts w:ascii="Times New Roman" w:cs="Times New Roman" w:eastAsia="Times New Roman" w:hAnsi="Times New Roman"/>
          <w:rtl w:val="0"/>
        </w:rPr>
        <w:t xml:space="preserve">: 1940–1955.</w:t>
      </w:r>
    </w:p>
    <w:p w:rsidR="00000000" w:rsidDel="00000000" w:rsidP="00000000" w:rsidRDefault="00000000" w:rsidRPr="00000000" w14:paraId="00000048">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Martin HC, Batty EM, Hussin J, Westall P, Daish T, Kolomyjec S, </w:t>
      </w:r>
      <w:r w:rsidDel="00000000" w:rsidR="00000000" w:rsidRPr="00000000">
        <w:rPr>
          <w:rFonts w:ascii="Times New Roman" w:cs="Times New Roman" w:eastAsia="Times New Roman" w:hAnsi="Times New Roman"/>
          <w:i w:val="1"/>
          <w:iCs w:val="1"/>
          <w:rtl w:val="0"/>
        </w:rPr>
        <w:t xml:space="preserve">et al.</w:t>
      </w:r>
      <w:r w:rsidDel="00000000" w:rsidR="00000000" w:rsidRPr="00000000">
        <w:rPr>
          <w:rFonts w:ascii="Times New Roman" w:cs="Times New Roman" w:eastAsia="Times New Roman" w:hAnsi="Times New Roman"/>
          <w:rtl w:val="0"/>
        </w:rPr>
        <w:t xml:space="preserve"> (2018). Insights into Platypus Population Structure and History from Whole-Genome Sequencing. </w:t>
      </w:r>
      <w:r w:rsidDel="00000000" w:rsidR="00000000" w:rsidRPr="00000000">
        <w:rPr>
          <w:rFonts w:ascii="Times New Roman" w:cs="Times New Roman" w:eastAsia="Times New Roman" w:hAnsi="Times New Roman"/>
          <w:i w:val="1"/>
          <w:iCs w:val="1"/>
          <w:rtl w:val="0"/>
        </w:rPr>
        <w:t xml:space="preserve">Molecular Biology and Evolution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35</w:t>
      </w:r>
      <w:r w:rsidDel="00000000" w:rsidR="00000000" w:rsidRPr="00000000">
        <w:rPr>
          <w:rFonts w:ascii="Times New Roman" w:cs="Times New Roman" w:eastAsia="Times New Roman" w:hAnsi="Times New Roman"/>
          <w:rtl w:val="0"/>
        </w:rPr>
        <w:t xml:space="preserve">: 1238–1252.</w:t>
      </w:r>
    </w:p>
    <w:p w:rsidR="00000000" w:rsidDel="00000000" w:rsidP="00000000" w:rsidRDefault="00000000" w:rsidRPr="00000000" w14:paraId="00000049">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Peña-Garcia Y, Wang RJ, Raveendran M, Harris RA, Samollow PB, Rogers J, </w:t>
      </w:r>
      <w:r w:rsidDel="00000000" w:rsidR="00000000" w:rsidRPr="00000000">
        <w:rPr>
          <w:rFonts w:ascii="Times New Roman" w:cs="Times New Roman" w:eastAsia="Times New Roman" w:hAnsi="Times New Roman"/>
          <w:i w:val="1"/>
          <w:iCs w:val="1"/>
          <w:rtl w:val="0"/>
        </w:rPr>
        <w:t xml:space="preserve">et al.</w:t>
      </w:r>
      <w:r w:rsidDel="00000000" w:rsidR="00000000" w:rsidRPr="00000000">
        <w:rPr>
          <w:rFonts w:ascii="Times New Roman" w:cs="Times New Roman" w:eastAsia="Times New Roman" w:hAnsi="Times New Roman"/>
          <w:rtl w:val="0"/>
        </w:rPr>
        <w:t xml:space="preserve"> (2024). Low mutation rate but high male-bias in the germline of a short-lived opossum. : 2024.12.05.627076.</w:t>
      </w:r>
    </w:p>
    <w:p w:rsidR="00000000" w:rsidDel="00000000" w:rsidP="00000000" w:rsidRDefault="00000000" w:rsidRPr="00000000" w14:paraId="0000004A">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Pfeifer SP (2017). Direct estimate of the spontaneous germ line mutation rate in African green monkeys. </w:t>
      </w:r>
      <w:r w:rsidDel="00000000" w:rsidR="00000000" w:rsidRPr="00000000">
        <w:rPr>
          <w:rFonts w:ascii="Times New Roman" w:cs="Times New Roman" w:eastAsia="Times New Roman" w:hAnsi="Times New Roman"/>
          <w:i w:val="1"/>
          <w:iCs w:val="1"/>
          <w:rtl w:val="0"/>
        </w:rPr>
        <w:t xml:space="preserve">Evolution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71</w:t>
      </w:r>
      <w:r w:rsidDel="00000000" w:rsidR="00000000" w:rsidRPr="00000000">
        <w:rPr>
          <w:rFonts w:ascii="Times New Roman" w:cs="Times New Roman" w:eastAsia="Times New Roman" w:hAnsi="Times New Roman"/>
          <w:rtl w:val="0"/>
        </w:rPr>
        <w:t xml:space="preserve">: 2858–2870.</w:t>
      </w:r>
    </w:p>
    <w:p w:rsidR="00000000" w:rsidDel="00000000" w:rsidP="00000000" w:rsidRDefault="00000000" w:rsidRPr="00000000" w14:paraId="0000004B">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Popovic I, Bergeron LA, Bozec Y-M, Waldvogel A-M, Howitt SM, Damjanovic K, </w:t>
      </w:r>
      <w:r w:rsidDel="00000000" w:rsidR="00000000" w:rsidRPr="00000000">
        <w:rPr>
          <w:rFonts w:ascii="Times New Roman" w:cs="Times New Roman" w:eastAsia="Times New Roman" w:hAnsi="Times New Roman"/>
          <w:i w:val="1"/>
          <w:iCs w:val="1"/>
          <w:rtl w:val="0"/>
        </w:rPr>
        <w:t xml:space="preserve">et al.</w:t>
      </w:r>
      <w:r w:rsidDel="00000000" w:rsidR="00000000" w:rsidRPr="00000000">
        <w:rPr>
          <w:rFonts w:ascii="Times New Roman" w:cs="Times New Roman" w:eastAsia="Times New Roman" w:hAnsi="Times New Roman"/>
          <w:rtl w:val="0"/>
        </w:rPr>
        <w:t xml:space="preserve"> (2024). High germline mutation rates, but not extreme population outbreaks, influence genetic diversity in a keystone coral predator. </w:t>
      </w:r>
      <w:r w:rsidDel="00000000" w:rsidR="00000000" w:rsidRPr="00000000">
        <w:rPr>
          <w:rFonts w:ascii="Times New Roman" w:cs="Times New Roman" w:eastAsia="Times New Roman" w:hAnsi="Times New Roman"/>
          <w:i w:val="1"/>
          <w:iCs w:val="1"/>
          <w:rtl w:val="0"/>
        </w:rPr>
        <w:t xml:space="preserve">PLOS Genetics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20</w:t>
      </w:r>
      <w:r w:rsidDel="00000000" w:rsidR="00000000" w:rsidRPr="00000000">
        <w:rPr>
          <w:rFonts w:ascii="Times New Roman" w:cs="Times New Roman" w:eastAsia="Times New Roman" w:hAnsi="Times New Roman"/>
          <w:rtl w:val="0"/>
        </w:rPr>
        <w:t xml:space="preserve">: e1011129.</w:t>
      </w:r>
    </w:p>
    <w:p w:rsidR="00000000" w:rsidDel="00000000" w:rsidP="00000000" w:rsidRDefault="00000000" w:rsidRPr="00000000" w14:paraId="0000004C">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Póti Á, Szüts D, Vermezovic J (2024). Mutational profile of the regenerative process and de novo genome assembly of the planarian Schmidtea polychroa. </w:t>
      </w:r>
      <w:r w:rsidDel="00000000" w:rsidR="00000000" w:rsidRPr="00000000">
        <w:rPr>
          <w:rFonts w:ascii="Times New Roman" w:cs="Times New Roman" w:eastAsia="Times New Roman" w:hAnsi="Times New Roman"/>
          <w:i w:val="1"/>
          <w:iCs w:val="1"/>
          <w:rtl w:val="0"/>
        </w:rPr>
        <w:t xml:space="preserve">Nucleic Acids Research</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52</w:t>
      </w:r>
      <w:r w:rsidDel="00000000" w:rsidR="00000000" w:rsidRPr="00000000">
        <w:rPr>
          <w:rFonts w:ascii="Times New Roman" w:cs="Times New Roman" w:eastAsia="Times New Roman" w:hAnsi="Times New Roman"/>
          <w:rtl w:val="0"/>
        </w:rPr>
        <w:t xml:space="preserve">: 1779–1792.</w:t>
      </w:r>
    </w:p>
    <w:p w:rsidR="00000000" w:rsidDel="00000000" w:rsidP="00000000" w:rsidRDefault="00000000" w:rsidRPr="00000000" w14:paraId="0000004D">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Rashid I, Campos M, Collier T, Crepeau M, Weakley A, Gripkey H, </w:t>
      </w:r>
      <w:r w:rsidDel="00000000" w:rsidR="00000000" w:rsidRPr="00000000">
        <w:rPr>
          <w:rFonts w:ascii="Times New Roman" w:cs="Times New Roman" w:eastAsia="Times New Roman" w:hAnsi="Times New Roman"/>
          <w:i w:val="1"/>
          <w:iCs w:val="1"/>
          <w:rtl w:val="0"/>
        </w:rPr>
        <w:t xml:space="preserve">et al.</w:t>
      </w:r>
      <w:r w:rsidDel="00000000" w:rsidR="00000000" w:rsidRPr="00000000">
        <w:rPr>
          <w:rFonts w:ascii="Times New Roman" w:cs="Times New Roman" w:eastAsia="Times New Roman" w:hAnsi="Times New Roman"/>
          <w:rtl w:val="0"/>
        </w:rPr>
        <w:t xml:space="preserve"> (2022). Spontaneous mutation rate estimates for the principal malaria vectors Anopheles coluzzii and Anopheles stephensi. </w:t>
      </w:r>
      <w:r w:rsidDel="00000000" w:rsidR="00000000" w:rsidRPr="00000000">
        <w:rPr>
          <w:rFonts w:ascii="Times New Roman" w:cs="Times New Roman" w:eastAsia="Times New Roman" w:hAnsi="Times New Roman"/>
          <w:i w:val="1"/>
          <w:iCs w:val="1"/>
          <w:rtl w:val="0"/>
        </w:rPr>
        <w:t xml:space="preserve">Sci Rep</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12</w:t>
      </w:r>
      <w:r w:rsidDel="00000000" w:rsidR="00000000" w:rsidRPr="00000000">
        <w:rPr>
          <w:rFonts w:ascii="Times New Roman" w:cs="Times New Roman" w:eastAsia="Times New Roman" w:hAnsi="Times New Roman"/>
          <w:rtl w:val="0"/>
        </w:rPr>
        <w:t xml:space="preserve">: 226.</w:t>
      </w:r>
    </w:p>
    <w:p w:rsidR="00000000" w:rsidDel="00000000" w:rsidP="00000000" w:rsidRDefault="00000000" w:rsidRPr="00000000" w14:paraId="0000004E">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Recknagel H, Elmer KR, Meyer A (2013). A Hybrid Genetic Linkage Map of Two Ecologically and Morphologically Divergent Midas Cichlid Fishes (Amphilophus spp.) Obtained by Massively Parallel DNA Sequencing (ddRADSeq). </w:t>
      </w:r>
      <w:r w:rsidDel="00000000" w:rsidR="00000000" w:rsidRPr="00000000">
        <w:rPr>
          <w:rFonts w:ascii="Times New Roman" w:cs="Times New Roman" w:eastAsia="Times New Roman" w:hAnsi="Times New Roman"/>
          <w:i w:val="1"/>
          <w:iCs w:val="1"/>
          <w:rtl w:val="0"/>
        </w:rPr>
        <w:t xml:space="preserve">G3 (Bethesda)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3</w:t>
      </w:r>
      <w:r w:rsidDel="00000000" w:rsidR="00000000" w:rsidRPr="00000000">
        <w:rPr>
          <w:rFonts w:ascii="Times New Roman" w:cs="Times New Roman" w:eastAsia="Times New Roman" w:hAnsi="Times New Roman"/>
          <w:rtl w:val="0"/>
        </w:rPr>
        <w:t xml:space="preserve">: 65–74.</w:t>
      </w:r>
    </w:p>
    <w:p w:rsidR="00000000" w:rsidDel="00000000" w:rsidP="00000000" w:rsidRDefault="00000000" w:rsidRPr="00000000" w14:paraId="0000004F">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Rochus CM, Steensma MJ, Bink MCAM, Huisman AE, Harlizius B, Derks MFL, Crooijmans RPMA, Ducro BJ, Bijma P, Groenen MAM, Mulder HA (2025). Estimating mutation rate and characterising single nucleotide de novo mutations in pigs. Genet Sel Evol. </w:t>
      </w:r>
      <w:r w:rsidDel="00000000" w:rsidR="00000000" w:rsidRPr="00000000">
        <w:rPr>
          <w:rFonts w:ascii="Times New Roman" w:cs="Times New Roman" w:eastAsia="Times New Roman" w:hAnsi="Times New Roman"/>
          <w:b w:val="1"/>
          <w:bCs w:val="1"/>
          <w:rtl w:val="0"/>
        </w:rPr>
        <w:t xml:space="preserve">57</w:t>
      </w:r>
      <w:r w:rsidDel="00000000" w:rsidR="00000000" w:rsidRPr="00000000">
        <w:rPr>
          <w:rFonts w:ascii="Times New Roman" w:cs="Times New Roman" w:eastAsia="Times New Roman" w:hAnsi="Times New Roman"/>
          <w:rtl w:val="0"/>
        </w:rPr>
        <w:t xml:space="preserve">(1):21.</w:t>
      </w:r>
    </w:p>
    <w:p w:rsidR="00000000" w:rsidDel="00000000" w:rsidP="00000000" w:rsidRDefault="00000000" w:rsidRPr="00000000" w14:paraId="00000050">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Sendell-Price AT, Tulenko FJ, Pettersson M, Kang D, Montandon M, Winkler S, </w:t>
      </w:r>
      <w:r w:rsidDel="00000000" w:rsidR="00000000" w:rsidRPr="00000000">
        <w:rPr>
          <w:rFonts w:ascii="Times New Roman" w:cs="Times New Roman" w:eastAsia="Times New Roman" w:hAnsi="Times New Roman"/>
          <w:i w:val="1"/>
          <w:iCs w:val="1"/>
          <w:rtl w:val="0"/>
        </w:rPr>
        <w:t xml:space="preserve">et al.</w:t>
      </w:r>
      <w:r w:rsidDel="00000000" w:rsidR="00000000" w:rsidRPr="00000000">
        <w:rPr>
          <w:rFonts w:ascii="Times New Roman" w:cs="Times New Roman" w:eastAsia="Times New Roman" w:hAnsi="Times New Roman"/>
          <w:rtl w:val="0"/>
        </w:rPr>
        <w:t xml:space="preserve"> (2023). Low mutation rate in epaulette sharks is consistent with a slow rate of evolution in sharks. </w:t>
      </w:r>
      <w:r w:rsidDel="00000000" w:rsidR="00000000" w:rsidRPr="00000000">
        <w:rPr>
          <w:rFonts w:ascii="Times New Roman" w:cs="Times New Roman" w:eastAsia="Times New Roman" w:hAnsi="Times New Roman"/>
          <w:i w:val="1"/>
          <w:iCs w:val="1"/>
          <w:rtl w:val="0"/>
        </w:rPr>
        <w:t xml:space="preserve">Nat Commun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14</w:t>
      </w:r>
      <w:r w:rsidDel="00000000" w:rsidR="00000000" w:rsidRPr="00000000">
        <w:rPr>
          <w:rFonts w:ascii="Times New Roman" w:cs="Times New Roman" w:eastAsia="Times New Roman" w:hAnsi="Times New Roman"/>
          <w:rtl w:val="0"/>
        </w:rPr>
        <w:t xml:space="preserve">: 6628.</w:t>
      </w:r>
    </w:p>
    <w:p w:rsidR="00000000" w:rsidDel="00000000" w:rsidP="00000000" w:rsidRDefault="00000000" w:rsidRPr="00000000" w14:paraId="00000051">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Smeds L, Qvarnström A, Ellegren H (2016). Direct estimate of the rate of germline mutation in a bird. </w:t>
      </w:r>
      <w:r w:rsidDel="00000000" w:rsidR="00000000" w:rsidRPr="00000000">
        <w:rPr>
          <w:rFonts w:ascii="Times New Roman" w:cs="Times New Roman" w:eastAsia="Times New Roman" w:hAnsi="Times New Roman"/>
          <w:i w:val="1"/>
          <w:iCs w:val="1"/>
          <w:rtl w:val="0"/>
        </w:rPr>
        <w:t xml:space="preserve">Genome Res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26</w:t>
      </w:r>
      <w:r w:rsidDel="00000000" w:rsidR="00000000" w:rsidRPr="00000000">
        <w:rPr>
          <w:rFonts w:ascii="Times New Roman" w:cs="Times New Roman" w:eastAsia="Times New Roman" w:hAnsi="Times New Roman"/>
          <w:rtl w:val="0"/>
        </w:rPr>
        <w:t xml:space="preserve">: 1211–1218.</w:t>
      </w:r>
    </w:p>
    <w:p w:rsidR="00000000" w:rsidDel="00000000" w:rsidP="00000000" w:rsidRDefault="00000000" w:rsidRPr="00000000" w14:paraId="00000052">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Tatsumoto S, Go Y, Fukuta K, Noguchi H, Hayakawa T, Tomonaga M, </w:t>
      </w:r>
      <w:r w:rsidDel="00000000" w:rsidR="00000000" w:rsidRPr="00000000">
        <w:rPr>
          <w:rFonts w:ascii="Times New Roman" w:cs="Times New Roman" w:eastAsia="Times New Roman" w:hAnsi="Times New Roman"/>
          <w:i w:val="1"/>
          <w:iCs w:val="1"/>
          <w:rtl w:val="0"/>
        </w:rPr>
        <w:t xml:space="preserve">et al.</w:t>
      </w:r>
      <w:r w:rsidDel="00000000" w:rsidR="00000000" w:rsidRPr="00000000">
        <w:rPr>
          <w:rFonts w:ascii="Times New Roman" w:cs="Times New Roman" w:eastAsia="Times New Roman" w:hAnsi="Times New Roman"/>
          <w:rtl w:val="0"/>
        </w:rPr>
        <w:t xml:space="preserve"> (2017). Direct estimation of de novo mutation rates in a chimpanzee parent-offspring trio by ultra-deep whole genome sequencing. </w:t>
      </w:r>
      <w:r w:rsidDel="00000000" w:rsidR="00000000" w:rsidRPr="00000000">
        <w:rPr>
          <w:rFonts w:ascii="Times New Roman" w:cs="Times New Roman" w:eastAsia="Times New Roman" w:hAnsi="Times New Roman"/>
          <w:i w:val="1"/>
          <w:iCs w:val="1"/>
          <w:rtl w:val="0"/>
        </w:rPr>
        <w:t xml:space="preserve">Sci Rep</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7</w:t>
      </w:r>
      <w:r w:rsidDel="00000000" w:rsidR="00000000" w:rsidRPr="00000000">
        <w:rPr>
          <w:rFonts w:ascii="Times New Roman" w:cs="Times New Roman" w:eastAsia="Times New Roman" w:hAnsi="Times New Roman"/>
          <w:rtl w:val="0"/>
        </w:rPr>
        <w:t xml:space="preserve">: 13561.</w:t>
      </w:r>
    </w:p>
    <w:p w:rsidR="00000000" w:rsidDel="00000000" w:rsidP="00000000" w:rsidRDefault="00000000" w:rsidRPr="00000000" w14:paraId="00000053">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Thomas GWC, Wang RJ, Puri A, Harris RA, Raveendran M, Hughes DST, </w:t>
      </w:r>
      <w:r w:rsidDel="00000000" w:rsidR="00000000" w:rsidRPr="00000000">
        <w:rPr>
          <w:rFonts w:ascii="Times New Roman" w:cs="Times New Roman" w:eastAsia="Times New Roman" w:hAnsi="Times New Roman"/>
          <w:i w:val="1"/>
          <w:iCs w:val="1"/>
          <w:rtl w:val="0"/>
        </w:rPr>
        <w:t xml:space="preserve">et al.</w:t>
      </w:r>
      <w:r w:rsidDel="00000000" w:rsidR="00000000" w:rsidRPr="00000000">
        <w:rPr>
          <w:rFonts w:ascii="Times New Roman" w:cs="Times New Roman" w:eastAsia="Times New Roman" w:hAnsi="Times New Roman"/>
          <w:rtl w:val="0"/>
        </w:rPr>
        <w:t xml:space="preserve"> (2018). Reproductive Longevity Predicts Mutation Rates in Primates. </w:t>
      </w:r>
      <w:r w:rsidDel="00000000" w:rsidR="00000000" w:rsidRPr="00000000">
        <w:rPr>
          <w:rFonts w:ascii="Times New Roman" w:cs="Times New Roman" w:eastAsia="Times New Roman" w:hAnsi="Times New Roman"/>
          <w:i w:val="1"/>
          <w:iCs w:val="1"/>
          <w:rtl w:val="0"/>
        </w:rPr>
        <w:t xml:space="preserve">Current Biology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28</w:t>
      </w:r>
      <w:r w:rsidDel="00000000" w:rsidR="00000000" w:rsidRPr="00000000">
        <w:rPr>
          <w:rFonts w:ascii="Times New Roman" w:cs="Times New Roman" w:eastAsia="Times New Roman" w:hAnsi="Times New Roman"/>
          <w:rtl w:val="0"/>
        </w:rPr>
        <w:t xml:space="preserve">: 3193-3197.e5.</w:t>
      </w:r>
    </w:p>
    <w:p w:rsidR="00000000" w:rsidDel="00000000" w:rsidP="00000000" w:rsidRDefault="00000000" w:rsidRPr="00000000" w14:paraId="00000054">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Versoza CJ, Ehmke EE, Jensen JD, Pfeifer SP (2025). Characterizing the Rates and Patterns of De Novo Germline Mutations in the Aye-Aye (Daubentonia madagascariensis). </w:t>
      </w:r>
      <w:r w:rsidDel="00000000" w:rsidR="00000000" w:rsidRPr="00000000">
        <w:rPr>
          <w:rFonts w:ascii="Times New Roman" w:cs="Times New Roman" w:eastAsia="Times New Roman" w:hAnsi="Times New Roman"/>
          <w:i w:val="1"/>
          <w:iCs w:val="1"/>
          <w:rtl w:val="0"/>
        </w:rPr>
        <w:t xml:space="preserve">Molecular Biology and Evolution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42</w:t>
      </w:r>
      <w:r w:rsidDel="00000000" w:rsidR="00000000" w:rsidRPr="00000000">
        <w:rPr>
          <w:rFonts w:ascii="Times New Roman" w:cs="Times New Roman" w:eastAsia="Times New Roman" w:hAnsi="Times New Roman"/>
          <w:rtl w:val="0"/>
        </w:rPr>
        <w:t xml:space="preserve">: msaf034.</w:t>
      </w:r>
    </w:p>
    <w:p w:rsidR="00000000" w:rsidDel="00000000" w:rsidP="00000000" w:rsidRDefault="00000000" w:rsidRPr="00000000" w14:paraId="00000055">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Wang RJ, Peña-Garcia Y, Bibby MG, Raveendran M, Harris RA, Jansen HT, </w:t>
      </w:r>
      <w:r w:rsidDel="00000000" w:rsidR="00000000" w:rsidRPr="00000000">
        <w:rPr>
          <w:rFonts w:ascii="Times New Roman" w:cs="Times New Roman" w:eastAsia="Times New Roman" w:hAnsi="Times New Roman"/>
          <w:i w:val="1"/>
          <w:iCs w:val="1"/>
          <w:rtl w:val="0"/>
        </w:rPr>
        <w:t xml:space="preserve">et al.</w:t>
      </w:r>
      <w:r w:rsidDel="00000000" w:rsidR="00000000" w:rsidRPr="00000000">
        <w:rPr>
          <w:rFonts w:ascii="Times New Roman" w:cs="Times New Roman" w:eastAsia="Times New Roman" w:hAnsi="Times New Roman"/>
          <w:rtl w:val="0"/>
        </w:rPr>
        <w:t xml:space="preserve"> (2022). Examining the Effects of Hibernation on Germline Mutation Rates in Grizzly Bears. </w:t>
      </w:r>
      <w:r w:rsidDel="00000000" w:rsidR="00000000" w:rsidRPr="00000000">
        <w:rPr>
          <w:rFonts w:ascii="Times New Roman" w:cs="Times New Roman" w:eastAsia="Times New Roman" w:hAnsi="Times New Roman"/>
          <w:i w:val="1"/>
          <w:iCs w:val="1"/>
          <w:rtl w:val="0"/>
        </w:rPr>
        <w:t xml:space="preserve">Genome Biology and Evolution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14</w:t>
      </w:r>
      <w:r w:rsidDel="00000000" w:rsidR="00000000" w:rsidRPr="00000000">
        <w:rPr>
          <w:rFonts w:ascii="Times New Roman" w:cs="Times New Roman" w:eastAsia="Times New Roman" w:hAnsi="Times New Roman"/>
          <w:rtl w:val="0"/>
        </w:rPr>
        <w:t xml:space="preserve">: evac148.</w:t>
      </w:r>
    </w:p>
    <w:p w:rsidR="00000000" w:rsidDel="00000000" w:rsidP="00000000" w:rsidRDefault="00000000" w:rsidRPr="00000000" w14:paraId="00000056">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Wang RJ, Raveendran M, Harris RA, Murphy WJ, Lyons LA, Rogers J, </w:t>
      </w:r>
      <w:r w:rsidDel="00000000" w:rsidR="00000000" w:rsidRPr="00000000">
        <w:rPr>
          <w:rFonts w:ascii="Times New Roman" w:cs="Times New Roman" w:eastAsia="Times New Roman" w:hAnsi="Times New Roman"/>
          <w:i w:val="1"/>
          <w:iCs w:val="1"/>
          <w:rtl w:val="0"/>
        </w:rPr>
        <w:t xml:space="preserve">et al.</w:t>
      </w:r>
      <w:r w:rsidDel="00000000" w:rsidR="00000000" w:rsidRPr="00000000">
        <w:rPr>
          <w:rFonts w:ascii="Times New Roman" w:cs="Times New Roman" w:eastAsia="Times New Roman" w:hAnsi="Times New Roman"/>
          <w:rtl w:val="0"/>
        </w:rPr>
        <w:t xml:space="preserve"> (2022). De novo Mutations in Domestic Cat are Consistent with an Effect of Reproductive Longevity on Both the Rate and Spectrum of Mutations. </w:t>
      </w:r>
      <w:r w:rsidDel="00000000" w:rsidR="00000000" w:rsidRPr="00000000">
        <w:rPr>
          <w:rFonts w:ascii="Times New Roman" w:cs="Times New Roman" w:eastAsia="Times New Roman" w:hAnsi="Times New Roman"/>
          <w:i w:val="1"/>
          <w:iCs w:val="1"/>
          <w:rtl w:val="0"/>
        </w:rPr>
        <w:t xml:space="preserve">Molecular Biology and Evolution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39</w:t>
      </w:r>
      <w:r w:rsidDel="00000000" w:rsidR="00000000" w:rsidRPr="00000000">
        <w:rPr>
          <w:rFonts w:ascii="Times New Roman" w:cs="Times New Roman" w:eastAsia="Times New Roman" w:hAnsi="Times New Roman"/>
          <w:rtl w:val="0"/>
        </w:rPr>
        <w:t xml:space="preserve">: msac147.</w:t>
      </w:r>
    </w:p>
    <w:p w:rsidR="00000000" w:rsidDel="00000000" w:rsidP="00000000" w:rsidRDefault="00000000" w:rsidRPr="00000000" w14:paraId="00000057">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Wang RJ, Thomas GWC, Raveendran M, Harris RA, Doddapaneni H, Muzny DM, </w:t>
      </w:r>
      <w:r w:rsidDel="00000000" w:rsidR="00000000" w:rsidRPr="00000000">
        <w:rPr>
          <w:rFonts w:ascii="Times New Roman" w:cs="Times New Roman" w:eastAsia="Times New Roman" w:hAnsi="Times New Roman"/>
          <w:i w:val="1"/>
          <w:iCs w:val="1"/>
          <w:rtl w:val="0"/>
        </w:rPr>
        <w:t xml:space="preserve">et al.</w:t>
      </w:r>
      <w:r w:rsidDel="00000000" w:rsidR="00000000" w:rsidRPr="00000000">
        <w:rPr>
          <w:rFonts w:ascii="Times New Roman" w:cs="Times New Roman" w:eastAsia="Times New Roman" w:hAnsi="Times New Roman"/>
          <w:rtl w:val="0"/>
        </w:rPr>
        <w:t xml:space="preserve"> (2020). Paternal age in rhesus macaques is positively associated with germline mutation accumulation but not with measures of offspring sociability. </w:t>
      </w:r>
      <w:r w:rsidDel="00000000" w:rsidR="00000000" w:rsidRPr="00000000">
        <w:rPr>
          <w:rFonts w:ascii="Times New Roman" w:cs="Times New Roman" w:eastAsia="Times New Roman" w:hAnsi="Times New Roman"/>
          <w:i w:val="1"/>
          <w:iCs w:val="1"/>
          <w:rtl w:val="0"/>
        </w:rPr>
        <w:t xml:space="preserve">Genome Res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30</w:t>
      </w:r>
      <w:r w:rsidDel="00000000" w:rsidR="00000000" w:rsidRPr="00000000">
        <w:rPr>
          <w:rFonts w:ascii="Times New Roman" w:cs="Times New Roman" w:eastAsia="Times New Roman" w:hAnsi="Times New Roman"/>
          <w:rtl w:val="0"/>
        </w:rPr>
        <w:t xml:space="preserve">: 826–834.</w:t>
      </w:r>
    </w:p>
    <w:p w:rsidR="00000000" w:rsidDel="00000000" w:rsidP="00000000" w:rsidRDefault="00000000" w:rsidRPr="00000000" w14:paraId="00000058">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Wang Y, McNeil P, Abdulazeez R, Pascual M, Johnston SE, Keightley PD, </w:t>
      </w:r>
      <w:r w:rsidDel="00000000" w:rsidR="00000000" w:rsidRPr="00000000">
        <w:rPr>
          <w:rFonts w:ascii="Times New Roman" w:cs="Times New Roman" w:eastAsia="Times New Roman" w:hAnsi="Times New Roman"/>
          <w:i w:val="1"/>
          <w:iCs w:val="1"/>
          <w:rtl w:val="0"/>
        </w:rPr>
        <w:t xml:space="preserve">et al.</w:t>
      </w:r>
      <w:r w:rsidDel="00000000" w:rsidR="00000000" w:rsidRPr="00000000">
        <w:rPr>
          <w:rFonts w:ascii="Times New Roman" w:cs="Times New Roman" w:eastAsia="Times New Roman" w:hAnsi="Times New Roman"/>
          <w:rtl w:val="0"/>
        </w:rPr>
        <w:t xml:space="preserve"> (2023). Variation in mutation, recombination, and transposition rates in Drosophila melanogaster and Drosophila simulans. </w:t>
      </w:r>
      <w:r w:rsidDel="00000000" w:rsidR="00000000" w:rsidRPr="00000000">
        <w:rPr>
          <w:rFonts w:ascii="Times New Roman" w:cs="Times New Roman" w:eastAsia="Times New Roman" w:hAnsi="Times New Roman"/>
          <w:i w:val="1"/>
          <w:iCs w:val="1"/>
          <w:rtl w:val="0"/>
        </w:rPr>
        <w:t xml:space="preserve">Genome Res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33</w:t>
      </w:r>
      <w:r w:rsidDel="00000000" w:rsidR="00000000" w:rsidRPr="00000000">
        <w:rPr>
          <w:rFonts w:ascii="Times New Roman" w:cs="Times New Roman" w:eastAsia="Times New Roman" w:hAnsi="Times New Roman"/>
          <w:rtl w:val="0"/>
        </w:rPr>
        <w:t xml:space="preserve">: 587–598.</w:t>
      </w:r>
    </w:p>
    <w:p w:rsidR="00000000" w:rsidDel="00000000" w:rsidP="00000000" w:rsidRDefault="00000000" w:rsidRPr="00000000" w14:paraId="00000059">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Wang Y, Obbard DJ (2023). Experimental estimates of germline mutation rate in eukaryotes: a phylogenetic meta-analysis. </w:t>
      </w:r>
      <w:r w:rsidDel="00000000" w:rsidR="00000000" w:rsidRPr="00000000">
        <w:rPr>
          <w:rFonts w:ascii="Times New Roman" w:cs="Times New Roman" w:eastAsia="Times New Roman" w:hAnsi="Times New Roman"/>
          <w:i w:val="1"/>
          <w:iCs w:val="1"/>
          <w:rtl w:val="0"/>
        </w:rPr>
        <w:t xml:space="preserve">Evolution Letters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7</w:t>
      </w:r>
      <w:r w:rsidDel="00000000" w:rsidR="00000000" w:rsidRPr="00000000">
        <w:rPr>
          <w:rFonts w:ascii="Times New Roman" w:cs="Times New Roman" w:eastAsia="Times New Roman" w:hAnsi="Times New Roman"/>
          <w:rtl w:val="0"/>
        </w:rPr>
        <w:t xml:space="preserve">: 216–226.</w:t>
      </w:r>
    </w:p>
    <w:p w:rsidR="00000000" w:rsidDel="00000000" w:rsidP="00000000" w:rsidRDefault="00000000" w:rsidRPr="00000000" w14:paraId="0000005A">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Wooldridge TB, Ford SM, Conwell HC, Hyde J, Harris K, Shapiro B (2025). Direct Measurement of the Mutation Rate and Its Evolutionary Consequences in a Critically Endangered Mollusk. </w:t>
      </w:r>
      <w:r w:rsidDel="00000000" w:rsidR="00000000" w:rsidRPr="00000000">
        <w:rPr>
          <w:rFonts w:ascii="Times New Roman" w:cs="Times New Roman" w:eastAsia="Times New Roman" w:hAnsi="Times New Roman"/>
          <w:i w:val="1"/>
          <w:iCs w:val="1"/>
          <w:rtl w:val="0"/>
        </w:rPr>
        <w:t xml:space="preserve">Molecular Biology and Evolution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42</w:t>
      </w:r>
      <w:r w:rsidDel="00000000" w:rsidR="00000000" w:rsidRPr="00000000">
        <w:rPr>
          <w:rFonts w:ascii="Times New Roman" w:cs="Times New Roman" w:eastAsia="Times New Roman" w:hAnsi="Times New Roman"/>
          <w:rtl w:val="0"/>
        </w:rPr>
        <w:t xml:space="preserve">: msae266.</w:t>
      </w:r>
    </w:p>
    <w:p w:rsidR="00000000" w:rsidDel="00000000" w:rsidP="00000000" w:rsidRDefault="00000000" w:rsidRPr="00000000" w14:paraId="0000005B">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Yang S, Wang L, Huang J, Zhang X, Yuan Y, Chen J-Q, </w:t>
      </w:r>
      <w:r w:rsidDel="00000000" w:rsidR="00000000" w:rsidRPr="00000000">
        <w:rPr>
          <w:rFonts w:ascii="Times New Roman" w:cs="Times New Roman" w:eastAsia="Times New Roman" w:hAnsi="Times New Roman"/>
          <w:i w:val="1"/>
          <w:iCs w:val="1"/>
          <w:rtl w:val="0"/>
        </w:rPr>
        <w:t xml:space="preserve">et al.</w:t>
      </w:r>
      <w:r w:rsidDel="00000000" w:rsidR="00000000" w:rsidRPr="00000000">
        <w:rPr>
          <w:rFonts w:ascii="Times New Roman" w:cs="Times New Roman" w:eastAsia="Times New Roman" w:hAnsi="Times New Roman"/>
          <w:rtl w:val="0"/>
        </w:rPr>
        <w:t xml:space="preserve"> (2015). Parent–progeny sequencing indicates higher mutation rates in heterozygotes. </w:t>
      </w:r>
      <w:r w:rsidDel="00000000" w:rsidR="00000000" w:rsidRPr="00000000">
        <w:rPr>
          <w:rFonts w:ascii="Times New Roman" w:cs="Times New Roman" w:eastAsia="Times New Roman" w:hAnsi="Times New Roman"/>
          <w:i w:val="1"/>
          <w:iCs w:val="1"/>
          <w:rtl w:val="0"/>
        </w:rPr>
        <w:t xml:space="preserve">Nature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523</w:t>
      </w:r>
      <w:r w:rsidDel="00000000" w:rsidR="00000000" w:rsidRPr="00000000">
        <w:rPr>
          <w:rFonts w:ascii="Times New Roman" w:cs="Times New Roman" w:eastAsia="Times New Roman" w:hAnsi="Times New Roman"/>
          <w:rtl w:val="0"/>
        </w:rPr>
        <w:t xml:space="preserve">: 463–467.</w:t>
      </w:r>
    </w:p>
    <w:p w:rsidR="00000000" w:rsidDel="00000000" w:rsidP="00000000" w:rsidRDefault="00000000" w:rsidRPr="00000000" w14:paraId="0000005C">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Yang N, Xu XW, Wang RR, Peng WL, Cai L, Song J-M, </w:t>
      </w:r>
      <w:r w:rsidDel="00000000" w:rsidR="00000000" w:rsidRPr="00000000">
        <w:rPr>
          <w:rFonts w:ascii="Times New Roman" w:cs="Times New Roman" w:eastAsia="Times New Roman" w:hAnsi="Times New Roman"/>
          <w:i w:val="1"/>
          <w:iCs w:val="1"/>
          <w:rtl w:val="0"/>
        </w:rPr>
        <w:t xml:space="preserve">et al.</w:t>
      </w:r>
      <w:r w:rsidDel="00000000" w:rsidR="00000000" w:rsidRPr="00000000">
        <w:rPr>
          <w:rFonts w:ascii="Times New Roman" w:cs="Times New Roman" w:eastAsia="Times New Roman" w:hAnsi="Times New Roman"/>
          <w:rtl w:val="0"/>
        </w:rPr>
        <w:t xml:space="preserve"> (2017). Contributions of Zea mays subspecies mexicana haplotypes to modern maize. </w:t>
      </w:r>
      <w:r w:rsidDel="00000000" w:rsidR="00000000" w:rsidRPr="00000000">
        <w:rPr>
          <w:rFonts w:ascii="Times New Roman" w:cs="Times New Roman" w:eastAsia="Times New Roman" w:hAnsi="Times New Roman"/>
          <w:i w:val="1"/>
          <w:iCs w:val="1"/>
          <w:rtl w:val="0"/>
        </w:rPr>
        <w:t xml:space="preserve">Nat Commun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8</w:t>
      </w:r>
      <w:r w:rsidDel="00000000" w:rsidR="00000000" w:rsidRPr="00000000">
        <w:rPr>
          <w:rFonts w:ascii="Times New Roman" w:cs="Times New Roman" w:eastAsia="Times New Roman" w:hAnsi="Times New Roman"/>
          <w:rtl w:val="0"/>
        </w:rPr>
        <w:t xml:space="preserve">: 1874.</w:t>
      </w:r>
    </w:p>
    <w:p w:rsidR="00000000" w:rsidDel="00000000" w:rsidP="00000000" w:rsidRDefault="00000000" w:rsidRPr="00000000" w14:paraId="0000005D">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Yang C, Zhou Y, Marcus S, Formenti G, Bergeron LA, Song Z, </w:t>
      </w:r>
      <w:r w:rsidDel="00000000" w:rsidR="00000000" w:rsidRPr="00000000">
        <w:rPr>
          <w:rFonts w:ascii="Times New Roman" w:cs="Times New Roman" w:eastAsia="Times New Roman" w:hAnsi="Times New Roman"/>
          <w:i w:val="1"/>
          <w:iCs w:val="1"/>
          <w:rtl w:val="0"/>
        </w:rPr>
        <w:t xml:space="preserve">et al.</w:t>
      </w:r>
      <w:r w:rsidDel="00000000" w:rsidR="00000000" w:rsidRPr="00000000">
        <w:rPr>
          <w:rFonts w:ascii="Times New Roman" w:cs="Times New Roman" w:eastAsia="Times New Roman" w:hAnsi="Times New Roman"/>
          <w:rtl w:val="0"/>
        </w:rPr>
        <w:t xml:space="preserve"> (2021). Evolutionary and biomedical insights from a marmoset diploid genome assembly. </w:t>
      </w:r>
      <w:r w:rsidDel="00000000" w:rsidR="00000000" w:rsidRPr="00000000">
        <w:rPr>
          <w:rFonts w:ascii="Times New Roman" w:cs="Times New Roman" w:eastAsia="Times New Roman" w:hAnsi="Times New Roman"/>
          <w:i w:val="1"/>
          <w:iCs w:val="1"/>
          <w:rtl w:val="0"/>
        </w:rPr>
        <w:t xml:space="preserve">Nature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594</w:t>
      </w:r>
      <w:r w:rsidDel="00000000" w:rsidR="00000000" w:rsidRPr="00000000">
        <w:rPr>
          <w:rFonts w:ascii="Times New Roman" w:cs="Times New Roman" w:eastAsia="Times New Roman" w:hAnsi="Times New Roman"/>
          <w:rtl w:val="0"/>
        </w:rPr>
        <w:t xml:space="preserve">: 227–233.</w:t>
      </w:r>
    </w:p>
    <w:p w:rsidR="00000000" w:rsidDel="00000000" w:rsidP="00000000" w:rsidRDefault="00000000" w:rsidRPr="00000000" w14:paraId="0000005E">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Zhang SJ, Ma J, Riera M, Besenbacher S, Niskanen J, Salokorpi N, </w:t>
      </w:r>
      <w:r w:rsidDel="00000000" w:rsidR="00000000" w:rsidRPr="00000000">
        <w:rPr>
          <w:rFonts w:ascii="Times New Roman" w:cs="Times New Roman" w:eastAsia="Times New Roman" w:hAnsi="Times New Roman"/>
          <w:i w:val="1"/>
          <w:iCs w:val="1"/>
          <w:rtl w:val="0"/>
        </w:rPr>
        <w:t xml:space="preserve">et al.</w:t>
      </w:r>
      <w:r w:rsidDel="00000000" w:rsidR="00000000" w:rsidRPr="00000000">
        <w:rPr>
          <w:rFonts w:ascii="Times New Roman" w:cs="Times New Roman" w:eastAsia="Times New Roman" w:hAnsi="Times New Roman"/>
          <w:rtl w:val="0"/>
        </w:rPr>
        <w:t xml:space="preserve"> (2025). Determinants of de novo mutations in extended pedigrees of 43 dog breeds. </w:t>
      </w:r>
      <w:r w:rsidDel="00000000" w:rsidR="00000000" w:rsidRPr="00000000">
        <w:rPr>
          <w:rFonts w:ascii="Times New Roman" w:cs="Times New Roman" w:eastAsia="Times New Roman" w:hAnsi="Times New Roman"/>
          <w:i w:val="1"/>
          <w:iCs w:val="1"/>
          <w:rtl w:val="0"/>
        </w:rPr>
        <w:t xml:space="preserve">Genome Biol.</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26</w:t>
      </w:r>
      <w:r w:rsidDel="00000000" w:rsidR="00000000" w:rsidRPr="00000000">
        <w:rPr>
          <w:rFonts w:ascii="Times New Roman" w:cs="Times New Roman" w:eastAsia="Times New Roman" w:hAnsi="Times New Roman"/>
          <w:rtl w:val="0"/>
        </w:rPr>
        <w:t xml:space="preserve">(1):305.</w:t>
      </w:r>
    </w:p>
    <w:p w:rsidR="00000000" w:rsidDel="00000000" w:rsidP="00000000" w:rsidRDefault="00000000" w:rsidRPr="00000000" w14:paraId="0000005F">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Zhang C, Reid K, Sands AF, Fraimout A, Schierup MH, Merilä J (2023). De Novo Mutation Rates in Sticklebacks. </w:t>
      </w:r>
      <w:r w:rsidDel="00000000" w:rsidR="00000000" w:rsidRPr="00000000">
        <w:rPr>
          <w:rFonts w:ascii="Times New Roman" w:cs="Times New Roman" w:eastAsia="Times New Roman" w:hAnsi="Times New Roman"/>
          <w:i w:val="1"/>
          <w:iCs w:val="1"/>
          <w:rtl w:val="0"/>
        </w:rPr>
        <w:t xml:space="preserve">Molecular Biology and Evolution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40</w:t>
      </w:r>
      <w:r w:rsidDel="00000000" w:rsidR="00000000" w:rsidRPr="00000000">
        <w:rPr>
          <w:rFonts w:ascii="Times New Roman" w:cs="Times New Roman" w:eastAsia="Times New Roman" w:hAnsi="Times New Roman"/>
          <w:rtl w:val="0"/>
        </w:rPr>
        <w:t xml:space="preserve">: msad192.</w:t>
      </w:r>
    </w:p>
    <w:p w:rsidR="00000000" w:rsidDel="00000000" w:rsidP="00000000" w:rsidRDefault="00000000" w:rsidRPr="00000000" w14:paraId="00000060">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Zhang C, Reid K, Schierup MH, Wang H, Candolin U, Merilä J (2025). Rate of de novo mutations in the three-spined stickleback. </w:t>
      </w:r>
      <w:r w:rsidDel="00000000" w:rsidR="00000000" w:rsidRPr="00000000">
        <w:rPr>
          <w:rFonts w:ascii="Times New Roman" w:cs="Times New Roman" w:eastAsia="Times New Roman" w:hAnsi="Times New Roman"/>
          <w:i w:val="1"/>
          <w:iCs w:val="1"/>
          <w:rtl w:val="0"/>
        </w:rPr>
        <w:t xml:space="preserve">Heredity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134</w:t>
      </w:r>
      <w:r w:rsidDel="00000000" w:rsidR="00000000" w:rsidRPr="00000000">
        <w:rPr>
          <w:rFonts w:ascii="Times New Roman" w:cs="Times New Roman" w:eastAsia="Times New Roman" w:hAnsi="Times New Roman"/>
          <w:rtl w:val="0"/>
        </w:rPr>
        <w:t xml:space="preserve">: 387–395.</w:t>
      </w:r>
    </w:p>
    <w:p w:rsidR="00000000" w:rsidDel="00000000" w:rsidP="00000000" w:rsidRDefault="00000000" w:rsidRPr="00000000" w14:paraId="00000061">
      <w:pPr>
        <w:spacing w:line="360" w:lineRule="auto"/>
        <w:ind w:left="440" w:hanging="4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Zhang M, Yang Q, Ai H, Huang L (2022). Revisiting the Evolutionary History of Pigs via </w:t>
      </w:r>
      <w:r w:rsidDel="00000000" w:rsidR="00000000" w:rsidRPr="00000000">
        <w:rPr>
          <w:rFonts w:ascii="Times New Roman" w:cs="Times New Roman" w:eastAsia="Times New Roman" w:hAnsi="Times New Roman"/>
          <w:i w:val="1"/>
          <w:iCs w:val="1"/>
          <w:rtl w:val="0"/>
        </w:rPr>
        <w:t xml:space="preserve">De Novo</w:t>
      </w:r>
      <w:r w:rsidDel="00000000" w:rsidR="00000000" w:rsidRPr="00000000">
        <w:rPr>
          <w:rFonts w:ascii="Times New Roman" w:cs="Times New Roman" w:eastAsia="Times New Roman" w:hAnsi="Times New Roman"/>
          <w:rtl w:val="0"/>
        </w:rPr>
        <w:t xml:space="preserve"> Mutation Rate Estimation in A Three-generation Pedigree. </w:t>
      </w:r>
      <w:r w:rsidDel="00000000" w:rsidR="00000000" w:rsidRPr="00000000">
        <w:rPr>
          <w:rFonts w:ascii="Times New Roman" w:cs="Times New Roman" w:eastAsia="Times New Roman" w:hAnsi="Times New Roman"/>
          <w:i w:val="1"/>
          <w:iCs w:val="1"/>
          <w:rtl w:val="0"/>
        </w:rPr>
        <w:t xml:space="preserve">Genomics, Proteomics &amp; Bioinformatics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20</w:t>
      </w:r>
      <w:r w:rsidDel="00000000" w:rsidR="00000000" w:rsidRPr="00000000">
        <w:rPr>
          <w:rFonts w:ascii="Times New Roman" w:cs="Times New Roman" w:eastAsia="Times New Roman" w:hAnsi="Times New Roman"/>
          <w:rtl w:val="0"/>
        </w:rPr>
        <w:t xml:space="preserve">: 1040–1052.</w:t>
      </w:r>
    </w:p>
    <w:sectPr>
      <w:headerReference r:id="rId14" w:type="default"/>
      <w:footerReference r:id="rId15" w:type="default"/>
      <w:footerReference r:id="rId16" w:type="first"/>
      <w:pgSz w:h="16838" w:w="11906" w:orient="portrait"/>
      <w:pgMar w:bottom="1361" w:top="1361" w:left="1077" w:right="119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DengXian"/>
  <w:font w:name="等线 Ligh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widowControl w:val="0"/>
      <w:spacing w:after="80" w:before="480" w:lineRule="auto"/>
    </w:pPr>
    <w:rPr>
      <w:rFonts w:ascii="等线 Light" w:cs="等线 Light" w:eastAsia="等线 Light" w:hAnsi="等线 Light"/>
      <w:color w:val="0f4761"/>
      <w:sz w:val="48"/>
      <w:szCs w:val="48"/>
    </w:rPr>
  </w:style>
  <w:style w:type="paragraph" w:styleId="Heading2">
    <w:name w:val="heading 2"/>
    <w:basedOn w:val="Normal"/>
    <w:next w:val="Normal"/>
    <w:pPr>
      <w:keepNext w:val="1"/>
      <w:keepLines w:val="1"/>
      <w:widowControl w:val="0"/>
      <w:spacing w:after="80" w:before="160" w:lineRule="auto"/>
    </w:pPr>
    <w:rPr>
      <w:rFonts w:ascii="等线 Light" w:cs="等线 Light" w:eastAsia="等线 Light" w:hAnsi="等线 Light"/>
      <w:color w:val="0f4761"/>
      <w:sz w:val="40"/>
      <w:szCs w:val="40"/>
    </w:rPr>
  </w:style>
  <w:style w:type="paragraph" w:styleId="Heading3">
    <w:name w:val="heading 3"/>
    <w:basedOn w:val="Normal"/>
    <w:next w:val="Normal"/>
    <w:pPr>
      <w:keepNext w:val="1"/>
      <w:keepLines w:val="1"/>
      <w:widowControl w:val="0"/>
      <w:spacing w:after="80" w:before="160" w:lineRule="auto"/>
    </w:pPr>
    <w:rPr>
      <w:rFonts w:ascii="等线 Light" w:cs="等线 Light" w:eastAsia="等线 Light" w:hAnsi="等线 Light"/>
      <w:color w:val="0f4761"/>
      <w:sz w:val="32"/>
      <w:szCs w:val="32"/>
    </w:rPr>
  </w:style>
  <w:style w:type="paragraph" w:styleId="Heading4">
    <w:name w:val="heading 4"/>
    <w:basedOn w:val="Normal"/>
    <w:next w:val="Normal"/>
    <w:pPr>
      <w:keepNext w:val="1"/>
      <w:keepLines w:val="1"/>
      <w:widowControl w:val="0"/>
      <w:spacing w:after="40" w:before="80" w:lineRule="auto"/>
    </w:pPr>
    <w:rPr>
      <w:rFonts w:ascii="DengXian" w:cs="DengXian" w:eastAsia="DengXian" w:hAnsi="DengXian"/>
      <w:color w:val="0f4761"/>
      <w:sz w:val="28"/>
      <w:szCs w:val="28"/>
    </w:rPr>
  </w:style>
  <w:style w:type="paragraph" w:styleId="Heading5">
    <w:name w:val="heading 5"/>
    <w:basedOn w:val="Normal"/>
    <w:next w:val="Normal"/>
    <w:pPr>
      <w:keepNext w:val="1"/>
      <w:keepLines w:val="1"/>
      <w:widowControl w:val="0"/>
      <w:spacing w:after="40" w:before="80" w:lineRule="auto"/>
    </w:pPr>
    <w:rPr>
      <w:rFonts w:ascii="DengXian" w:cs="DengXian" w:eastAsia="DengXian" w:hAnsi="DengXian"/>
      <w:color w:val="0f4761"/>
      <w:sz w:val="24"/>
      <w:szCs w:val="24"/>
    </w:rPr>
  </w:style>
  <w:style w:type="paragraph" w:styleId="Heading6">
    <w:name w:val="heading 6"/>
    <w:basedOn w:val="Normal"/>
    <w:next w:val="Normal"/>
    <w:pPr>
      <w:keepNext w:val="1"/>
      <w:keepLines w:val="1"/>
      <w:widowControl w:val="0"/>
      <w:spacing w:before="40" w:lineRule="auto"/>
    </w:pPr>
    <w:rPr>
      <w:rFonts w:ascii="DengXian" w:cs="DengXian" w:eastAsia="DengXian" w:hAnsi="DengXian"/>
      <w:b w:val="1"/>
      <w:bCs w:val="1"/>
      <w:color w:val="0f4761"/>
      <w:sz w:val="21"/>
      <w:szCs w:val="21"/>
    </w:rPr>
  </w:style>
  <w:style w:type="paragraph" w:styleId="Title">
    <w:name w:val="Title"/>
    <w:basedOn w:val="Normal"/>
    <w:next w:val="Normal"/>
    <w:pPr>
      <w:widowControl w:val="0"/>
      <w:spacing w:after="80" w:lineRule="auto"/>
      <w:jc w:val="center"/>
    </w:pPr>
    <w:rPr>
      <w:rFonts w:ascii="等线 Light" w:cs="等线 Light" w:eastAsia="等线 Light" w:hAnsi="等线 Light"/>
      <w:sz w:val="56"/>
      <w:szCs w:val="56"/>
    </w:rPr>
  </w:style>
  <w:style w:type="paragraph" w:styleId="7">
    <w:name w:val="heading 7"/>
    <w:link w:val="70"/>
    <w:uiPriority w:val="9"/>
    <w:semiHidden w:val="1"/>
    <w:unhideWhenUsed w:val="1"/>
    <w:qFormat w:val="1"/>
    <w:rsid w:val="007B0B70"/>
    <w:pPr>
      <w:keepNext w:val="1"/>
      <w:keepLines w:val="1"/>
      <w:widowControl w:val="0"/>
      <w:spacing w:before="40"/>
      <w:outlineLvl w:val="6"/>
    </w:pPr>
    <w:rPr>
      <w:rFonts w:asciiTheme="minorHAnsi" w:cstheme="majorBidi" w:hAnsiTheme="minorHAnsi"/>
      <w:b w:val="1"/>
      <w:bCs w:val="1"/>
      <w:color w:val="595959" w:themeColor="text1" w:themeTint="0000A6"/>
      <w:kern w:val="2"/>
      <w:sz w:val="21"/>
      <w:szCs w:val="24"/>
      <w:lang w:val="en-US"/>
    </w:rPr>
  </w:style>
  <w:style w:type="paragraph" w:styleId="8">
    <w:name w:val="heading 8"/>
    <w:link w:val="80"/>
    <w:uiPriority w:val="9"/>
    <w:semiHidden w:val="1"/>
    <w:unhideWhenUsed w:val="1"/>
    <w:qFormat w:val="1"/>
    <w:rsid w:val="007B0B70"/>
    <w:pPr>
      <w:keepNext w:val="1"/>
      <w:keepLines w:val="1"/>
      <w:widowControl w:val="0"/>
      <w:outlineLvl w:val="7"/>
    </w:pPr>
    <w:rPr>
      <w:rFonts w:asciiTheme="minorHAnsi" w:cstheme="majorBidi" w:hAnsiTheme="minorHAnsi"/>
      <w:color w:val="595959" w:themeColor="text1" w:themeTint="0000A6"/>
      <w:kern w:val="2"/>
      <w:sz w:val="21"/>
      <w:szCs w:val="24"/>
      <w:lang w:val="en-US"/>
    </w:rPr>
  </w:style>
  <w:style w:type="paragraph" w:styleId="9">
    <w:name w:val="heading 9"/>
    <w:link w:val="90"/>
    <w:uiPriority w:val="9"/>
    <w:semiHidden w:val="1"/>
    <w:unhideWhenUsed w:val="1"/>
    <w:qFormat w:val="1"/>
    <w:rsid w:val="007B0B70"/>
    <w:pPr>
      <w:keepNext w:val="1"/>
      <w:keepLines w:val="1"/>
      <w:widowControl w:val="0"/>
      <w:outlineLvl w:val="8"/>
    </w:pPr>
    <w:rPr>
      <w:rFonts w:asciiTheme="minorHAnsi" w:cstheme="majorBidi" w:eastAsiaTheme="majorEastAsia" w:hAnsiTheme="minorHAnsi"/>
      <w:color w:val="595959" w:themeColor="text1" w:themeTint="0000A6"/>
      <w:kern w:val="2"/>
      <w:sz w:val="21"/>
      <w:szCs w:val="24"/>
      <w:lang w:val="en-US"/>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character" w:styleId="10" w:customStyle="1">
    <w:name w:val="标题 1 字符"/>
    <w:basedOn w:val="a0"/>
    <w:uiPriority w:val="9"/>
    <w:rsid w:val="007B0B70"/>
    <w:rPr>
      <w:rFonts w:asciiTheme="majorHAnsi" w:cstheme="majorBidi" w:eastAsiaTheme="majorEastAsia" w:hAnsiTheme="majorHAnsi"/>
      <w:color w:val="0f4761" w:themeColor="accent1" w:themeShade="0000BF"/>
      <w:sz w:val="48"/>
      <w:szCs w:val="48"/>
    </w:rPr>
  </w:style>
  <w:style w:type="character" w:styleId="20" w:customStyle="1">
    <w:name w:val="标题 2 字符"/>
    <w:basedOn w:val="a0"/>
    <w:uiPriority w:val="9"/>
    <w:semiHidden w:val="1"/>
    <w:rsid w:val="007B0B70"/>
    <w:rPr>
      <w:rFonts w:asciiTheme="majorHAnsi" w:cstheme="majorBidi" w:eastAsiaTheme="majorEastAsia" w:hAnsiTheme="majorHAnsi"/>
      <w:color w:val="0f4761" w:themeColor="accent1" w:themeShade="0000BF"/>
      <w:sz w:val="40"/>
      <w:szCs w:val="40"/>
    </w:rPr>
  </w:style>
  <w:style w:type="character" w:styleId="30" w:customStyle="1">
    <w:name w:val="标题 3 字符"/>
    <w:basedOn w:val="a0"/>
    <w:uiPriority w:val="9"/>
    <w:semiHidden w:val="1"/>
    <w:rsid w:val="007B0B70"/>
    <w:rPr>
      <w:rFonts w:asciiTheme="majorHAnsi" w:cstheme="majorBidi" w:eastAsiaTheme="majorEastAsia" w:hAnsiTheme="majorHAnsi"/>
      <w:color w:val="0f4761" w:themeColor="accent1" w:themeShade="0000BF"/>
      <w:sz w:val="32"/>
      <w:szCs w:val="32"/>
    </w:rPr>
  </w:style>
  <w:style w:type="character" w:styleId="40" w:customStyle="1">
    <w:name w:val="标题 4 字符"/>
    <w:basedOn w:val="a0"/>
    <w:uiPriority w:val="9"/>
    <w:semiHidden w:val="1"/>
    <w:rsid w:val="007B0B70"/>
    <w:rPr>
      <w:rFonts w:asciiTheme="minorHAnsi" w:cstheme="majorBidi" w:eastAsiaTheme="minorEastAsia" w:hAnsiTheme="minorHAnsi"/>
      <w:color w:val="0f4761" w:themeColor="accent1" w:themeShade="0000BF"/>
      <w:sz w:val="28"/>
      <w:szCs w:val="28"/>
    </w:rPr>
  </w:style>
  <w:style w:type="character" w:styleId="50" w:customStyle="1">
    <w:name w:val="标题 5 字符"/>
    <w:basedOn w:val="a0"/>
    <w:uiPriority w:val="9"/>
    <w:semiHidden w:val="1"/>
    <w:rsid w:val="007B0B70"/>
    <w:rPr>
      <w:rFonts w:asciiTheme="minorHAnsi" w:cstheme="majorBidi" w:eastAsiaTheme="minorEastAsia" w:hAnsiTheme="minorHAnsi"/>
      <w:color w:val="0f4761" w:themeColor="accent1" w:themeShade="0000BF"/>
      <w:sz w:val="24"/>
    </w:rPr>
  </w:style>
  <w:style w:type="character" w:styleId="60" w:customStyle="1">
    <w:name w:val="标题 6 字符"/>
    <w:basedOn w:val="a0"/>
    <w:uiPriority w:val="9"/>
    <w:semiHidden w:val="1"/>
    <w:rsid w:val="007B0B70"/>
    <w:rPr>
      <w:rFonts w:asciiTheme="minorHAnsi" w:cstheme="majorBidi" w:eastAsiaTheme="minorEastAsia" w:hAnsiTheme="minorHAnsi"/>
      <w:b w:val="1"/>
      <w:bCs w:val="1"/>
      <w:color w:val="0f4761" w:themeColor="accent1" w:themeShade="0000BF"/>
    </w:rPr>
  </w:style>
  <w:style w:type="character" w:styleId="70" w:customStyle="1">
    <w:name w:val="标题 7 字符"/>
    <w:basedOn w:val="a0"/>
    <w:link w:val="7"/>
    <w:uiPriority w:val="9"/>
    <w:semiHidden w:val="1"/>
    <w:rsid w:val="007B0B70"/>
    <w:rPr>
      <w:rFonts w:asciiTheme="minorHAnsi" w:cstheme="majorBidi" w:eastAsiaTheme="minorEastAsia" w:hAnsiTheme="minorHAnsi"/>
      <w:b w:val="1"/>
      <w:bCs w:val="1"/>
      <w:color w:val="595959" w:themeColor="text1" w:themeTint="0000A6"/>
    </w:rPr>
  </w:style>
  <w:style w:type="character" w:styleId="80" w:customStyle="1">
    <w:name w:val="标题 8 字符"/>
    <w:basedOn w:val="a0"/>
    <w:link w:val="8"/>
    <w:uiPriority w:val="9"/>
    <w:semiHidden w:val="1"/>
    <w:rsid w:val="007B0B70"/>
    <w:rPr>
      <w:rFonts w:asciiTheme="minorHAnsi" w:cstheme="majorBidi" w:eastAsiaTheme="minorEastAsia" w:hAnsiTheme="minorHAnsi"/>
      <w:color w:val="595959" w:themeColor="text1" w:themeTint="0000A6"/>
    </w:rPr>
  </w:style>
  <w:style w:type="character" w:styleId="90" w:customStyle="1">
    <w:name w:val="标题 9 字符"/>
    <w:basedOn w:val="a0"/>
    <w:link w:val="9"/>
    <w:uiPriority w:val="9"/>
    <w:semiHidden w:val="1"/>
    <w:rsid w:val="007B0B70"/>
    <w:rPr>
      <w:rFonts w:asciiTheme="minorHAnsi" w:cstheme="majorBidi" w:eastAsiaTheme="majorEastAsia" w:hAnsiTheme="minorHAnsi"/>
      <w:color w:val="595959" w:themeColor="text1" w:themeTint="0000A6"/>
    </w:rPr>
  </w:style>
  <w:style w:type="character" w:styleId="a4" w:customStyle="1">
    <w:name w:val="标题 字符"/>
    <w:basedOn w:val="a0"/>
    <w:uiPriority w:val="10"/>
    <w:rsid w:val="007B0B70"/>
    <w:rPr>
      <w:rFonts w:asciiTheme="majorHAnsi" w:cstheme="majorBidi" w:eastAsiaTheme="majorEastAsia" w:hAnsiTheme="majorHAnsi"/>
      <w:spacing w:val="-10"/>
      <w:kern w:val="28"/>
      <w:sz w:val="56"/>
      <w:szCs w:val="56"/>
    </w:rPr>
  </w:style>
  <w:style w:type="character" w:styleId="a5" w:customStyle="1">
    <w:name w:val="副标题 字符"/>
    <w:basedOn w:val="a0"/>
    <w:uiPriority w:val="11"/>
    <w:rsid w:val="007B0B70"/>
    <w:rPr>
      <w:rFonts w:asciiTheme="majorHAnsi" w:cstheme="majorBidi" w:eastAsiaTheme="majorEastAsia" w:hAnsiTheme="majorHAnsi"/>
      <w:color w:val="595959" w:themeColor="text1" w:themeTint="0000A6"/>
      <w:spacing w:val="15"/>
      <w:sz w:val="28"/>
      <w:szCs w:val="28"/>
    </w:rPr>
  </w:style>
  <w:style w:type="paragraph" w:styleId="a6">
    <w:name w:val="Quote"/>
    <w:link w:val="a7"/>
    <w:uiPriority w:val="29"/>
    <w:qFormat w:val="1"/>
    <w:rsid w:val="007B0B70"/>
    <w:pPr>
      <w:widowControl w:val="0"/>
      <w:spacing w:after="160" w:before="160"/>
      <w:jc w:val="center"/>
    </w:pPr>
    <w:rPr>
      <w:rFonts w:ascii="Times New Roman" w:cs="Times New Roman (正文 CS 字体)" w:eastAsia="宋体" w:hAnsi="Times New Roman"/>
      <w:i w:val="1"/>
      <w:iCs w:val="1"/>
      <w:color w:val="404040" w:themeColor="text1" w:themeTint="0000BF"/>
      <w:kern w:val="2"/>
      <w:sz w:val="21"/>
      <w:szCs w:val="24"/>
      <w:lang w:val="en-US"/>
    </w:rPr>
  </w:style>
  <w:style w:type="character" w:styleId="a7" w:customStyle="1">
    <w:name w:val="引用 字符"/>
    <w:basedOn w:val="a0"/>
    <w:link w:val="a6"/>
    <w:uiPriority w:val="29"/>
    <w:rsid w:val="007B0B70"/>
    <w:rPr>
      <w:i w:val="1"/>
      <w:iCs w:val="1"/>
      <w:color w:val="404040" w:themeColor="text1" w:themeTint="0000BF"/>
    </w:rPr>
  </w:style>
  <w:style w:type="paragraph" w:styleId="a8">
    <w:name w:val="List Paragraph"/>
    <w:uiPriority w:val="34"/>
    <w:qFormat w:val="1"/>
    <w:rsid w:val="007B0B70"/>
    <w:pPr>
      <w:widowControl w:val="0"/>
      <w:ind w:left="720"/>
      <w:contextualSpacing w:val="1"/>
    </w:pPr>
    <w:rPr>
      <w:rFonts w:ascii="Times New Roman" w:cs="Times New Roman (正文 CS 字体)" w:eastAsia="宋体" w:hAnsi="Times New Roman"/>
      <w:kern w:val="2"/>
      <w:sz w:val="21"/>
      <w:szCs w:val="24"/>
      <w:lang w:val="en-US"/>
    </w:rPr>
  </w:style>
  <w:style w:type="character" w:styleId="a9">
    <w:name w:val="Intense Emphasis"/>
    <w:basedOn w:val="a0"/>
    <w:uiPriority w:val="21"/>
    <w:qFormat w:val="1"/>
    <w:rsid w:val="007B0B70"/>
    <w:rPr>
      <w:i w:val="1"/>
      <w:iCs w:val="1"/>
      <w:color w:val="0f4761" w:themeColor="accent1" w:themeShade="0000BF"/>
    </w:rPr>
  </w:style>
  <w:style w:type="paragraph" w:styleId="aa">
    <w:name w:val="Intense Quote"/>
    <w:link w:val="ab"/>
    <w:uiPriority w:val="30"/>
    <w:qFormat w:val="1"/>
    <w:rsid w:val="007B0B70"/>
    <w:pPr>
      <w:widowControl w:val="0"/>
      <w:pBdr>
        <w:top w:color="0f4761" w:space="10" w:sz="4" w:themeColor="accent1" w:themeShade="0000BF" w:val="single"/>
        <w:bottom w:color="0f4761" w:space="10" w:sz="4" w:themeColor="accent1" w:themeShade="0000BF" w:val="single"/>
      </w:pBdr>
      <w:spacing w:after="360" w:before="360"/>
      <w:ind w:left="864" w:right="864"/>
      <w:jc w:val="center"/>
    </w:pPr>
    <w:rPr>
      <w:rFonts w:ascii="Times New Roman" w:cs="Times New Roman (正文 CS 字体)" w:eastAsia="宋体" w:hAnsi="Times New Roman"/>
      <w:i w:val="1"/>
      <w:iCs w:val="1"/>
      <w:color w:val="0f4761" w:themeColor="accent1" w:themeShade="0000BF"/>
      <w:kern w:val="2"/>
      <w:sz w:val="21"/>
      <w:szCs w:val="24"/>
      <w:lang w:val="en-US"/>
    </w:rPr>
  </w:style>
  <w:style w:type="character" w:styleId="ab" w:customStyle="1">
    <w:name w:val="明显引用 字符"/>
    <w:basedOn w:val="a0"/>
    <w:link w:val="aa"/>
    <w:uiPriority w:val="30"/>
    <w:rsid w:val="007B0B70"/>
    <w:rPr>
      <w:i w:val="1"/>
      <w:iCs w:val="1"/>
      <w:color w:val="0f4761" w:themeColor="accent1" w:themeShade="0000BF"/>
    </w:rPr>
  </w:style>
  <w:style w:type="character" w:styleId="ac">
    <w:name w:val="Intense Reference"/>
    <w:basedOn w:val="a0"/>
    <w:uiPriority w:val="32"/>
    <w:qFormat w:val="1"/>
    <w:rsid w:val="007B0B70"/>
    <w:rPr>
      <w:b w:val="1"/>
      <w:bCs w:val="1"/>
      <w:smallCaps w:val="1"/>
      <w:color w:val="0f4761" w:themeColor="accent1" w:themeShade="0000BF"/>
      <w:spacing w:val="5"/>
    </w:rPr>
  </w:style>
  <w:style w:type="table" w:styleId="TableNormal0" w:customStyle="1">
    <w:name w:val="TableNormal"/>
    <w:rsid w:val="007B0B70"/>
    <w:tblPr>
      <w:tblCellMar>
        <w:top w:w="0.0" w:type="dxa"/>
        <w:left w:w="0.0" w:type="dxa"/>
        <w:bottom w:w="0.0" w:type="dxa"/>
        <w:right w:w="0.0" w:type="dxa"/>
      </w:tblCellMar>
    </w:tblPr>
  </w:style>
  <w:style w:type="table" w:styleId="TableNormal1" w:customStyle="1">
    <w:name w:val="Table Normal"/>
    <w:rsid w:val="007B0B70"/>
    <w:tblPr>
      <w:tblCellMar>
        <w:top w:w="0.0" w:type="dxa"/>
        <w:left w:w="0.0" w:type="dxa"/>
        <w:bottom w:w="0.0" w:type="dxa"/>
        <w:right w:w="0.0" w:type="dxa"/>
      </w:tblCellMar>
    </w:tblPr>
  </w:style>
  <w:style w:type="character" w:styleId="ad">
    <w:name w:val="annotation reference"/>
    <w:rsid w:val="007B0B70"/>
    <w:rPr>
      <w:sz w:val="16"/>
      <w:szCs w:val="16"/>
    </w:rPr>
  </w:style>
  <w:style w:type="paragraph" w:styleId="ae">
    <w:name w:val="annotation text"/>
    <w:link w:val="af"/>
    <w:rsid w:val="007B0B70"/>
    <w:rPr>
      <w:sz w:val="20"/>
      <w:szCs w:val="20"/>
    </w:rPr>
  </w:style>
  <w:style w:type="character" w:styleId="af" w:customStyle="1">
    <w:name w:val="批注文字 字符"/>
    <w:basedOn w:val="a0"/>
    <w:link w:val="ae"/>
    <w:rsid w:val="007B0B70"/>
    <w:rPr>
      <w:rFonts w:ascii="Calibri" w:cs="Calibri" w:hAnsi="Calibri" w:eastAsiaTheme="minorEastAsia"/>
      <w:kern w:val="0"/>
      <w:sz w:val="20"/>
      <w:szCs w:val="20"/>
      <w:lang w:val="en-GB"/>
    </w:rPr>
  </w:style>
  <w:style w:type="paragraph" w:styleId="af0">
    <w:name w:val="Balloon Text"/>
    <w:link w:val="af1"/>
    <w:semiHidden w:val="1"/>
    <w:rsid w:val="007B0B70"/>
    <w:rPr>
      <w:rFonts w:ascii="Tahoma" w:cs="Tahoma" w:hAnsi="Tahoma"/>
      <w:sz w:val="16"/>
      <w:szCs w:val="16"/>
    </w:rPr>
  </w:style>
  <w:style w:type="character" w:styleId="af1" w:customStyle="1">
    <w:name w:val="批注框文本 字符"/>
    <w:basedOn w:val="a0"/>
    <w:link w:val="af0"/>
    <w:semiHidden w:val="1"/>
    <w:rsid w:val="007B0B70"/>
    <w:rPr>
      <w:rFonts w:ascii="Tahoma" w:cs="Tahoma" w:hAnsi="Tahoma" w:eastAsiaTheme="minorEastAsia"/>
      <w:kern w:val="0"/>
      <w:sz w:val="16"/>
      <w:szCs w:val="16"/>
      <w:lang w:val="en-GB"/>
    </w:rPr>
  </w:style>
  <w:style w:type="character" w:styleId="af2">
    <w:name w:val="Hyperlink"/>
    <w:rsid w:val="007B0B70"/>
    <w:rPr>
      <w:color w:val="0000ff"/>
      <w:u w:val="single"/>
    </w:rPr>
  </w:style>
  <w:style w:type="paragraph" w:styleId="af3">
    <w:name w:val="Normal (Web)"/>
    <w:uiPriority w:val="99"/>
    <w:rsid w:val="007B0B70"/>
    <w:pPr>
      <w:spacing w:after="100" w:afterAutospacing="1" w:before="100" w:beforeAutospacing="1"/>
    </w:pPr>
  </w:style>
  <w:style w:type="character" w:styleId="af4">
    <w:name w:val="Strong"/>
    <w:qFormat w:val="1"/>
    <w:rsid w:val="007B0B70"/>
    <w:rPr>
      <w:b w:val="1"/>
      <w:bCs w:val="1"/>
    </w:rPr>
  </w:style>
  <w:style w:type="character" w:styleId="journal-title" w:customStyle="1">
    <w:name w:val="journal-title"/>
    <w:rsid w:val="007B0B70"/>
  </w:style>
  <w:style w:type="paragraph" w:styleId="af5">
    <w:name w:val="annotation subject"/>
    <w:basedOn w:val="ae"/>
    <w:next w:val="ae"/>
    <w:link w:val="af6"/>
    <w:rsid w:val="007B0B70"/>
    <w:rPr>
      <w:b w:val="1"/>
      <w:bCs w:val="1"/>
    </w:rPr>
  </w:style>
  <w:style w:type="character" w:styleId="af6" w:customStyle="1">
    <w:name w:val="批注主题 字符"/>
    <w:basedOn w:val="af"/>
    <w:link w:val="af5"/>
    <w:rsid w:val="007B0B70"/>
    <w:rPr>
      <w:rFonts w:ascii="Calibri" w:cs="Calibri" w:hAnsi="Calibri" w:eastAsiaTheme="minorEastAsia"/>
      <w:b w:val="1"/>
      <w:bCs w:val="1"/>
      <w:kern w:val="0"/>
      <w:sz w:val="20"/>
      <w:szCs w:val="20"/>
      <w:lang w:val="en-GB"/>
    </w:rPr>
  </w:style>
  <w:style w:type="paragraph" w:styleId="ColorfulList-Accent11" w:customStyle="1">
    <w:name w:val="Colorful List - Accent 11"/>
    <w:uiPriority w:val="34"/>
    <w:qFormat w:val="1"/>
    <w:rsid w:val="007B0B70"/>
    <w:pPr>
      <w:ind w:left="720"/>
      <w:contextualSpacing w:val="1"/>
    </w:pPr>
  </w:style>
  <w:style w:type="character" w:styleId="fn" w:customStyle="1">
    <w:name w:val="fn"/>
    <w:basedOn w:val="a0"/>
    <w:rsid w:val="007B0B70"/>
  </w:style>
  <w:style w:type="character" w:styleId="year" w:customStyle="1">
    <w:name w:val="year"/>
    <w:basedOn w:val="a0"/>
    <w:rsid w:val="007B0B70"/>
  </w:style>
  <w:style w:type="character" w:styleId="af7">
    <w:name w:val="FollowedHyperlink"/>
    <w:rsid w:val="007B0B70"/>
    <w:rPr>
      <w:color w:val="800080"/>
      <w:u w:val="single"/>
    </w:rPr>
  </w:style>
  <w:style w:type="paragraph" w:styleId="af8">
    <w:name w:val="header"/>
    <w:link w:val="af9"/>
    <w:rsid w:val="007B0B70"/>
    <w:pPr>
      <w:tabs>
        <w:tab w:val="center" w:pos="4513"/>
        <w:tab w:val="right" w:pos="9026"/>
      </w:tabs>
    </w:pPr>
  </w:style>
  <w:style w:type="character" w:styleId="af9" w:customStyle="1">
    <w:name w:val="页眉 字符"/>
    <w:basedOn w:val="a0"/>
    <w:link w:val="af8"/>
    <w:rsid w:val="007B0B70"/>
    <w:rPr>
      <w:rFonts w:ascii="Calibri" w:cs="Calibri" w:hAnsi="Calibri" w:eastAsiaTheme="minorEastAsia"/>
      <w:kern w:val="0"/>
      <w:sz w:val="22"/>
      <w:szCs w:val="22"/>
      <w:lang w:val="en-GB"/>
    </w:rPr>
  </w:style>
  <w:style w:type="paragraph" w:styleId="afa">
    <w:name w:val="footer"/>
    <w:link w:val="afb"/>
    <w:uiPriority w:val="99"/>
    <w:rsid w:val="007B0B70"/>
    <w:pPr>
      <w:tabs>
        <w:tab w:val="center" w:pos="4513"/>
        <w:tab w:val="right" w:pos="9026"/>
      </w:tabs>
    </w:pPr>
  </w:style>
  <w:style w:type="character" w:styleId="afb" w:customStyle="1">
    <w:name w:val="页脚 字符"/>
    <w:basedOn w:val="a0"/>
    <w:link w:val="afa"/>
    <w:uiPriority w:val="99"/>
    <w:rsid w:val="007B0B70"/>
    <w:rPr>
      <w:rFonts w:ascii="Calibri" w:cs="Calibri" w:hAnsi="Calibri" w:eastAsiaTheme="minorEastAsia"/>
      <w:kern w:val="0"/>
      <w:sz w:val="22"/>
      <w:szCs w:val="22"/>
      <w:lang w:val="en-GB"/>
    </w:rPr>
  </w:style>
  <w:style w:type="character" w:styleId="afc">
    <w:name w:val="Emphasis"/>
    <w:basedOn w:val="a0"/>
    <w:uiPriority w:val="20"/>
    <w:qFormat w:val="1"/>
    <w:rsid w:val="007B0B70"/>
    <w:rPr>
      <w:i w:val="1"/>
      <w:iCs w:val="1"/>
    </w:rPr>
  </w:style>
  <w:style w:type="character" w:styleId="afd">
    <w:name w:val="line number"/>
    <w:basedOn w:val="a0"/>
    <w:semiHidden w:val="1"/>
    <w:unhideWhenUsed w:val="1"/>
    <w:rsid w:val="007B0B70"/>
  </w:style>
  <w:style w:type="character" w:styleId="afe">
    <w:name w:val="Unresolved Mention"/>
    <w:basedOn w:val="a0"/>
    <w:uiPriority w:val="99"/>
    <w:semiHidden w:val="1"/>
    <w:unhideWhenUsed w:val="1"/>
    <w:rsid w:val="007B0B70"/>
    <w:rPr>
      <w:color w:val="605e5c"/>
      <w:shd w:color="auto" w:fill="e1dfdd" w:val="clear"/>
    </w:rPr>
  </w:style>
  <w:style w:type="table" w:styleId="aff">
    <w:name w:val="Table Grid"/>
    <w:basedOn w:val="a1"/>
    <w:rsid w:val="007B0B7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61">
    <w:name w:val="List Table 6 Colorful"/>
    <w:basedOn w:val="a1"/>
    <w:uiPriority w:val="51"/>
    <w:rsid w:val="007B0B70"/>
    <w:rPr>
      <w:color w:val="000000" w:themeColor="text1"/>
    </w:rPr>
    <w:tblPr>
      <w:tblStyleRowBandSize w:val="1"/>
      <w:tblStyleColBandSize w:val="1"/>
      <w:tblBorders>
        <w:top w:color="000000" w:space="0" w:sz="4" w:themeColor="text1" w:val="single"/>
        <w:bottom w:color="000000" w:space="0" w:sz="4" w:themeColor="text1" w:val="single"/>
      </w:tblBorders>
    </w:tblPr>
    <w:tblStylePr w:type="firstRow">
      <w:rPr>
        <w:b w:val="1"/>
        <w:bCs w:val="1"/>
      </w:rPr>
      <w:tblPr/>
      <w:tcPr>
        <w:tcBorders>
          <w:bottom w:color="000000" w:space="0" w:sz="4" w:themeColor="text1" w:val="single"/>
        </w:tcBorders>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31">
    <w:name w:val="List Table 3"/>
    <w:basedOn w:val="a1"/>
    <w:uiPriority w:val="48"/>
    <w:rsid w:val="007B0B70"/>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tblBorders>
    </w:tblPr>
    <w:tblStylePr w:type="firstRow">
      <w:rPr>
        <w:b w:val="1"/>
        <w:bCs w:val="1"/>
        <w:color w:val="ffffff" w:themeColor="background1"/>
      </w:rPr>
      <w:tblPr/>
      <w:tcPr>
        <w:shd w:color="auto" w:fill="000000" w:themeFill="text1" w:val="clear"/>
      </w:tcPr>
    </w:tblStylePr>
    <w:tblStylePr w:type="lastRow">
      <w:rPr>
        <w:b w:val="1"/>
        <w:bCs w:val="1"/>
      </w:rPr>
      <w:tblPr/>
      <w:tcPr>
        <w:tcBorders>
          <w:top w:color="000000" w:space="0" w:sz="4" w:themeColor="tex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000000" w:space="0" w:sz="4" w:themeColor="text1" w:val="single"/>
          <w:right w:color="000000" w:space="0" w:sz="4" w:themeColor="text1" w:val="single"/>
        </w:tcBorders>
      </w:tcPr>
    </w:tblStylePr>
    <w:tblStylePr w:type="band1Horz">
      <w:tblPr/>
      <w:tcPr>
        <w:tcBorders>
          <w:top w:color="000000" w:space="0" w:sz="4" w:themeColor="text1" w:val="single"/>
          <w:bottom w:color="000000" w:space="0" w:sz="4" w:themeColor="tex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000000" w:space="0" w:sz="4" w:themeColor="text1" w:val="double"/>
          <w:left w:space="0" w:sz="0" w:val="nil"/>
        </w:tcBorders>
      </w:tcPr>
    </w:tblStylePr>
    <w:tblStylePr w:type="swCell">
      <w:tblPr/>
      <w:tcPr>
        <w:tcBorders>
          <w:top w:color="000000" w:space="0" w:sz="4" w:themeColor="text1" w:val="double"/>
          <w:right w:space="0" w:sz="0" w:val="nil"/>
        </w:tcBorders>
      </w:tcPr>
    </w:tblStylePr>
  </w:style>
  <w:style w:type="table" w:styleId="41">
    <w:name w:val="List Table 4"/>
    <w:basedOn w:val="a1"/>
    <w:uiPriority w:val="49"/>
    <w:rsid w:val="007B0B70"/>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tcBorders>
        <w:shd w:color="auto" w:fill="000000" w:themeFill="text1" w:val="clear"/>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4-6">
    <w:name w:val="List Table 4 Accent 6"/>
    <w:basedOn w:val="a1"/>
    <w:uiPriority w:val="49"/>
    <w:rsid w:val="007B0B70"/>
    <w:tblPr>
      <w:tblStyleRowBandSize w:val="1"/>
      <w:tblStyleColBandSize w:val="1"/>
      <w:tblBorders>
        <w:top w:color="8dd873" w:space="0" w:sz="4" w:themeColor="accent6" w:themeTint="000099" w:val="single"/>
        <w:left w:color="8dd873" w:space="0" w:sz="4" w:themeColor="accent6" w:themeTint="000099" w:val="single"/>
        <w:bottom w:color="8dd873" w:space="0" w:sz="4" w:themeColor="accent6" w:themeTint="000099" w:val="single"/>
        <w:right w:color="8dd873" w:space="0" w:sz="4" w:themeColor="accent6" w:themeTint="000099" w:val="single"/>
        <w:insideH w:color="8dd873" w:space="0" w:sz="4" w:themeColor="accent6" w:themeTint="000099" w:val="single"/>
      </w:tblBorders>
    </w:tblPr>
    <w:tblStylePr w:type="firstRow">
      <w:rPr>
        <w:b w:val="1"/>
        <w:bCs w:val="1"/>
        <w:color w:val="ffffff" w:themeColor="background1"/>
      </w:rPr>
      <w:tblPr/>
      <w:tcPr>
        <w:tcBorders>
          <w:top w:color="4ea72e" w:space="0" w:sz="4" w:themeColor="accent6" w:val="single"/>
          <w:left w:color="4ea72e" w:space="0" w:sz="4" w:themeColor="accent6" w:val="single"/>
          <w:bottom w:color="4ea72e" w:space="0" w:sz="4" w:themeColor="accent6" w:val="single"/>
          <w:right w:color="4ea72e" w:space="0" w:sz="4" w:themeColor="accent6" w:val="single"/>
          <w:insideH w:space="0" w:sz="0" w:val="nil"/>
        </w:tcBorders>
        <w:shd w:color="auto" w:fill="4ea72e" w:themeFill="accent6" w:val="clear"/>
      </w:tcPr>
    </w:tblStylePr>
    <w:tblStylePr w:type="lastRow">
      <w:rPr>
        <w:b w:val="1"/>
        <w:bCs w:val="1"/>
      </w:rPr>
      <w:tblPr/>
      <w:tcPr>
        <w:tcBorders>
          <w:top w:color="8dd873"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d9f2d0" w:themeFill="accent6" w:themeFillTint="000033" w:val="clear"/>
      </w:tcPr>
    </w:tblStylePr>
    <w:tblStylePr w:type="band1Horz">
      <w:tblPr/>
      <w:tcPr>
        <w:shd w:color="auto" w:fill="d9f2d0" w:themeFill="accent6" w:themeFillTint="000033" w:val="clear"/>
      </w:tcPr>
    </w:tblStylePr>
  </w:style>
  <w:style w:type="table" w:styleId="3-6">
    <w:name w:val="List Table 3 Accent 6"/>
    <w:basedOn w:val="a1"/>
    <w:uiPriority w:val="48"/>
    <w:rsid w:val="007B0B70"/>
    <w:tblPr>
      <w:tblStyleRowBandSize w:val="1"/>
      <w:tblStyleColBandSize w:val="1"/>
      <w:tblBorders>
        <w:top w:color="4ea72e" w:space="0" w:sz="4" w:themeColor="accent6" w:val="single"/>
        <w:left w:color="4ea72e" w:space="0" w:sz="4" w:themeColor="accent6" w:val="single"/>
        <w:bottom w:color="4ea72e" w:space="0" w:sz="4" w:themeColor="accent6" w:val="single"/>
        <w:right w:color="4ea72e" w:space="0" w:sz="4" w:themeColor="accent6" w:val="single"/>
      </w:tblBorders>
    </w:tblPr>
    <w:tblStylePr w:type="firstRow">
      <w:rPr>
        <w:b w:val="1"/>
        <w:bCs w:val="1"/>
        <w:color w:val="ffffff" w:themeColor="background1"/>
      </w:rPr>
      <w:tblPr/>
      <w:tcPr>
        <w:shd w:color="auto" w:fill="4ea72e" w:themeFill="accent6" w:val="clear"/>
      </w:tcPr>
    </w:tblStylePr>
    <w:tblStylePr w:type="lastRow">
      <w:rPr>
        <w:b w:val="1"/>
        <w:bCs w:val="1"/>
      </w:rPr>
      <w:tblPr/>
      <w:tcPr>
        <w:tcBorders>
          <w:top w:color="4ea72e" w:space="0" w:sz="4" w:themeColor="accent6"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4ea72e" w:space="0" w:sz="4" w:themeColor="accent6" w:val="single"/>
          <w:right w:color="4ea72e" w:space="0" w:sz="4" w:themeColor="accent6" w:val="single"/>
        </w:tcBorders>
      </w:tcPr>
    </w:tblStylePr>
    <w:tblStylePr w:type="band1Horz">
      <w:tblPr/>
      <w:tcPr>
        <w:tcBorders>
          <w:top w:color="4ea72e" w:space="0" w:sz="4" w:themeColor="accent6" w:val="single"/>
          <w:bottom w:color="4ea72e" w:space="0" w:sz="4" w:themeColor="accent6"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4ea72e" w:space="0" w:sz="4" w:themeColor="accent6" w:val="double"/>
          <w:left w:space="0" w:sz="0" w:val="nil"/>
        </w:tcBorders>
      </w:tcPr>
    </w:tblStylePr>
    <w:tblStylePr w:type="swCell">
      <w:tblPr/>
      <w:tcPr>
        <w:tcBorders>
          <w:top w:color="4ea72e" w:space="0" w:sz="4" w:themeColor="accent6" w:val="double"/>
          <w:right w:space="0" w:sz="0" w:val="nil"/>
        </w:tcBorders>
      </w:tcPr>
    </w:tblStylePr>
  </w:style>
  <w:style w:type="table" w:styleId="4-60">
    <w:name w:val="Grid Table 4 Accent 6"/>
    <w:basedOn w:val="a1"/>
    <w:uiPriority w:val="49"/>
    <w:rsid w:val="007B0B70"/>
    <w:tblPr>
      <w:tblStyleRowBandSize w:val="1"/>
      <w:tblStyleColBandSize w:val="1"/>
      <w:tblBorders>
        <w:top w:color="8dd873" w:space="0" w:sz="4" w:themeColor="accent6" w:themeTint="000099" w:val="single"/>
        <w:left w:color="8dd873" w:space="0" w:sz="4" w:themeColor="accent6" w:themeTint="000099" w:val="single"/>
        <w:bottom w:color="8dd873" w:space="0" w:sz="4" w:themeColor="accent6" w:themeTint="000099" w:val="single"/>
        <w:right w:color="8dd873" w:space="0" w:sz="4" w:themeColor="accent6" w:themeTint="000099" w:val="single"/>
        <w:insideH w:color="8dd873" w:space="0" w:sz="4" w:themeColor="accent6" w:themeTint="000099" w:val="single"/>
        <w:insideV w:color="8dd873" w:space="0" w:sz="4" w:themeColor="accent6" w:themeTint="000099" w:val="single"/>
      </w:tblBorders>
    </w:tblPr>
    <w:tblStylePr w:type="firstRow">
      <w:rPr>
        <w:b w:val="1"/>
        <w:bCs w:val="1"/>
        <w:color w:val="ffffff" w:themeColor="background1"/>
      </w:rPr>
      <w:tblPr/>
      <w:tcPr>
        <w:tcBorders>
          <w:top w:color="4ea72e" w:space="0" w:sz="4" w:themeColor="accent6" w:val="single"/>
          <w:left w:color="4ea72e" w:space="0" w:sz="4" w:themeColor="accent6" w:val="single"/>
          <w:bottom w:color="4ea72e" w:space="0" w:sz="4" w:themeColor="accent6" w:val="single"/>
          <w:right w:color="4ea72e" w:space="0" w:sz="4" w:themeColor="accent6" w:val="single"/>
          <w:insideH w:space="0" w:sz="0" w:val="nil"/>
          <w:insideV w:space="0" w:sz="0" w:val="nil"/>
        </w:tcBorders>
        <w:shd w:color="auto" w:fill="4ea72e" w:themeFill="accent6" w:val="clear"/>
      </w:tcPr>
    </w:tblStylePr>
    <w:tblStylePr w:type="lastRow">
      <w:rPr>
        <w:b w:val="1"/>
        <w:bCs w:val="1"/>
      </w:rPr>
      <w:tblPr/>
      <w:tcPr>
        <w:tcBorders>
          <w:top w:color="4ea72e" w:space="0" w:sz="4" w:themeColor="accent6" w:val="double"/>
        </w:tcBorders>
      </w:tcPr>
    </w:tblStylePr>
    <w:tblStylePr w:type="firstCol">
      <w:rPr>
        <w:b w:val="1"/>
        <w:bCs w:val="1"/>
      </w:rPr>
    </w:tblStylePr>
    <w:tblStylePr w:type="lastCol">
      <w:rPr>
        <w:b w:val="1"/>
        <w:bCs w:val="1"/>
      </w:rPr>
    </w:tblStylePr>
    <w:tblStylePr w:type="band1Vert">
      <w:tblPr/>
      <w:tcPr>
        <w:shd w:color="auto" w:fill="d9f2d0" w:themeFill="accent6" w:themeFillTint="000033" w:val="clear"/>
      </w:tcPr>
    </w:tblStylePr>
    <w:tblStylePr w:type="band1Horz">
      <w:tblPr/>
      <w:tcPr>
        <w:shd w:color="auto" w:fill="d9f2d0" w:themeFill="accent6" w:themeFillTint="000033" w:val="clear"/>
      </w:tcPr>
    </w:tblStylePr>
  </w:style>
  <w:style w:type="paragraph" w:styleId="EndNoteBibliographyTitle" w:customStyle="1">
    <w:name w:val="EndNote Bibliography Title"/>
    <w:link w:val="EndNoteBibliographyTitle0"/>
    <w:rsid w:val="007B0B70"/>
    <w:pPr>
      <w:jc w:val="center"/>
    </w:pPr>
  </w:style>
  <w:style w:type="character" w:styleId="EndNoteBibliographyTitle0" w:customStyle="1">
    <w:name w:val="EndNote Bibliography Title 字符"/>
    <w:basedOn w:val="a0"/>
    <w:link w:val="EndNoteBibliographyTitle"/>
    <w:rsid w:val="007B0B70"/>
    <w:rPr>
      <w:rFonts w:ascii="Calibri" w:cs="Calibri" w:hAnsi="Calibri" w:eastAsiaTheme="minorEastAsia"/>
      <w:kern w:val="0"/>
      <w:sz w:val="22"/>
      <w:szCs w:val="22"/>
      <w:lang w:val="en-GB"/>
    </w:rPr>
  </w:style>
  <w:style w:type="paragraph" w:styleId="EndNoteBibliography" w:customStyle="1">
    <w:name w:val="EndNote Bibliography"/>
    <w:link w:val="EndNoteBibliography0"/>
    <w:rsid w:val="007B0B70"/>
  </w:style>
  <w:style w:type="character" w:styleId="EndNoteBibliography0" w:customStyle="1">
    <w:name w:val="EndNote Bibliography 字符"/>
    <w:basedOn w:val="a0"/>
    <w:link w:val="EndNoteBibliography"/>
    <w:rsid w:val="007B0B70"/>
    <w:rPr>
      <w:rFonts w:ascii="Calibri" w:cs="Calibri" w:hAnsi="Calibri" w:eastAsiaTheme="minorEastAsia"/>
      <w:kern w:val="0"/>
      <w:sz w:val="22"/>
      <w:szCs w:val="22"/>
      <w:lang w:val="en-GB"/>
    </w:rPr>
  </w:style>
  <w:style w:type="paragraph" w:styleId="aff0">
    <w:name w:val="Bibliography"/>
    <w:uiPriority w:val="37"/>
    <w:unhideWhenUsed w:val="1"/>
    <w:rsid w:val="007B0B70"/>
    <w:pPr>
      <w:tabs>
        <w:tab w:val="left" w:pos="260"/>
      </w:tabs>
      <w:spacing w:line="480" w:lineRule="auto"/>
      <w:ind w:left="264" w:hanging="264"/>
    </w:pPr>
  </w:style>
  <w:style w:type="table" w:styleId="aff2" w:customStyle="1">
    <w:basedOn w:val="TableNormal0"/>
    <w:tblPr>
      <w:tblStyleRowBandSize w:val="1"/>
      <w:tblStyleColBandSize w:val="1"/>
      <w:tblCellMar>
        <w:left w:w="115.0" w:type="dxa"/>
        <w:right w:w="115.0" w:type="dxa"/>
      </w:tblCellMar>
    </w:tblPr>
  </w:style>
  <w:style w:type="table" w:styleId="aff3" w:customStyle="1">
    <w:basedOn w:val="TableNormal0"/>
    <w:tblPr>
      <w:tblStyleRowBandSize w:val="1"/>
      <w:tblStyleColBandSize w:val="1"/>
      <w:tblCellMar>
        <w:left w:w="115.0" w:type="dxa"/>
        <w:right w:w="115.0" w:type="dxa"/>
      </w:tblCellMar>
    </w:tblPr>
  </w:style>
  <w:style w:type="table" w:styleId="aff4" w:customStyle="1">
    <w:basedOn w:val="TableNormal0"/>
    <w:tblPr>
      <w:tblStyleRowBandSize w:val="1"/>
      <w:tblStyleColBandSize w:val="1"/>
      <w:tblCellMar>
        <w:left w:w="115.0" w:type="dxa"/>
        <w:right w:w="115.0" w:type="dxa"/>
      </w:tblCellMar>
    </w:tblPr>
  </w:style>
  <w:style w:type="table" w:styleId="aff5" w:customStyle="1">
    <w:basedOn w:val="TableNormal0"/>
    <w:tblPr>
      <w:tblStyleRowBandSize w:val="1"/>
      <w:tblStyleColBandSize w:val="1"/>
      <w:tblCellMar>
        <w:left w:w="115.0" w:type="dxa"/>
        <w:right w:w="115.0" w:type="dxa"/>
      </w:tblCellMar>
    </w:tblPr>
  </w:style>
  <w:style w:type="table" w:styleId="aff6" w:customStyle="1">
    <w:basedOn w:val="TableNormal0"/>
    <w:tblPr>
      <w:tblStyleRowBandSize w:val="1"/>
      <w:tblStyleColBandSize w:val="1"/>
      <w:tblCellMar>
        <w:left w:w="115.0" w:type="dxa"/>
        <w:right w:w="115.0" w:type="dxa"/>
      </w:tblCellMar>
    </w:tblPr>
  </w:style>
  <w:style w:type="table" w:styleId="aff7"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widowControl w:val="0"/>
      <w:spacing w:after="160" w:lineRule="auto"/>
      <w:jc w:val="center"/>
    </w:pPr>
    <w:rPr>
      <w:rFonts w:ascii="等线 Light" w:cs="等线 Light" w:eastAsia="等线 Light" w:hAnsi="等线 Light"/>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png"/><Relationship Id="rId13" Type="http://schemas.openxmlformats.org/officeDocument/2006/relationships/image" Target="media/image2.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footer" Target="footer1.xml"/><Relationship Id="rId14" Type="http://schemas.openxmlformats.org/officeDocument/2006/relationships/header" Target="head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k4WMq5gznPGIrQdZqIRMcGNOfA==">CgMxLjAyDmguNDFuZHRxajNkMHB0Mg5oLnIxeTVwaGYxODk4bjgAaiQKFHN1Z2dlc3Qua2xkeWRuaTF5YjF3EgxKdWhhIE1lcmlsw6RqJAoUc3VnZ2VzdC5wbnY5NWFzb2pwc3USDEp1aGEgTWVyaWzDpGokChRzdWdnZXN0LjU5cWpkeDJzbGh6NhIMSnVoYSBNZXJpbMOkaiQKFHN1Z2dlc3QudzFtdGNkOGIxbzR3EgxKdWhhIE1lcmlsw6RyITFqRUYtOW9STVFzT1lkcTlKZ09ER1djLXo1Y2QxUGpl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2025-06-27T06:37:00Z</dcterms:created>
  <dc:creator>Cecilia Xi Wang</dc:creator>
</cp:coreProperties>
</file>