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F1" w:rsidRDefault="007B1FE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Table </w:t>
      </w:r>
      <w:proofErr w:type="gramStart"/>
      <w:r>
        <w:rPr>
          <w:b/>
          <w:bCs/>
          <w:lang w:val="en-US"/>
        </w:rPr>
        <w:t>1 :</w:t>
      </w:r>
      <w:proofErr w:type="gramEnd"/>
      <w:r>
        <w:rPr>
          <w:b/>
          <w:bCs/>
          <w:lang w:val="en-US"/>
        </w:rPr>
        <w:t xml:space="preserve"> Description of the TF123 and CPCBN cohorts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807"/>
        <w:gridCol w:w="1134"/>
        <w:gridCol w:w="1689"/>
      </w:tblGrid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CA"/>
              </w:rPr>
            </w:pPr>
            <w:r>
              <w:rPr>
                <w:b/>
                <w:bCs/>
              </w:rPr>
              <w:t>PARAMETERS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CA"/>
              </w:rPr>
            </w:pPr>
            <w:r>
              <w:rPr>
                <w:b/>
                <w:bCs/>
              </w:rPr>
              <w:t>TF123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CA"/>
              </w:rPr>
            </w:pPr>
            <w:r>
              <w:rPr>
                <w:b/>
                <w:bCs/>
              </w:rPr>
              <w:t>CPCBN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CA"/>
              </w:rPr>
            </w:pPr>
            <w:proofErr w:type="spellStart"/>
            <w:r>
              <w:rPr>
                <w:b/>
                <w:bCs/>
              </w:rPr>
              <w:t>Number</w:t>
            </w:r>
            <w:proofErr w:type="spellEnd"/>
            <w:r>
              <w:rPr>
                <w:b/>
                <w:bCs/>
              </w:rPr>
              <w:t xml:space="preserve"> of patients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eastAsia="fr-CA"/>
              </w:rPr>
            </w:pPr>
            <w:r>
              <w:t>285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eastAsia="fr-CA"/>
              </w:rPr>
            </w:pPr>
            <w:r>
              <w:t>1562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>Mean age at diagnosis (years)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62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>Median follow-up (months)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116.5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>Biochemical recurrence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511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>Bone Metastasis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65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>Castrate resistant status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74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 xml:space="preserve">Presence of positive margins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509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 xml:space="preserve">RP Gleason score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m:oMath>
              <m:r>
                <w:rPr>
                  <w:rFonts w:ascii="Cambria Math" w:hAnsi="Cambria Math"/>
                  <w:lang w:val="en-US"/>
                </w:rPr>
                <m:t>≤</m:t>
              </m:r>
            </m:oMath>
            <w:r>
              <w:rPr>
                <w:lang w:val="en-US"/>
              </w:rPr>
              <w:t>3+3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456</w:t>
            </w: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lang w:val="en-US"/>
              </w:rPr>
              <w:t>3+4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603</w:t>
            </w: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lang w:val="en-US"/>
              </w:rPr>
              <w:t>4+3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230</w:t>
            </w: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m:oMath>
              <m:r>
                <w:rPr>
                  <w:rFonts w:ascii="Cambria Math" w:hAnsi="Cambria Math"/>
                  <w:lang w:val="en-US"/>
                </w:rPr>
                <m:t>≥</m:t>
              </m:r>
            </m:oMath>
            <w:r>
              <w:rPr>
                <w:lang w:val="en-US"/>
              </w:rPr>
              <w:t>4+4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211</w:t>
            </w: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lang w:val="en-US"/>
              </w:rPr>
              <w:t>Undetermined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12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>Biochemical recurrence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PSA&gt;0.2ng/ml and rising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319</w:t>
            </w: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Failed RP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101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>Pathological staging of the primary tumor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pT2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959</w:t>
            </w: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pT3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530</w:t>
            </w: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pT4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23</w:t>
            </w:r>
          </w:p>
        </w:tc>
      </w:tr>
      <w:tr w:rsidR="007B1FEF" w:rsidTr="007B1FEF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CA"/>
              </w:rPr>
            </w:pPr>
            <w:r>
              <w:rPr>
                <w:b/>
                <w:bCs/>
                <w:lang w:val="en-US"/>
              </w:rPr>
              <w:t>Death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Prostate cancer specific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39</w:t>
            </w: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Other cause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136</w:t>
            </w:r>
          </w:p>
        </w:tc>
      </w:tr>
      <w:tr w:rsidR="007B1FEF" w:rsidTr="007B1FEF"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EF" w:rsidRDefault="007B1FEF">
            <w:pPr>
              <w:jc w:val="center"/>
              <w:rPr>
                <w:rFonts w:ascii="Times New Roman" w:eastAsia="Times New Roman" w:hAnsi="Times New Roman" w:cs="Times New Roman"/>
                <w:lang w:val="en-US" w:eastAsia="fr-CA"/>
              </w:rPr>
            </w:pPr>
            <w:r>
              <w:rPr>
                <w:lang w:val="en-US"/>
              </w:rPr>
              <w:t>176</w:t>
            </w:r>
          </w:p>
        </w:tc>
      </w:tr>
    </w:tbl>
    <w:p w:rsidR="007B1FEF" w:rsidRDefault="007B1FEF">
      <w:pPr>
        <w:rPr>
          <w:b/>
          <w:bCs/>
          <w:lang w:val="en-US"/>
        </w:rPr>
      </w:pPr>
    </w:p>
    <w:p w:rsidR="007B1FEF" w:rsidRDefault="007B1FEF" w:rsidP="007B1FEF">
      <w:pPr>
        <w:jc w:val="both"/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t xml:space="preserve">Table 2 : Univariate and multivariate Cox regression analyses predicting biochemical recurrence (BCR) in the TF123 and CPCBN cohorts TMA after 5-years follow-up. </w:t>
      </w:r>
    </w:p>
    <w:p w:rsidR="007B1FEF" w:rsidRDefault="007B1FEF" w:rsidP="007B1FEF">
      <w:pPr>
        <w:jc w:val="both"/>
        <w:rPr>
          <w:b/>
          <w:bCs/>
          <w:noProof/>
          <w:lang w:val="en-US"/>
        </w:rPr>
      </w:pPr>
      <w:r>
        <w:rPr>
          <w:noProof/>
          <w:lang w:eastAsia="en-IN"/>
        </w:rPr>
        <w:drawing>
          <wp:inline distT="0" distB="0" distL="0" distR="0" wp14:anchorId="5DCEB1C9" wp14:editId="29EBD675">
            <wp:extent cx="5731510" cy="2716344"/>
            <wp:effectExtent l="0" t="0" r="254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FEF" w:rsidRDefault="007B1FEF" w:rsidP="007B1FEF">
      <w:pPr>
        <w:jc w:val="both"/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lastRenderedPageBreak/>
        <w:t xml:space="preserve">Table 3 : Univariate and multivariate Cox regression analyses predicting bone metastasis developement in the TF123 and CPCBN TMA cohorts after 10 years of follow-up. </w:t>
      </w:r>
    </w:p>
    <w:p w:rsidR="007B1FEF" w:rsidRDefault="007B1FEF" w:rsidP="007B1FEF">
      <w:pPr>
        <w:jc w:val="both"/>
        <w:rPr>
          <w:b/>
          <w:bCs/>
          <w:noProof/>
          <w:lang w:val="en-US"/>
        </w:rPr>
      </w:pPr>
      <w:r>
        <w:rPr>
          <w:noProof/>
          <w:lang w:eastAsia="en-IN"/>
        </w:rPr>
        <w:drawing>
          <wp:inline distT="0" distB="0" distL="0" distR="0" wp14:anchorId="2F358EAF" wp14:editId="508D69FE">
            <wp:extent cx="5731510" cy="3336645"/>
            <wp:effectExtent l="0" t="0" r="254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FEF" w:rsidRDefault="007B1FEF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t>Table 4 : Univariate and multivariate Cox regression analyses predicting prostate cancer-specific mortality in the TF123 and CPCBN TMA cohorts after overall follow-up.</w:t>
      </w:r>
    </w:p>
    <w:p w:rsidR="007B1FEF" w:rsidRDefault="007B1FEF">
      <w:r>
        <w:rPr>
          <w:noProof/>
          <w:lang w:eastAsia="en-IN"/>
        </w:rPr>
        <w:drawing>
          <wp:inline distT="0" distB="0" distL="0" distR="0" wp14:anchorId="7083AA4C" wp14:editId="72AAF92B">
            <wp:extent cx="5731510" cy="3146207"/>
            <wp:effectExtent l="0" t="0" r="254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1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EF"/>
    <w:rsid w:val="004F61F1"/>
    <w:rsid w:val="007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FEF"/>
    <w:pPr>
      <w:spacing w:after="0" w:line="240" w:lineRule="auto"/>
    </w:pPr>
    <w:rPr>
      <w:sz w:val="24"/>
      <w:szCs w:val="24"/>
      <w:lang w:val="fr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FEF"/>
    <w:pPr>
      <w:spacing w:after="0" w:line="240" w:lineRule="auto"/>
    </w:pPr>
    <w:rPr>
      <w:sz w:val="24"/>
      <w:szCs w:val="24"/>
      <w:lang w:val="fr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Kamble, Siddharth, Crest</dc:creator>
  <cp:lastModifiedBy>Kamble, Siddharth, Crest</cp:lastModifiedBy>
  <cp:revision>1</cp:revision>
  <dcterms:created xsi:type="dcterms:W3CDTF">2020-10-09T04:46:00Z</dcterms:created>
  <dcterms:modified xsi:type="dcterms:W3CDTF">2020-10-09T04:48:00Z</dcterms:modified>
</cp:coreProperties>
</file>