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0F79" w14:textId="77777777" w:rsidR="00CB2C21" w:rsidRPr="002D1E05" w:rsidRDefault="00CB2C21" w:rsidP="00CB2C21">
      <w:pPr>
        <w:rPr>
          <w:lang w:val="en-US"/>
        </w:rPr>
      </w:pPr>
      <w:r w:rsidRPr="002D1E05">
        <w:rPr>
          <w:noProof/>
          <w:lang w:val="en-US"/>
        </w:rPr>
        <w:drawing>
          <wp:inline distT="0" distB="0" distL="0" distR="0" wp14:anchorId="2E2DB7E8" wp14:editId="12F10226">
            <wp:extent cx="5779008" cy="6072545"/>
            <wp:effectExtent l="0" t="0" r="0" b="0"/>
            <wp:docPr id="12574154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41542" name="Grafik 1"/>
                    <pic:cNvPicPr/>
                  </pic:nvPicPr>
                  <pic:blipFill rotWithShape="1">
                    <a:blip r:embed="rId4"/>
                    <a:srcRect t="2720" b="23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136" cy="6096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F7133" w14:textId="77777777" w:rsidR="00CB2C21" w:rsidRPr="002D1E05" w:rsidRDefault="00CB2C21" w:rsidP="00CB2C21">
      <w:pPr>
        <w:rPr>
          <w:lang w:val="en-US"/>
        </w:rPr>
      </w:pPr>
    </w:p>
    <w:p w14:paraId="7F50638B" w14:textId="62F116F3" w:rsidR="00CB2C21" w:rsidRPr="002D1E05" w:rsidRDefault="00CB2C21" w:rsidP="00E42300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2D1E05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Supplementary Figure 1. Cytotoxicity and CAR T expansion of CAR</w:t>
      </w:r>
      <w:r w:rsidRPr="002D1E05">
        <w:rPr>
          <w:rFonts w:ascii="Arial" w:hAnsi="Arial" w:cs="Arial"/>
          <w:b/>
          <w:bCs/>
          <w:i/>
          <w:iCs/>
          <w:sz w:val="20"/>
          <w:szCs w:val="20"/>
          <w:vertAlign w:val="superscript"/>
          <w:lang w:val="en-US"/>
        </w:rPr>
        <w:t>hinge</w:t>
      </w:r>
      <w:r w:rsidRPr="002D1E05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8 and CAR</w:t>
      </w:r>
      <w:r w:rsidRPr="002D1E05">
        <w:rPr>
          <w:rFonts w:ascii="Arial" w:hAnsi="Arial" w:cs="Arial"/>
          <w:b/>
          <w:bCs/>
          <w:i/>
          <w:iCs/>
          <w:sz w:val="20"/>
          <w:szCs w:val="20"/>
          <w:vertAlign w:val="superscript"/>
          <w:lang w:val="en-US"/>
        </w:rPr>
        <w:t>hinge</w:t>
      </w:r>
      <w:r w:rsidRPr="002D1E05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28 cells assessed by a real-time cytotoxicity assay against CD19 V174 (VAL/VAL homozygous) and CD19 V174L (VAL/LEU heterozygous)-expressing cell lines.</w:t>
      </w:r>
      <w:r w:rsidR="00E42300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r w:rsidRPr="002D1E05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</w:t>
      </w:r>
      <w:r w:rsid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-B</w:t>
      </w:r>
      <w:r w:rsidRPr="002D1E05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. 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>Real-time cytotoxicity assay against V174 hom. target cell lines RIVA</w:t>
      </w:r>
      <w:r w:rsidR="009B59D3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9B59D3" w:rsidRP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(A)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9B59D3">
        <w:rPr>
          <w:rFonts w:ascii="Arial" w:hAnsi="Arial" w:cs="Arial"/>
          <w:i/>
          <w:iCs/>
          <w:sz w:val="20"/>
          <w:szCs w:val="20"/>
          <w:lang w:val="en-US"/>
        </w:rPr>
        <w:t>and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 HBL-1</w:t>
      </w:r>
      <w:r w:rsidR="009B59D3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9B59D3" w:rsidRP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(B)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 at a 1:1 E:T over 72h. </w:t>
      </w:r>
      <w:r w:rsid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C-E</w:t>
      </w:r>
      <w:r w:rsidRPr="002D1E05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. 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>Real-time cytotoxicity assay against V174L het. target cell lines Ramos</w:t>
      </w:r>
      <w:r w:rsidR="009B59D3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9B59D3" w:rsidRP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(C)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>, U2932</w:t>
      </w:r>
      <w:r w:rsidR="009B59D3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9B59D3" w:rsidRP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(D)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9B59D3">
        <w:rPr>
          <w:rFonts w:ascii="Arial" w:hAnsi="Arial" w:cs="Arial"/>
          <w:i/>
          <w:iCs/>
          <w:sz w:val="20"/>
          <w:szCs w:val="20"/>
          <w:lang w:val="en-US"/>
        </w:rPr>
        <w:t>and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 Oci-Ly-1 </w:t>
      </w:r>
      <w:r w:rsidR="009B59D3" w:rsidRP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(E)</w:t>
      </w:r>
      <w:r w:rsidR="009B59D3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at a 1:1 E:T over 72h. </w:t>
      </w:r>
      <w:r w:rsid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F-G</w:t>
      </w:r>
      <w:r w:rsidRPr="002D1E05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. 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>Fold-change in CAR T expansion after stimulation with V174 hom. target cell lines RIVA</w:t>
      </w:r>
      <w:r w:rsidR="009B59D3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9B59D3" w:rsidRP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(F)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9B59D3">
        <w:rPr>
          <w:rFonts w:ascii="Arial" w:hAnsi="Arial" w:cs="Arial"/>
          <w:i/>
          <w:iCs/>
          <w:sz w:val="20"/>
          <w:szCs w:val="20"/>
          <w:lang w:val="en-US"/>
        </w:rPr>
        <w:t>and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 HBL-</w:t>
      </w:r>
      <w:r w:rsidR="009B59D3">
        <w:rPr>
          <w:rFonts w:ascii="Arial" w:hAnsi="Arial" w:cs="Arial"/>
          <w:i/>
          <w:iCs/>
          <w:sz w:val="20"/>
          <w:szCs w:val="20"/>
          <w:lang w:val="en-US"/>
        </w:rPr>
        <w:t xml:space="preserve">1 </w:t>
      </w:r>
      <w:r w:rsidR="009B59D3" w:rsidRP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(G)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 (E:T ratio of 1:1), measured trough detection of m-Cherry signal over 72h. </w:t>
      </w:r>
      <w:r w:rsid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H-J</w:t>
      </w:r>
      <w:r w:rsidRPr="002D1E05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. 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>Fold-change in CAR T expansion after stimulation with V174L het. target cell lines Ramos</w:t>
      </w:r>
      <w:r w:rsidR="009B59D3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9B59D3" w:rsidRP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(H)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>, U2932</w:t>
      </w:r>
      <w:r w:rsidR="009B59D3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9B59D3" w:rsidRP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(I)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9B59D3">
        <w:rPr>
          <w:rFonts w:ascii="Arial" w:hAnsi="Arial" w:cs="Arial"/>
          <w:i/>
          <w:iCs/>
          <w:sz w:val="20"/>
          <w:szCs w:val="20"/>
          <w:lang w:val="en-US"/>
        </w:rPr>
        <w:t>and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 Oci-Ly-1</w:t>
      </w:r>
      <w:r w:rsidR="009B59D3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9B59D3" w:rsidRP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(J)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 (E:T ratio of 1:1), measured trough detection of m-Cherry signal over 72h. Data are plotted as the mean from biological triplicates +/- SEM. Stars indicate significance assessed by multiple unpaired t-tests. *p&lt;0.05; ***p&lt;0.001; ****&lt;0.0001 E:T = effector to target ratio. UTD= untransduced T cell. ns=not significant</w:t>
      </w:r>
    </w:p>
    <w:p w14:paraId="4A07CC13" w14:textId="77777777" w:rsidR="00CB2C21" w:rsidRPr="002D1E05" w:rsidRDefault="00CB2C21" w:rsidP="00CB2C21">
      <w:pPr>
        <w:rPr>
          <w:rFonts w:ascii="Arial" w:hAnsi="Arial" w:cs="Arial"/>
          <w:i/>
          <w:iCs/>
          <w:sz w:val="20"/>
          <w:szCs w:val="20"/>
          <w:lang w:val="en-US"/>
        </w:rPr>
      </w:pPr>
    </w:p>
    <w:p w14:paraId="282CC30E" w14:textId="77777777" w:rsidR="00CB2C21" w:rsidRPr="002D1E05" w:rsidRDefault="00CB2C21" w:rsidP="00CB2C21">
      <w:pPr>
        <w:rPr>
          <w:lang w:val="en-US"/>
        </w:rPr>
      </w:pPr>
    </w:p>
    <w:p w14:paraId="5843B4DE" w14:textId="77777777" w:rsidR="00CB2C21" w:rsidRPr="002D1E05" w:rsidRDefault="00CB2C21" w:rsidP="00CB2C21">
      <w:pPr>
        <w:rPr>
          <w:lang w:val="en-US"/>
        </w:rPr>
      </w:pPr>
    </w:p>
    <w:p w14:paraId="6CAAD5AD" w14:textId="77777777" w:rsidR="00CB2C21" w:rsidRPr="002D1E05" w:rsidRDefault="00CB2C21" w:rsidP="00CB2C21">
      <w:pPr>
        <w:rPr>
          <w:lang w:val="en-US"/>
        </w:rPr>
      </w:pPr>
    </w:p>
    <w:p w14:paraId="70D44C40" w14:textId="77777777" w:rsidR="00CB2C21" w:rsidRPr="002D1E05" w:rsidRDefault="00CB2C21" w:rsidP="00CB2C21">
      <w:pPr>
        <w:rPr>
          <w:lang w:val="en-US"/>
        </w:rPr>
      </w:pPr>
      <w:r w:rsidRPr="002D1E05">
        <w:rPr>
          <w:noProof/>
          <w:lang w:val="en-US"/>
        </w:rPr>
        <w:lastRenderedPageBreak/>
        <w:drawing>
          <wp:inline distT="0" distB="0" distL="0" distR="0" wp14:anchorId="17E2CB29" wp14:editId="723C7173">
            <wp:extent cx="5761990" cy="5531614"/>
            <wp:effectExtent l="0" t="0" r="0" b="5715"/>
            <wp:docPr id="207995651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956518" name="Grafik 2"/>
                    <pic:cNvPicPr/>
                  </pic:nvPicPr>
                  <pic:blipFill rotWithShape="1">
                    <a:blip r:embed="rId5"/>
                    <a:srcRect t="1055" b="31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316" cy="5536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25AEBF" w14:textId="11373950" w:rsidR="00CB2C21" w:rsidRPr="002D1E05" w:rsidRDefault="00CB2C21" w:rsidP="00E12697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proofErr w:type="spellStart"/>
      <w:r w:rsidRPr="002D1E05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Supplemenatry</w:t>
      </w:r>
      <w:proofErr w:type="spellEnd"/>
      <w:r w:rsidRPr="002D1E05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Figure 2. Cytotoxicity of CAR</w:t>
      </w:r>
      <w:r w:rsidRPr="002D1E05">
        <w:rPr>
          <w:rFonts w:ascii="Arial" w:hAnsi="Arial" w:cs="Arial"/>
          <w:b/>
          <w:bCs/>
          <w:i/>
          <w:iCs/>
          <w:sz w:val="20"/>
          <w:szCs w:val="20"/>
          <w:vertAlign w:val="superscript"/>
          <w:lang w:val="en-US"/>
        </w:rPr>
        <w:t>hinge</w:t>
      </w:r>
      <w:r w:rsidRPr="002D1E05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8 and CAR</w:t>
      </w:r>
      <w:r w:rsidRPr="002D1E05">
        <w:rPr>
          <w:rFonts w:ascii="Arial" w:hAnsi="Arial" w:cs="Arial"/>
          <w:b/>
          <w:bCs/>
          <w:i/>
          <w:iCs/>
          <w:sz w:val="20"/>
          <w:szCs w:val="20"/>
          <w:vertAlign w:val="superscript"/>
          <w:lang w:val="en-US"/>
        </w:rPr>
        <w:t>hinge</w:t>
      </w:r>
      <w:r w:rsidRPr="002D1E05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28 cells against CD19 V174 (VAL/VAL homozygous) and CD19 V174L (VAL/LEU heterozygous)-expressing cell lines assessed by a luciferase based killing assay. A</w:t>
      </w:r>
      <w:r w:rsid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-B</w:t>
      </w:r>
      <w:r w:rsidRPr="002D1E05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.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2D1E05">
        <w:rPr>
          <w:rFonts w:ascii="Arial" w:hAnsi="Arial" w:cs="Arial"/>
          <w:i/>
          <w:iCs/>
          <w:sz w:val="20"/>
          <w:szCs w:val="20"/>
          <w:lang w:val="en-US"/>
        </w:rPr>
        <w:t>Cytotoxocity</w:t>
      </w:r>
      <w:proofErr w:type="spellEnd"/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 of CAR T cells against V174 hom. target cell lines RIVA </w:t>
      </w:r>
      <w:r w:rsidR="009B59D3" w:rsidRP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(A)</w:t>
      </w:r>
      <w:r w:rsidR="009B59D3">
        <w:rPr>
          <w:rFonts w:ascii="Arial" w:hAnsi="Arial" w:cs="Arial"/>
          <w:i/>
          <w:iCs/>
          <w:sz w:val="20"/>
          <w:szCs w:val="20"/>
          <w:lang w:val="en-US"/>
        </w:rPr>
        <w:t xml:space="preserve"> and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 HBL-1</w:t>
      </w:r>
      <w:r w:rsidR="009B59D3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9B59D3" w:rsidRP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(B)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 (E:T ratio 1:1) after 48h assessed with a luciferase-based cytotoxicity assay. </w:t>
      </w:r>
      <w:r w:rsid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C-E</w:t>
      </w:r>
      <w:r w:rsidRPr="002D1E05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.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2D1E05">
        <w:rPr>
          <w:rFonts w:ascii="Arial" w:hAnsi="Arial" w:cs="Arial"/>
          <w:i/>
          <w:iCs/>
          <w:sz w:val="20"/>
          <w:szCs w:val="20"/>
          <w:lang w:val="en-US"/>
        </w:rPr>
        <w:t>Cytotoxocity</w:t>
      </w:r>
      <w:proofErr w:type="spellEnd"/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 of CAR T cells against V174L het. target cell lines Ramos</w:t>
      </w:r>
      <w:r w:rsidR="009B59D3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9B59D3" w:rsidRP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(C)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>, U2932</w:t>
      </w:r>
      <w:r w:rsidR="009B59D3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9B59D3" w:rsidRP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(D)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9B59D3">
        <w:rPr>
          <w:rFonts w:ascii="Arial" w:hAnsi="Arial" w:cs="Arial"/>
          <w:i/>
          <w:iCs/>
          <w:sz w:val="20"/>
          <w:szCs w:val="20"/>
          <w:lang w:val="en-US"/>
        </w:rPr>
        <w:t>and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 Oci-Ly-1</w:t>
      </w:r>
      <w:r w:rsidR="009B59D3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9B59D3" w:rsidRPr="009B59D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(E)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 (E:T ratio 1:1) after 48h assessed with a luciferase-based cytotoxicity assay. Data are plotted as the mean from biological triplicates +/- SEM. Stars indicate significance assessed by unpaired t-test. *p&lt;0.05; **p&lt;0.01; ***p&lt;0.001; ****&lt;0.0001 E:T = effector to target ratio. UTD= untransduced T cell. ns=not significant</w:t>
      </w:r>
    </w:p>
    <w:p w14:paraId="7BADCB8C" w14:textId="77777777" w:rsidR="00CB2C21" w:rsidRPr="002D1E05" w:rsidRDefault="00CB2C21" w:rsidP="00CB2C21">
      <w:pPr>
        <w:rPr>
          <w:rFonts w:ascii="Arial" w:hAnsi="Arial" w:cs="Arial"/>
          <w:i/>
          <w:iCs/>
          <w:sz w:val="20"/>
          <w:szCs w:val="20"/>
          <w:lang w:val="en-US"/>
        </w:rPr>
      </w:pPr>
    </w:p>
    <w:p w14:paraId="5566A4EE" w14:textId="77777777" w:rsidR="00CB2C21" w:rsidRPr="002D1E05" w:rsidRDefault="00CB2C21" w:rsidP="00CB2C21">
      <w:pPr>
        <w:rPr>
          <w:lang w:val="en-US"/>
        </w:rPr>
      </w:pPr>
      <w:r w:rsidRPr="002D1E05">
        <w:rPr>
          <w:noProof/>
          <w:lang w:val="en-US"/>
        </w:rPr>
        <w:lastRenderedPageBreak/>
        <w:drawing>
          <wp:inline distT="0" distB="0" distL="0" distR="0" wp14:anchorId="64EDD26C" wp14:editId="12AE5639">
            <wp:extent cx="5756910" cy="4730045"/>
            <wp:effectExtent l="0" t="0" r="0" b="0"/>
            <wp:docPr id="15868361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836141" name="Grafik 1"/>
                    <pic:cNvPicPr/>
                  </pic:nvPicPr>
                  <pic:blipFill rotWithShape="1">
                    <a:blip r:embed="rId6"/>
                    <a:srcRect t="737" b="41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730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D22E07" w14:textId="77777777" w:rsidR="00CB2C21" w:rsidRPr="002D1E05" w:rsidRDefault="00CB2C21" w:rsidP="00CB2C21">
      <w:pPr>
        <w:rPr>
          <w:lang w:val="en-US"/>
        </w:rPr>
      </w:pPr>
    </w:p>
    <w:p w14:paraId="633CAE23" w14:textId="77777777" w:rsidR="00CB2C21" w:rsidRPr="002D1E05" w:rsidRDefault="00CB2C21" w:rsidP="00CB2C21">
      <w:p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2D1E05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Supplementary Figure 3. Clinical correlation of CAR T cell targeting CD19 of V174 homozygous or CD19 V174L (VAL/LEU heterozygous) heterozygous lymphoma in 91 patients. A. 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>PFS</w:t>
      </w:r>
      <w:r w:rsidRPr="002D1E05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>Kaplan-Meier curve depicting retrospective analysis of 53 patients treated with anti-CD19 CAR T cell (</w:t>
      </w:r>
      <w:proofErr w:type="spellStart"/>
      <w:r w:rsidRPr="002D1E05">
        <w:rPr>
          <w:rFonts w:ascii="Arial" w:hAnsi="Arial" w:cs="Arial"/>
          <w:i/>
          <w:iCs/>
          <w:sz w:val="20"/>
          <w:szCs w:val="20"/>
          <w:lang w:val="en-US"/>
        </w:rPr>
        <w:t>axi</w:t>
      </w:r>
      <w:proofErr w:type="spellEnd"/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-cel and </w:t>
      </w:r>
      <w:proofErr w:type="spellStart"/>
      <w:r w:rsidRPr="002D1E05">
        <w:rPr>
          <w:rFonts w:ascii="Arial" w:hAnsi="Arial" w:cs="Arial"/>
          <w:i/>
          <w:iCs/>
          <w:sz w:val="20"/>
          <w:szCs w:val="20"/>
          <w:lang w:val="en-US"/>
        </w:rPr>
        <w:t>tisa</w:t>
      </w:r>
      <w:proofErr w:type="spellEnd"/>
      <w:r w:rsidRPr="002D1E05">
        <w:rPr>
          <w:rFonts w:ascii="Arial" w:hAnsi="Arial" w:cs="Arial"/>
          <w:i/>
          <w:iCs/>
          <w:sz w:val="20"/>
          <w:szCs w:val="20"/>
          <w:lang w:val="en-US"/>
        </w:rPr>
        <w:t>-cel) targeting CD19 V174L (VAL/LEU heterozygous) and of 38 patients treated with anti-CD19 CAR T cell (</w:t>
      </w:r>
      <w:proofErr w:type="spellStart"/>
      <w:r w:rsidRPr="002D1E05">
        <w:rPr>
          <w:rFonts w:ascii="Arial" w:hAnsi="Arial" w:cs="Arial"/>
          <w:i/>
          <w:iCs/>
          <w:sz w:val="20"/>
          <w:szCs w:val="20"/>
          <w:lang w:val="en-US"/>
        </w:rPr>
        <w:t>axi</w:t>
      </w:r>
      <w:proofErr w:type="spellEnd"/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-cel and </w:t>
      </w:r>
      <w:proofErr w:type="spellStart"/>
      <w:r w:rsidRPr="002D1E05">
        <w:rPr>
          <w:rFonts w:ascii="Arial" w:hAnsi="Arial" w:cs="Arial"/>
          <w:i/>
          <w:iCs/>
          <w:sz w:val="20"/>
          <w:szCs w:val="20"/>
          <w:lang w:val="en-US"/>
        </w:rPr>
        <w:t>tisa</w:t>
      </w:r>
      <w:proofErr w:type="spellEnd"/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-cel) targeting CD19 V174 (VAL/VAL homozygous) lymphoma. </w:t>
      </w:r>
      <w:r w:rsidRPr="002D1E05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B. 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PFS Kaplan-Meier curve depicting retrospective analysis of 22 patients treated with </w:t>
      </w:r>
      <w:proofErr w:type="spellStart"/>
      <w:r w:rsidRPr="002D1E05">
        <w:rPr>
          <w:rFonts w:ascii="Arial" w:hAnsi="Arial" w:cs="Arial"/>
          <w:i/>
          <w:iCs/>
          <w:sz w:val="20"/>
          <w:szCs w:val="20"/>
          <w:lang w:val="en-US"/>
        </w:rPr>
        <w:t>tisa</w:t>
      </w:r>
      <w:proofErr w:type="spellEnd"/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-cel and 11 patients treated with </w:t>
      </w:r>
      <w:proofErr w:type="spellStart"/>
      <w:r w:rsidRPr="002D1E05">
        <w:rPr>
          <w:rFonts w:ascii="Arial" w:hAnsi="Arial" w:cs="Arial"/>
          <w:i/>
          <w:iCs/>
          <w:sz w:val="20"/>
          <w:szCs w:val="20"/>
          <w:lang w:val="en-US"/>
        </w:rPr>
        <w:t>axi</w:t>
      </w:r>
      <w:proofErr w:type="spellEnd"/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-cel targeting CD19 V174 (VAL/VAL homozygous) lymphoma. </w:t>
      </w:r>
      <w:r w:rsidRPr="002D1E05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C. 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>PFS</w:t>
      </w:r>
      <w:r w:rsidRPr="002D1E05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Kaplan-Meier curve depicting retrospective analysis of 35 patients treated with </w:t>
      </w:r>
      <w:proofErr w:type="spellStart"/>
      <w:r w:rsidRPr="002D1E05">
        <w:rPr>
          <w:rFonts w:ascii="Arial" w:hAnsi="Arial" w:cs="Arial"/>
          <w:i/>
          <w:iCs/>
          <w:sz w:val="20"/>
          <w:szCs w:val="20"/>
          <w:lang w:val="en-US"/>
        </w:rPr>
        <w:t>tisa</w:t>
      </w:r>
      <w:proofErr w:type="spellEnd"/>
      <w:r w:rsidRPr="002D1E05">
        <w:rPr>
          <w:rFonts w:ascii="Arial" w:hAnsi="Arial" w:cs="Arial"/>
          <w:i/>
          <w:iCs/>
          <w:sz w:val="20"/>
          <w:szCs w:val="20"/>
          <w:lang w:val="en-US"/>
        </w:rPr>
        <w:t xml:space="preserve">-cel and 16 patients treated with </w:t>
      </w:r>
      <w:proofErr w:type="spellStart"/>
      <w:r w:rsidRPr="002D1E05">
        <w:rPr>
          <w:rFonts w:ascii="Arial" w:hAnsi="Arial" w:cs="Arial"/>
          <w:i/>
          <w:iCs/>
          <w:sz w:val="20"/>
          <w:szCs w:val="20"/>
          <w:lang w:val="en-US"/>
        </w:rPr>
        <w:t>axi</w:t>
      </w:r>
      <w:proofErr w:type="spellEnd"/>
      <w:r w:rsidRPr="002D1E05">
        <w:rPr>
          <w:rFonts w:ascii="Arial" w:hAnsi="Arial" w:cs="Arial"/>
          <w:i/>
          <w:iCs/>
          <w:sz w:val="20"/>
          <w:szCs w:val="20"/>
          <w:lang w:val="en-US"/>
        </w:rPr>
        <w:t>-cel targeting CD19 V174L (VAL/LEU heterozygous) lymphoma. PFS= progression free survival, hom.=homozygous, het.=</w:t>
      </w:r>
      <w:proofErr w:type="spellStart"/>
      <w:r w:rsidRPr="002D1E05">
        <w:rPr>
          <w:rFonts w:ascii="Arial" w:hAnsi="Arial" w:cs="Arial"/>
          <w:i/>
          <w:iCs/>
          <w:sz w:val="20"/>
          <w:szCs w:val="20"/>
          <w:lang w:val="en-US"/>
        </w:rPr>
        <w:t>heterozyous</w:t>
      </w:r>
      <w:proofErr w:type="spellEnd"/>
    </w:p>
    <w:p w14:paraId="0E46D1BC" w14:textId="70179867" w:rsidR="00E14B17" w:rsidRPr="009B59D3" w:rsidRDefault="00E14B17">
      <w:pPr>
        <w:rPr>
          <w:rFonts w:ascii="Times New Roman" w:eastAsia="Times New Roman" w:hAnsi="Times New Roman" w:cs="Times New Roman"/>
          <w:kern w:val="0"/>
          <w:lang w:val="en-US" w:eastAsia="de-DE"/>
          <w14:ligatures w14:val="none"/>
        </w:rPr>
      </w:pPr>
    </w:p>
    <w:sectPr w:rsidR="00E14B17" w:rsidRPr="009B59D3" w:rsidSect="00A63F3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21"/>
    <w:rsid w:val="0009713A"/>
    <w:rsid w:val="009B59D3"/>
    <w:rsid w:val="00A218CA"/>
    <w:rsid w:val="00A63F35"/>
    <w:rsid w:val="00A74E41"/>
    <w:rsid w:val="00CA29E6"/>
    <w:rsid w:val="00CB2C21"/>
    <w:rsid w:val="00D34700"/>
    <w:rsid w:val="00E12697"/>
    <w:rsid w:val="00E14B17"/>
    <w:rsid w:val="00E42300"/>
    <w:rsid w:val="00F1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5E8A4FF"/>
  <w14:defaultImageDpi w14:val="32767"/>
  <w15:chartTrackingRefBased/>
  <w15:docId w15:val="{E5BB10E7-EBF4-C841-A500-42E6D284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CB2C21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2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2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2C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2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GB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2C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GB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2C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2C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2C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2C21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2C2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2C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2C21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2C21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2C21"/>
    <w:rPr>
      <w:rFonts w:eastAsiaTheme="majorEastAsia" w:cstheme="majorBidi"/>
      <w:color w:val="2F5496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2C2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2C21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2C2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2C21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CB2C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CB2C2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2C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2C2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CB2C21"/>
    <w:pPr>
      <w:spacing w:before="160" w:after="160"/>
      <w:jc w:val="center"/>
    </w:pPr>
    <w:rPr>
      <w:i/>
      <w:iCs/>
      <w:color w:val="404040" w:themeColor="text1" w:themeTint="BF"/>
      <w:lang w:val="en-GB"/>
    </w:rPr>
  </w:style>
  <w:style w:type="character" w:customStyle="1" w:styleId="ZitatZchn">
    <w:name w:val="Zitat Zchn"/>
    <w:basedOn w:val="Absatz-Standardschriftart"/>
    <w:link w:val="Zitat"/>
    <w:uiPriority w:val="29"/>
    <w:rsid w:val="00CB2C21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CB2C21"/>
    <w:pPr>
      <w:ind w:left="720"/>
      <w:contextualSpacing/>
    </w:pPr>
    <w:rPr>
      <w:lang w:val="en-GB"/>
    </w:rPr>
  </w:style>
  <w:style w:type="character" w:styleId="IntensiveHervorhebung">
    <w:name w:val="Intense Emphasis"/>
    <w:basedOn w:val="Absatz-Standardschriftart"/>
    <w:uiPriority w:val="21"/>
    <w:qFormat/>
    <w:rsid w:val="00CB2C2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2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G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2C21"/>
    <w:rPr>
      <w:i/>
      <w:iCs/>
      <w:color w:val="2F5496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CB2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2419</Characters>
  <Application>Microsoft Office Word</Application>
  <DocSecurity>0</DocSecurity>
  <Lines>41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Hörtensteiner, Ladina (STUDENTS)</dc:creator>
  <cp:keywords/>
  <dc:description/>
  <cp:lastModifiedBy>Marc Wehrli</cp:lastModifiedBy>
  <cp:revision>3</cp:revision>
  <dcterms:created xsi:type="dcterms:W3CDTF">2026-02-12T21:03:00Z</dcterms:created>
  <dcterms:modified xsi:type="dcterms:W3CDTF">2026-02-12T21:03:00Z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3f20096b2304b79faa50d05e3c926ebcbc7c9873f0d97645a13526bd4c7bff26</vt:lpwstr>
  </property>
</Properties>
</file>