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F47EB"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Supplementary Figures</w:t>
      </w:r>
    </w:p>
    <w:p w14:paraId="38B6C91B" w14:textId="77777777" w:rsidR="004E4040" w:rsidRPr="003D7C68" w:rsidRDefault="004E4040" w:rsidP="004E4040">
      <w:pPr>
        <w:spacing w:after="0"/>
        <w:jc w:val="both"/>
        <w:rPr>
          <w:rFonts w:ascii="Aptos" w:hAnsi="Aptos"/>
          <w:lang w:val="en-GB"/>
        </w:rPr>
      </w:pPr>
    </w:p>
    <w:p w14:paraId="574DD644"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 xml:space="preserve">Supplementary Figure S1: Genome size variation across </w:t>
      </w:r>
      <w:r w:rsidRPr="003D7C68">
        <w:rPr>
          <w:rFonts w:ascii="Aptos" w:hAnsi="Aptos"/>
          <w:b/>
          <w:bCs/>
          <w:i/>
          <w:iCs/>
          <w:lang w:val="en-GB"/>
        </w:rPr>
        <w:t>C. coli</w:t>
      </w:r>
      <w:r w:rsidRPr="003D7C68">
        <w:rPr>
          <w:rFonts w:ascii="Aptos" w:hAnsi="Aptos"/>
          <w:b/>
          <w:bCs/>
          <w:lang w:val="en-GB"/>
        </w:rPr>
        <w:t xml:space="preserve"> lineages</w:t>
      </w:r>
    </w:p>
    <w:p w14:paraId="6021D727" w14:textId="77777777" w:rsidR="004E4040" w:rsidRPr="003D7C68" w:rsidRDefault="004E4040" w:rsidP="004E4040">
      <w:pPr>
        <w:spacing w:after="0"/>
        <w:jc w:val="both"/>
        <w:rPr>
          <w:rFonts w:ascii="Aptos" w:hAnsi="Aptos"/>
          <w:lang w:val="en-GB"/>
        </w:rPr>
      </w:pPr>
      <w:r w:rsidRPr="003D7C68">
        <w:rPr>
          <w:rFonts w:ascii="Aptos" w:hAnsi="Aptos"/>
          <w:lang w:val="en-GB"/>
        </w:rPr>
        <w:t xml:space="preserve">Violin plots showing the distribution of genome sizes across ST-1150 CC, ST-828 CC, and other </w:t>
      </w:r>
      <w:r w:rsidRPr="003D7C68">
        <w:rPr>
          <w:rFonts w:ascii="Aptos" w:hAnsi="Aptos"/>
          <w:i/>
          <w:iCs/>
          <w:lang w:val="en-GB"/>
        </w:rPr>
        <w:t>C. coli</w:t>
      </w:r>
      <w:r w:rsidRPr="003D7C68">
        <w:rPr>
          <w:rFonts w:ascii="Aptos" w:hAnsi="Aptos"/>
          <w:lang w:val="en-GB"/>
        </w:rPr>
        <w:t xml:space="preserve"> clades. Median and interquartile ranges are indicated. Genome sizes are broadly comparable across lineages, indicating that lineage emergence and expansion are not associated with systematic genome expansion or reduction.</w:t>
      </w:r>
    </w:p>
    <w:p w14:paraId="0D47D4F4" w14:textId="77777777" w:rsidR="004E4040" w:rsidRPr="003D7C68" w:rsidRDefault="004E4040" w:rsidP="004E4040">
      <w:pPr>
        <w:spacing w:after="0"/>
        <w:jc w:val="both"/>
        <w:rPr>
          <w:rFonts w:ascii="Aptos" w:hAnsi="Aptos"/>
          <w:lang w:val="en-GB"/>
        </w:rPr>
      </w:pPr>
    </w:p>
    <w:p w14:paraId="17C149B1"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Supplementary Figure S2</w:t>
      </w:r>
      <w:r>
        <w:rPr>
          <w:rFonts w:ascii="Aptos" w:hAnsi="Aptos"/>
          <w:b/>
          <w:bCs/>
          <w:lang w:val="en-GB"/>
        </w:rPr>
        <w:t>:</w:t>
      </w:r>
      <w:r w:rsidRPr="003D7C68">
        <w:rPr>
          <w:rFonts w:ascii="Aptos" w:hAnsi="Aptos"/>
          <w:b/>
          <w:bCs/>
          <w:lang w:val="en-GB"/>
        </w:rPr>
        <w:t xml:space="preserve"> Accessory genome structure and pangenome diversity</w:t>
      </w:r>
    </w:p>
    <w:p w14:paraId="6D34D5DA" w14:textId="77777777" w:rsidR="004E4040" w:rsidRPr="003D7C68" w:rsidRDefault="004E4040" w:rsidP="004E4040">
      <w:pPr>
        <w:spacing w:after="0"/>
        <w:jc w:val="both"/>
        <w:rPr>
          <w:rFonts w:ascii="Aptos" w:hAnsi="Aptos"/>
          <w:lang w:val="en-GB"/>
        </w:rPr>
      </w:pPr>
      <w:r w:rsidRPr="003D7C68">
        <w:rPr>
          <w:rFonts w:ascii="Aptos" w:hAnsi="Aptos"/>
          <w:lang w:val="en-GB"/>
        </w:rPr>
        <w:t xml:space="preserve">(A) Presence–absence matrix of accessory gene families across </w:t>
      </w:r>
      <w:r w:rsidRPr="003D7C68">
        <w:rPr>
          <w:rFonts w:ascii="Aptos" w:hAnsi="Aptos"/>
          <w:i/>
          <w:iCs/>
          <w:lang w:val="en-GB"/>
        </w:rPr>
        <w:t>C. coli</w:t>
      </w:r>
      <w:r w:rsidRPr="003D7C68">
        <w:rPr>
          <w:rFonts w:ascii="Aptos" w:hAnsi="Aptos"/>
          <w:lang w:val="en-GB"/>
        </w:rPr>
        <w:t xml:space="preserve"> isolates, ordered by phylogeny and coloured by host source. (B) Ordination of isolates based on accessory genome composition, showing clustering by clonal complex rather than strict host segregation. (C) Pangenome accumulation curves stratified by host source, showing mean pangenome size (solid lines) and within-group core genome size (dashed lines) across resampling iterations, with shaded regions representing 95% confidence intervals. These analyses indicate extensive accessory genome diversity across the dataset while supporting lineage-specific clustering rather than host-exclusive gene acquisition.</w:t>
      </w:r>
    </w:p>
    <w:p w14:paraId="1EFD0223" w14:textId="77777777" w:rsidR="004E4040" w:rsidRPr="003D7C68" w:rsidRDefault="004E4040" w:rsidP="004E4040">
      <w:pPr>
        <w:spacing w:after="0"/>
        <w:jc w:val="both"/>
        <w:rPr>
          <w:rFonts w:ascii="Aptos" w:hAnsi="Aptos"/>
          <w:lang w:val="en-GB"/>
        </w:rPr>
      </w:pPr>
    </w:p>
    <w:p w14:paraId="6B47A897" w14:textId="77777777" w:rsidR="004E4040" w:rsidRPr="00B978F6" w:rsidRDefault="004E4040" w:rsidP="004E4040">
      <w:pPr>
        <w:spacing w:after="0"/>
        <w:jc w:val="both"/>
        <w:rPr>
          <w:rFonts w:ascii="Aptos" w:hAnsi="Aptos"/>
          <w:b/>
          <w:bCs/>
          <w:lang w:val="en-GB"/>
        </w:rPr>
      </w:pPr>
      <w:r w:rsidRPr="003D7C68">
        <w:rPr>
          <w:rFonts w:ascii="Aptos" w:hAnsi="Aptos"/>
          <w:b/>
          <w:bCs/>
          <w:lang w:val="en-GB"/>
        </w:rPr>
        <w:t>Supplementary Figure S</w:t>
      </w:r>
      <w:r>
        <w:rPr>
          <w:rFonts w:ascii="Aptos" w:hAnsi="Aptos"/>
          <w:b/>
          <w:bCs/>
          <w:lang w:val="en-GB"/>
        </w:rPr>
        <w:t>3:</w:t>
      </w:r>
      <w:r w:rsidRPr="003D7C68">
        <w:rPr>
          <w:rFonts w:ascii="Aptos" w:hAnsi="Aptos"/>
          <w:b/>
          <w:bCs/>
          <w:lang w:val="en-GB"/>
        </w:rPr>
        <w:t xml:space="preserve"> </w:t>
      </w:r>
      <w:proofErr w:type="spellStart"/>
      <w:r w:rsidRPr="00B978F6">
        <w:rPr>
          <w:rFonts w:ascii="Aptos" w:hAnsi="Aptos"/>
          <w:b/>
          <w:bCs/>
          <w:lang w:val="en-GB"/>
        </w:rPr>
        <w:t>BactDating</w:t>
      </w:r>
      <w:proofErr w:type="spellEnd"/>
      <w:r w:rsidRPr="00B978F6">
        <w:rPr>
          <w:rFonts w:ascii="Aptos" w:hAnsi="Aptos"/>
          <w:b/>
          <w:bCs/>
          <w:lang w:val="en-GB"/>
        </w:rPr>
        <w:t xml:space="preserve"> diagnostics and time-scaled phylogeny for ST-1150 CC</w:t>
      </w:r>
    </w:p>
    <w:p w14:paraId="371BABAE" w14:textId="77777777" w:rsidR="004E4040" w:rsidRPr="00B978F6" w:rsidRDefault="004E4040" w:rsidP="004E4040">
      <w:pPr>
        <w:spacing w:after="0"/>
        <w:jc w:val="both"/>
        <w:rPr>
          <w:rFonts w:ascii="Aptos" w:hAnsi="Aptos"/>
          <w:lang w:val="en-GB"/>
        </w:rPr>
      </w:pPr>
      <w:r w:rsidRPr="00B978F6">
        <w:rPr>
          <w:rFonts w:ascii="Aptos" w:hAnsi="Aptos"/>
          <w:lang w:val="en-GB"/>
        </w:rPr>
        <w:t xml:space="preserve">Assessment of temporal signal and molecular dating of the ST-1150 clonal complex using </w:t>
      </w:r>
      <w:proofErr w:type="spellStart"/>
      <w:r w:rsidRPr="00B978F6">
        <w:rPr>
          <w:rFonts w:ascii="Aptos" w:hAnsi="Aptos"/>
          <w:lang w:val="en-GB"/>
        </w:rPr>
        <w:t>BactDating</w:t>
      </w:r>
      <w:proofErr w:type="spellEnd"/>
      <w:r w:rsidRPr="00B978F6">
        <w:rPr>
          <w:rFonts w:ascii="Aptos" w:hAnsi="Aptos"/>
          <w:lang w:val="en-GB"/>
        </w:rPr>
        <w:t>.</w:t>
      </w:r>
      <w:r>
        <w:rPr>
          <w:rFonts w:ascii="Aptos" w:hAnsi="Aptos"/>
          <w:lang w:val="en-GB"/>
        </w:rPr>
        <w:t xml:space="preserve"> </w:t>
      </w:r>
      <w:r w:rsidRPr="00B978F6">
        <w:rPr>
          <w:rFonts w:ascii="Aptos" w:hAnsi="Aptos"/>
          <w:lang w:val="en-GB"/>
        </w:rPr>
        <w:t>(A) Root-to-tip regression of genetic distance against sampling date showing a significant temporal signal (R² = 0.28, p &lt; 1×10</w:t>
      </w:r>
      <w:r w:rsidRPr="00B978F6">
        <w:rPr>
          <w:rFonts w:ascii="Cambria Math" w:hAnsi="Cambria Math" w:cs="Cambria Math"/>
          <w:lang w:val="en-GB"/>
        </w:rPr>
        <w:t>⁻</w:t>
      </w:r>
      <w:r w:rsidRPr="00B978F6">
        <w:rPr>
          <w:rFonts w:ascii="Aptos" w:hAnsi="Aptos"/>
          <w:lang w:val="en-GB"/>
        </w:rPr>
        <w:t>⁴).</w:t>
      </w:r>
      <w:r>
        <w:rPr>
          <w:rFonts w:ascii="Aptos" w:hAnsi="Aptos"/>
          <w:lang w:val="en-GB"/>
        </w:rPr>
        <w:t xml:space="preserve"> </w:t>
      </w:r>
      <w:r w:rsidRPr="00B978F6">
        <w:rPr>
          <w:rFonts w:ascii="Aptos" w:hAnsi="Aptos"/>
          <w:lang w:val="en-GB"/>
        </w:rPr>
        <w:t>(B) Time-scaled phylogeny inferred from a recombination-filtered core genome alignment, with node bars indicating 95% credible intervals for divergence times. Together, these diagnostics support the suitability of the dataset for molecular clock-based phylodynamic inference.</w:t>
      </w:r>
    </w:p>
    <w:p w14:paraId="3B9611BF" w14:textId="77777777" w:rsidR="004E4040" w:rsidRDefault="004E4040" w:rsidP="004E4040">
      <w:pPr>
        <w:spacing w:after="0"/>
        <w:jc w:val="both"/>
        <w:rPr>
          <w:rFonts w:ascii="Aptos" w:hAnsi="Aptos"/>
          <w:b/>
          <w:bCs/>
          <w:lang w:val="en-GB"/>
        </w:rPr>
      </w:pPr>
    </w:p>
    <w:p w14:paraId="07339692" w14:textId="77777777" w:rsidR="004E4040" w:rsidRPr="00B978F6" w:rsidRDefault="004E4040" w:rsidP="004E4040">
      <w:pPr>
        <w:spacing w:after="0"/>
        <w:jc w:val="both"/>
        <w:rPr>
          <w:rFonts w:ascii="Aptos" w:hAnsi="Aptos"/>
          <w:b/>
          <w:bCs/>
          <w:lang w:val="en-GB"/>
        </w:rPr>
      </w:pPr>
      <w:r w:rsidRPr="003D7C68">
        <w:rPr>
          <w:rFonts w:ascii="Aptos" w:hAnsi="Aptos"/>
          <w:b/>
          <w:bCs/>
          <w:lang w:val="en-GB"/>
        </w:rPr>
        <w:t>Supplementary Figure S</w:t>
      </w:r>
      <w:r>
        <w:rPr>
          <w:rFonts w:ascii="Aptos" w:hAnsi="Aptos"/>
          <w:b/>
          <w:bCs/>
          <w:lang w:val="en-GB"/>
        </w:rPr>
        <w:t>4:</w:t>
      </w:r>
      <w:r w:rsidRPr="003D7C68">
        <w:rPr>
          <w:rFonts w:ascii="Aptos" w:hAnsi="Aptos"/>
          <w:b/>
          <w:bCs/>
          <w:lang w:val="en-GB"/>
        </w:rPr>
        <w:t xml:space="preserve"> </w:t>
      </w:r>
      <w:proofErr w:type="spellStart"/>
      <w:r w:rsidRPr="00B978F6">
        <w:rPr>
          <w:rFonts w:ascii="Aptos" w:hAnsi="Aptos"/>
          <w:b/>
          <w:bCs/>
          <w:lang w:val="en-GB"/>
        </w:rPr>
        <w:t>CaveDive</w:t>
      </w:r>
      <w:proofErr w:type="spellEnd"/>
      <w:r w:rsidRPr="00B978F6">
        <w:rPr>
          <w:rFonts w:ascii="Aptos" w:hAnsi="Aptos"/>
          <w:b/>
          <w:bCs/>
          <w:lang w:val="en-GB"/>
        </w:rPr>
        <w:t xml:space="preserve"> inference of demographic expansion events in ST-1150 CC</w:t>
      </w:r>
    </w:p>
    <w:p w14:paraId="61240BC5" w14:textId="77777777" w:rsidR="004E4040" w:rsidRPr="00B978F6" w:rsidRDefault="004E4040" w:rsidP="004E4040">
      <w:pPr>
        <w:spacing w:after="0"/>
        <w:jc w:val="both"/>
        <w:rPr>
          <w:rFonts w:ascii="Aptos" w:hAnsi="Aptos"/>
          <w:lang w:val="en-GB"/>
        </w:rPr>
      </w:pPr>
      <w:r w:rsidRPr="00B978F6">
        <w:rPr>
          <w:rFonts w:ascii="Aptos" w:hAnsi="Aptos"/>
          <w:lang w:val="en-GB"/>
        </w:rPr>
        <w:t xml:space="preserve">Inference of demographic expansion dynamics in ST-1150 CC using </w:t>
      </w:r>
      <w:proofErr w:type="spellStart"/>
      <w:r w:rsidRPr="00B978F6">
        <w:rPr>
          <w:rFonts w:ascii="Aptos" w:hAnsi="Aptos"/>
          <w:lang w:val="en-GB"/>
        </w:rPr>
        <w:t>CaveDive</w:t>
      </w:r>
      <w:proofErr w:type="spellEnd"/>
      <w:r w:rsidRPr="00B978F6">
        <w:rPr>
          <w:rFonts w:ascii="Aptos" w:hAnsi="Aptos"/>
          <w:lang w:val="en-GB"/>
        </w:rPr>
        <w:t>.</w:t>
      </w:r>
      <w:r>
        <w:rPr>
          <w:rFonts w:ascii="Aptos" w:hAnsi="Aptos"/>
          <w:lang w:val="en-GB"/>
        </w:rPr>
        <w:t xml:space="preserve"> </w:t>
      </w:r>
      <w:r w:rsidRPr="00B978F6">
        <w:rPr>
          <w:rFonts w:ascii="Aptos" w:hAnsi="Aptos"/>
          <w:lang w:val="en-GB"/>
        </w:rPr>
        <w:t>(A) Posterior estimates of growth rate through time, showing sustained population growth without sharp discontinuities.</w:t>
      </w:r>
      <w:r>
        <w:rPr>
          <w:rFonts w:ascii="Aptos" w:hAnsi="Aptos"/>
          <w:lang w:val="en-GB"/>
        </w:rPr>
        <w:t xml:space="preserve"> </w:t>
      </w:r>
      <w:r w:rsidRPr="00B978F6">
        <w:rPr>
          <w:rFonts w:ascii="Aptos" w:hAnsi="Aptos"/>
          <w:lang w:val="en-GB"/>
        </w:rPr>
        <w:t>(B) Posterior marginal probability for the number of discrete expansion events, with highest support for zero expansions (≈70%) and moderate support for a single expansion (≈30%), and negligible support for multiple expansions.</w:t>
      </w:r>
      <w:r>
        <w:rPr>
          <w:rFonts w:ascii="Aptos" w:hAnsi="Aptos"/>
          <w:lang w:val="en-GB"/>
        </w:rPr>
        <w:t xml:space="preserve"> </w:t>
      </w:r>
      <w:r w:rsidRPr="00B978F6">
        <w:rPr>
          <w:rFonts w:ascii="Aptos" w:hAnsi="Aptos"/>
          <w:lang w:val="en-GB"/>
        </w:rPr>
        <w:t>(C–D) Branch-specific posterior frequencies of inferred expansion events, indicating limited support for punctuated demographic shifts. Overall, results are consistent with gradual population growth rather than discrete expansion events.</w:t>
      </w:r>
    </w:p>
    <w:p w14:paraId="3EE46F44" w14:textId="77777777" w:rsidR="004E4040" w:rsidRDefault="004E4040" w:rsidP="004E4040">
      <w:pPr>
        <w:spacing w:after="0"/>
        <w:jc w:val="both"/>
        <w:rPr>
          <w:rFonts w:ascii="Aptos" w:hAnsi="Aptos"/>
          <w:b/>
          <w:bCs/>
          <w:lang w:val="en-GB"/>
        </w:rPr>
      </w:pPr>
    </w:p>
    <w:p w14:paraId="5C8D505A"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Supplementary Figure S</w:t>
      </w:r>
      <w:r>
        <w:rPr>
          <w:rFonts w:ascii="Aptos" w:hAnsi="Aptos"/>
          <w:b/>
          <w:bCs/>
          <w:lang w:val="en-GB"/>
        </w:rPr>
        <w:t>5:</w:t>
      </w:r>
      <w:r w:rsidRPr="003D7C68">
        <w:rPr>
          <w:rFonts w:ascii="Aptos" w:hAnsi="Aptos"/>
          <w:b/>
          <w:bCs/>
          <w:lang w:val="en-GB"/>
        </w:rPr>
        <w:t xml:space="preserve"> High-resolution distribution of antimicrobial resistance determinants</w:t>
      </w:r>
    </w:p>
    <w:p w14:paraId="345085EE" w14:textId="77777777" w:rsidR="004E4040" w:rsidRPr="003D7C68" w:rsidRDefault="004E4040" w:rsidP="004E4040">
      <w:pPr>
        <w:spacing w:after="0"/>
        <w:jc w:val="both"/>
        <w:rPr>
          <w:rFonts w:ascii="Aptos" w:hAnsi="Aptos"/>
          <w:lang w:val="en-GB"/>
        </w:rPr>
      </w:pPr>
      <w:r w:rsidRPr="003D7C68">
        <w:rPr>
          <w:rFonts w:ascii="Aptos" w:hAnsi="Aptos"/>
          <w:lang w:val="en-GB"/>
        </w:rPr>
        <w:t>Presence–absence matrix of individual AMR genes, resistance-associated mutations, and phenotypic non-susceptibility profiles across all isolates. This figure provides full resolution of the resistance determinants summarised in Figure 3 and illustrates the diversity of AMR gene combinations present within and between clonal complexes.</w:t>
      </w:r>
    </w:p>
    <w:p w14:paraId="102ED142" w14:textId="77777777" w:rsidR="004E4040" w:rsidRPr="003D7C68" w:rsidRDefault="004E4040" w:rsidP="004E4040">
      <w:pPr>
        <w:spacing w:after="0"/>
        <w:jc w:val="both"/>
        <w:rPr>
          <w:rFonts w:ascii="Aptos" w:hAnsi="Aptos"/>
          <w:lang w:val="en-GB"/>
        </w:rPr>
      </w:pPr>
    </w:p>
    <w:p w14:paraId="6F1E83A0"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Supplementary Figure S</w:t>
      </w:r>
      <w:r>
        <w:rPr>
          <w:rFonts w:ascii="Aptos" w:hAnsi="Aptos"/>
          <w:b/>
          <w:bCs/>
          <w:lang w:val="en-GB"/>
        </w:rPr>
        <w:t>6:</w:t>
      </w:r>
      <w:r w:rsidRPr="003D7C68">
        <w:rPr>
          <w:rFonts w:ascii="Aptos" w:hAnsi="Aptos"/>
          <w:b/>
          <w:bCs/>
          <w:lang w:val="en-GB"/>
        </w:rPr>
        <w:t xml:space="preserve"> Reduced </w:t>
      </w:r>
      <w:proofErr w:type="spellStart"/>
      <w:r w:rsidRPr="003D7C68">
        <w:rPr>
          <w:rFonts w:ascii="Aptos" w:hAnsi="Aptos"/>
          <w:b/>
          <w:bCs/>
          <w:i/>
          <w:iCs/>
          <w:lang w:val="en-GB"/>
        </w:rPr>
        <w:t>cmeB</w:t>
      </w:r>
      <w:proofErr w:type="spellEnd"/>
      <w:r w:rsidRPr="003D7C68">
        <w:rPr>
          <w:rFonts w:ascii="Aptos" w:hAnsi="Aptos"/>
          <w:b/>
          <w:bCs/>
          <w:lang w:val="en-GB"/>
        </w:rPr>
        <w:t xml:space="preserve"> allelic diversity in ST-1150 CC</w:t>
      </w:r>
    </w:p>
    <w:p w14:paraId="00AC893D" w14:textId="77777777" w:rsidR="004E4040" w:rsidRPr="003D7C68" w:rsidRDefault="004E4040" w:rsidP="004E4040">
      <w:pPr>
        <w:spacing w:after="0"/>
        <w:jc w:val="both"/>
        <w:rPr>
          <w:rFonts w:ascii="Aptos" w:hAnsi="Aptos"/>
          <w:lang w:val="en-GB"/>
        </w:rPr>
      </w:pPr>
      <w:r w:rsidRPr="003D7C68">
        <w:rPr>
          <w:rFonts w:ascii="Aptos" w:hAnsi="Aptos"/>
          <w:lang w:val="en-GB"/>
        </w:rPr>
        <w:lastRenderedPageBreak/>
        <w:t xml:space="preserve">Distribution of </w:t>
      </w:r>
      <w:proofErr w:type="spellStart"/>
      <w:r w:rsidRPr="003D7C68">
        <w:rPr>
          <w:rFonts w:ascii="Aptos" w:hAnsi="Aptos"/>
          <w:i/>
          <w:iCs/>
          <w:lang w:val="en-GB"/>
        </w:rPr>
        <w:t>cmeB</w:t>
      </w:r>
      <w:proofErr w:type="spellEnd"/>
      <w:r w:rsidRPr="003D7C68">
        <w:rPr>
          <w:rFonts w:ascii="Aptos" w:hAnsi="Aptos"/>
          <w:lang w:val="en-GB"/>
        </w:rPr>
        <w:t xml:space="preserve"> allelic variants across </w:t>
      </w:r>
      <w:r w:rsidRPr="003D7C68">
        <w:rPr>
          <w:rFonts w:ascii="Aptos" w:hAnsi="Aptos"/>
          <w:i/>
          <w:iCs/>
          <w:lang w:val="en-GB"/>
        </w:rPr>
        <w:t>C. coli</w:t>
      </w:r>
      <w:r w:rsidRPr="003D7C68">
        <w:rPr>
          <w:rFonts w:ascii="Aptos" w:hAnsi="Aptos"/>
          <w:lang w:val="en-GB"/>
        </w:rPr>
        <w:t xml:space="preserve"> lineages. ST-1150 CC exhibits markedly reduced </w:t>
      </w:r>
      <w:proofErr w:type="spellStart"/>
      <w:r w:rsidRPr="003D7C68">
        <w:rPr>
          <w:rFonts w:ascii="Aptos" w:hAnsi="Aptos"/>
          <w:i/>
          <w:iCs/>
          <w:lang w:val="en-GB"/>
        </w:rPr>
        <w:t>cmeB</w:t>
      </w:r>
      <w:proofErr w:type="spellEnd"/>
      <w:r w:rsidRPr="003D7C68">
        <w:rPr>
          <w:rFonts w:ascii="Aptos" w:hAnsi="Aptos"/>
          <w:lang w:val="en-GB"/>
        </w:rPr>
        <w:t xml:space="preserve"> allelic diversity compared with ST-828 CC and other clades, consistent with fixation of a resistance-associated variant during recent clonal expansion and/or selection.</w:t>
      </w:r>
    </w:p>
    <w:p w14:paraId="7619A33A" w14:textId="77777777" w:rsidR="004E4040" w:rsidRPr="003D7C68" w:rsidRDefault="004E4040" w:rsidP="004E4040">
      <w:pPr>
        <w:spacing w:after="0"/>
        <w:jc w:val="both"/>
        <w:rPr>
          <w:rFonts w:ascii="Aptos" w:hAnsi="Aptos"/>
          <w:lang w:val="en-GB"/>
        </w:rPr>
      </w:pPr>
    </w:p>
    <w:p w14:paraId="5097DF82" w14:textId="77777777" w:rsidR="004E4040" w:rsidRPr="003D7C68" w:rsidRDefault="004E4040" w:rsidP="004E4040">
      <w:pPr>
        <w:spacing w:after="0"/>
        <w:jc w:val="both"/>
        <w:rPr>
          <w:rFonts w:ascii="Aptos" w:hAnsi="Aptos"/>
          <w:b/>
          <w:bCs/>
          <w:lang w:val="en-GB"/>
        </w:rPr>
      </w:pPr>
      <w:r w:rsidRPr="003D7C68">
        <w:rPr>
          <w:rFonts w:ascii="Aptos" w:hAnsi="Aptos"/>
          <w:b/>
          <w:bCs/>
          <w:lang w:val="en-GB"/>
        </w:rPr>
        <w:t>Supplementary Figure S</w:t>
      </w:r>
      <w:r>
        <w:rPr>
          <w:rFonts w:ascii="Aptos" w:hAnsi="Aptos"/>
          <w:b/>
          <w:bCs/>
          <w:lang w:val="en-GB"/>
        </w:rPr>
        <w:t>8:</w:t>
      </w:r>
      <w:r w:rsidRPr="003D7C68">
        <w:rPr>
          <w:rFonts w:ascii="Aptos" w:hAnsi="Aptos"/>
          <w:b/>
          <w:bCs/>
          <w:lang w:val="en-GB"/>
        </w:rPr>
        <w:t xml:space="preserve"> Virulence gene content and disease severity</w:t>
      </w:r>
    </w:p>
    <w:p w14:paraId="6D6651C5" w14:textId="77777777" w:rsidR="004E4040" w:rsidRPr="003D7C68" w:rsidRDefault="004E4040" w:rsidP="004E4040">
      <w:pPr>
        <w:spacing w:after="0"/>
        <w:jc w:val="both"/>
        <w:rPr>
          <w:rFonts w:ascii="Aptos" w:hAnsi="Aptos"/>
          <w:lang w:val="en-GB"/>
        </w:rPr>
      </w:pPr>
      <w:r w:rsidRPr="003D7C68">
        <w:rPr>
          <w:rFonts w:ascii="Aptos" w:hAnsi="Aptos"/>
          <w:lang w:val="en-GB"/>
        </w:rPr>
        <w:t>(A) Number of virulence-associated genes identified per isolate using the Virulence Factors Database (VFDB). (B) Proportion of isolates associated with gastroenteritis and asymptomatic carriage by clonal complex. (C) Distribution of MAL-ED diarrhoeal severity scores for infections caused by ST-1150 CC and ST-828 CC. Despite the over-representation of ST-1150 CC among diarrhoeal cases, no evidence of increased disease severity or acquisition of lineage-specific virulence determinants was observed.</w:t>
      </w:r>
    </w:p>
    <w:p w14:paraId="095BE0B7" w14:textId="77777777" w:rsidR="004E4040" w:rsidRDefault="004E4040" w:rsidP="004E4040">
      <w:pPr>
        <w:rPr>
          <w:rFonts w:ascii="Aptos" w:hAnsi="Aptos"/>
          <w:lang w:val="en-GB"/>
        </w:rPr>
      </w:pPr>
      <w:r>
        <w:rPr>
          <w:rFonts w:ascii="Aptos" w:hAnsi="Aptos"/>
          <w:lang w:val="en-GB"/>
        </w:rPr>
        <w:br w:type="page"/>
      </w:r>
    </w:p>
    <w:p w14:paraId="24C8808F" w14:textId="77777777" w:rsidR="004E4040" w:rsidRDefault="004E4040" w:rsidP="004E4040">
      <w:pPr>
        <w:spacing w:after="0"/>
        <w:jc w:val="both"/>
        <w:rPr>
          <w:rFonts w:ascii="Aptos" w:hAnsi="Aptos"/>
          <w:b/>
          <w:bCs/>
          <w:lang w:val="en-GB"/>
        </w:rPr>
      </w:pPr>
      <w:r w:rsidRPr="003D7C68">
        <w:rPr>
          <w:rFonts w:ascii="Aptos" w:hAnsi="Aptos"/>
          <w:b/>
          <w:bCs/>
          <w:lang w:val="en-GB"/>
        </w:rPr>
        <w:lastRenderedPageBreak/>
        <w:t xml:space="preserve">Supplementary </w:t>
      </w:r>
      <w:r>
        <w:rPr>
          <w:rFonts w:ascii="Aptos" w:hAnsi="Aptos"/>
          <w:b/>
          <w:bCs/>
          <w:lang w:val="en-GB"/>
        </w:rPr>
        <w:t>tables</w:t>
      </w:r>
    </w:p>
    <w:p w14:paraId="3AF8AAA4" w14:textId="77777777" w:rsidR="004E4040" w:rsidRDefault="004E4040" w:rsidP="004E4040">
      <w:pPr>
        <w:spacing w:after="0"/>
        <w:jc w:val="both"/>
        <w:rPr>
          <w:rFonts w:ascii="Aptos" w:hAnsi="Aptos"/>
          <w:b/>
          <w:bCs/>
          <w:lang w:val="en-GB"/>
        </w:rPr>
      </w:pPr>
    </w:p>
    <w:p w14:paraId="70B7345C"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S1</w:t>
      </w:r>
      <w:r>
        <w:rPr>
          <w:rFonts w:ascii="Aptos" w:hAnsi="Aptos"/>
          <w:b/>
          <w:bCs/>
          <w:lang w:val="en-GB"/>
        </w:rPr>
        <w:t>:</w:t>
      </w:r>
      <w:r w:rsidRPr="00C87D56">
        <w:rPr>
          <w:rFonts w:ascii="Aptos" w:hAnsi="Aptos"/>
          <w:b/>
          <w:bCs/>
          <w:lang w:val="en-GB"/>
        </w:rPr>
        <w:t xml:space="preserve"> Isolate metadata and sequence information</w:t>
      </w:r>
    </w:p>
    <w:p w14:paraId="3F60A502" w14:textId="77777777" w:rsidR="004E4040" w:rsidRPr="00C87D56" w:rsidRDefault="004E4040" w:rsidP="004E4040">
      <w:pPr>
        <w:spacing w:after="0"/>
        <w:jc w:val="both"/>
        <w:rPr>
          <w:rFonts w:ascii="Aptos" w:hAnsi="Aptos"/>
          <w:lang w:val="en-GB"/>
        </w:rPr>
      </w:pPr>
      <w:r w:rsidRPr="00C87D56">
        <w:rPr>
          <w:rFonts w:ascii="Aptos" w:hAnsi="Aptos"/>
          <w:lang w:val="en-GB"/>
        </w:rPr>
        <w:t xml:space="preserve">Metadata for all 460 </w:t>
      </w:r>
      <w:r w:rsidRPr="00C87D56">
        <w:rPr>
          <w:rFonts w:ascii="Aptos" w:hAnsi="Aptos"/>
          <w:i/>
          <w:iCs/>
          <w:lang w:val="en-GB"/>
        </w:rPr>
        <w:t>C. coli</w:t>
      </w:r>
      <w:r w:rsidRPr="00C87D56">
        <w:rPr>
          <w:rFonts w:ascii="Aptos" w:hAnsi="Aptos"/>
          <w:lang w:val="en-GB"/>
        </w:rPr>
        <w:t xml:space="preserve"> isolates included in this study. </w:t>
      </w:r>
    </w:p>
    <w:p w14:paraId="79A713AB" w14:textId="77777777" w:rsidR="004E4040" w:rsidRPr="00C87D56" w:rsidRDefault="004E4040" w:rsidP="004E4040">
      <w:pPr>
        <w:spacing w:after="0"/>
        <w:jc w:val="both"/>
        <w:rPr>
          <w:rFonts w:ascii="Aptos" w:hAnsi="Aptos"/>
          <w:lang w:val="en-GB"/>
        </w:rPr>
      </w:pPr>
    </w:p>
    <w:p w14:paraId="19AA6E13"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S2</w:t>
      </w:r>
      <w:r>
        <w:rPr>
          <w:rFonts w:ascii="Aptos" w:hAnsi="Aptos"/>
          <w:b/>
          <w:bCs/>
          <w:lang w:val="en-GB"/>
        </w:rPr>
        <w:t>:</w:t>
      </w:r>
      <w:r w:rsidRPr="00C87D56">
        <w:rPr>
          <w:rFonts w:ascii="Aptos" w:hAnsi="Aptos"/>
          <w:b/>
          <w:bCs/>
          <w:lang w:val="en-GB"/>
        </w:rPr>
        <w:t xml:space="preserve"> Global contextualisation of ST-1150 CC</w:t>
      </w:r>
    </w:p>
    <w:p w14:paraId="3A4D988F" w14:textId="77777777" w:rsidR="004E4040" w:rsidRPr="00C87D56" w:rsidRDefault="004E4040" w:rsidP="004E4040">
      <w:pPr>
        <w:spacing w:after="0"/>
        <w:jc w:val="both"/>
        <w:rPr>
          <w:rFonts w:ascii="Aptos" w:hAnsi="Aptos"/>
          <w:lang w:val="en-GB"/>
        </w:rPr>
      </w:pPr>
      <w:r w:rsidRPr="00C87D56">
        <w:rPr>
          <w:rFonts w:ascii="Aptos" w:hAnsi="Aptos"/>
          <w:lang w:val="en-GB"/>
        </w:rPr>
        <w:t>Summary of genome</w:t>
      </w:r>
      <w:r>
        <w:rPr>
          <w:rFonts w:ascii="Aptos" w:hAnsi="Aptos"/>
          <w:lang w:val="en-GB"/>
        </w:rPr>
        <w:t xml:space="preserve"> quality control, including number of contigs and genome size. </w:t>
      </w:r>
    </w:p>
    <w:p w14:paraId="4DE26EA1" w14:textId="77777777" w:rsidR="004E4040" w:rsidRPr="00C87D56" w:rsidRDefault="004E4040" w:rsidP="004E4040">
      <w:pPr>
        <w:spacing w:after="0"/>
        <w:jc w:val="both"/>
        <w:rPr>
          <w:rFonts w:ascii="Aptos" w:hAnsi="Aptos"/>
          <w:lang w:val="en-GB"/>
        </w:rPr>
      </w:pPr>
    </w:p>
    <w:p w14:paraId="02BAF7AD"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S3</w:t>
      </w:r>
      <w:r>
        <w:rPr>
          <w:rFonts w:ascii="Aptos" w:hAnsi="Aptos"/>
          <w:b/>
          <w:bCs/>
          <w:lang w:val="en-GB"/>
        </w:rPr>
        <w:t>:</w:t>
      </w:r>
      <w:r w:rsidRPr="00C87D56">
        <w:rPr>
          <w:rFonts w:ascii="Aptos" w:hAnsi="Aptos"/>
          <w:b/>
          <w:bCs/>
          <w:lang w:val="en-GB"/>
        </w:rPr>
        <w:t xml:space="preserve"> Pangenome composition</w:t>
      </w:r>
    </w:p>
    <w:p w14:paraId="59BC4B83" w14:textId="77777777" w:rsidR="004E4040" w:rsidRPr="00C87D56" w:rsidRDefault="004E4040" w:rsidP="004E4040">
      <w:pPr>
        <w:spacing w:after="0"/>
        <w:jc w:val="both"/>
        <w:rPr>
          <w:rFonts w:ascii="Aptos" w:hAnsi="Aptos"/>
          <w:lang w:val="en-GB"/>
        </w:rPr>
      </w:pPr>
      <w:r w:rsidRPr="00C87D56">
        <w:rPr>
          <w:rFonts w:ascii="Aptos" w:hAnsi="Aptos"/>
          <w:lang w:val="en-GB"/>
        </w:rPr>
        <w:t xml:space="preserve">Per-isolate </w:t>
      </w:r>
      <w:r>
        <w:rPr>
          <w:rFonts w:ascii="Aptos" w:hAnsi="Aptos"/>
          <w:lang w:val="en-GB"/>
        </w:rPr>
        <w:t>table of core and accessory gene presence</w:t>
      </w:r>
      <w:r w:rsidRPr="00C87D56">
        <w:rPr>
          <w:rFonts w:ascii="Aptos" w:hAnsi="Aptos"/>
          <w:lang w:val="en-GB"/>
        </w:rPr>
        <w:t xml:space="preserve">. </w:t>
      </w:r>
    </w:p>
    <w:p w14:paraId="27A9CC1E" w14:textId="77777777" w:rsidR="004E4040" w:rsidRPr="00C87D56" w:rsidRDefault="004E4040" w:rsidP="004E4040">
      <w:pPr>
        <w:spacing w:after="0"/>
        <w:jc w:val="both"/>
        <w:rPr>
          <w:rFonts w:ascii="Aptos" w:hAnsi="Aptos"/>
          <w:lang w:val="en-GB"/>
        </w:rPr>
      </w:pPr>
    </w:p>
    <w:p w14:paraId="3808581E"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S4</w:t>
      </w:r>
      <w:r>
        <w:rPr>
          <w:rFonts w:ascii="Aptos" w:hAnsi="Aptos"/>
          <w:b/>
          <w:bCs/>
          <w:lang w:val="en-GB"/>
        </w:rPr>
        <w:t>:</w:t>
      </w:r>
      <w:r w:rsidRPr="00C87D56">
        <w:rPr>
          <w:rFonts w:ascii="Aptos" w:hAnsi="Aptos"/>
          <w:b/>
          <w:bCs/>
          <w:lang w:val="en-GB"/>
        </w:rPr>
        <w:t xml:space="preserve"> Accessory genome summary statistics</w:t>
      </w:r>
    </w:p>
    <w:p w14:paraId="332939BC" w14:textId="77777777" w:rsidR="004E4040" w:rsidRDefault="004E4040" w:rsidP="004E4040">
      <w:pPr>
        <w:spacing w:after="0"/>
        <w:jc w:val="both"/>
        <w:rPr>
          <w:rFonts w:ascii="Aptos" w:hAnsi="Aptos"/>
          <w:lang w:val="en-GB"/>
        </w:rPr>
      </w:pPr>
      <w:r w:rsidRPr="00C87D56">
        <w:rPr>
          <w:rFonts w:ascii="Aptos" w:hAnsi="Aptos"/>
          <w:lang w:val="en-GB"/>
        </w:rPr>
        <w:t xml:space="preserve">Summary of pangenome structure across the dataset, including total number of gene families, core genes (≥95% presence), soft-core genes, shell genes, and cloud genes. </w:t>
      </w:r>
    </w:p>
    <w:p w14:paraId="4F98BC09" w14:textId="77777777" w:rsidR="004E4040" w:rsidRPr="00C87D56" w:rsidRDefault="004E4040" w:rsidP="004E4040">
      <w:pPr>
        <w:spacing w:after="0"/>
        <w:jc w:val="both"/>
        <w:rPr>
          <w:rFonts w:ascii="Aptos" w:hAnsi="Aptos"/>
          <w:lang w:val="en-GB"/>
        </w:rPr>
      </w:pPr>
    </w:p>
    <w:p w14:paraId="31727DD6"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S5</w:t>
      </w:r>
      <w:r>
        <w:rPr>
          <w:rFonts w:ascii="Aptos" w:hAnsi="Aptos"/>
          <w:b/>
          <w:bCs/>
          <w:lang w:val="en-GB"/>
        </w:rPr>
        <w:t>:</w:t>
      </w:r>
      <w:r w:rsidRPr="00C87D56">
        <w:rPr>
          <w:rFonts w:ascii="Aptos" w:hAnsi="Aptos"/>
          <w:b/>
          <w:bCs/>
          <w:lang w:val="en-GB"/>
        </w:rPr>
        <w:t xml:space="preserve"> Historical demographic </w:t>
      </w:r>
      <w:r>
        <w:rPr>
          <w:rFonts w:ascii="Aptos" w:hAnsi="Aptos"/>
          <w:b/>
          <w:bCs/>
          <w:lang w:val="en-GB"/>
        </w:rPr>
        <w:t>estimates</w:t>
      </w:r>
    </w:p>
    <w:p w14:paraId="1052490C" w14:textId="77777777" w:rsidR="004E4040" w:rsidRPr="00C87D56" w:rsidRDefault="004E4040" w:rsidP="004E4040">
      <w:pPr>
        <w:spacing w:after="0"/>
        <w:jc w:val="both"/>
        <w:rPr>
          <w:rFonts w:ascii="Aptos" w:hAnsi="Aptos"/>
          <w:lang w:val="en-GB"/>
        </w:rPr>
      </w:pPr>
      <w:r w:rsidRPr="00C87D56">
        <w:rPr>
          <w:rFonts w:ascii="Aptos" w:hAnsi="Aptos"/>
          <w:lang w:val="en-GB"/>
        </w:rPr>
        <w:t>Summary of historical human population estimates for Iquitos</w:t>
      </w:r>
      <w:r>
        <w:rPr>
          <w:rFonts w:ascii="Aptos" w:hAnsi="Aptos"/>
          <w:lang w:val="en-GB"/>
        </w:rPr>
        <w:t xml:space="preserve"> and p</w:t>
      </w:r>
      <w:r w:rsidRPr="00C87D56">
        <w:rPr>
          <w:rFonts w:ascii="Aptos" w:hAnsi="Aptos"/>
          <w:lang w:val="en-GB"/>
        </w:rPr>
        <w:t xml:space="preserve">osterior estimates </w:t>
      </w:r>
      <w:proofErr w:type="spellStart"/>
      <w:r>
        <w:rPr>
          <w:rFonts w:ascii="Aptos" w:hAnsi="Aptos"/>
          <w:lang w:val="en-GB"/>
        </w:rPr>
        <w:t>fro</w:t>
      </w:r>
      <w:proofErr w:type="spellEnd"/>
      <w:r>
        <w:rPr>
          <w:rFonts w:ascii="Aptos" w:hAnsi="Aptos"/>
          <w:lang w:val="en-GB"/>
        </w:rPr>
        <w:t xml:space="preserve"> effective population size (Ne).</w:t>
      </w:r>
    </w:p>
    <w:p w14:paraId="3FC8FDB8" w14:textId="77777777" w:rsidR="004E4040" w:rsidRPr="00C87D56" w:rsidRDefault="004E4040" w:rsidP="004E4040">
      <w:pPr>
        <w:spacing w:after="0"/>
        <w:jc w:val="both"/>
        <w:rPr>
          <w:rFonts w:ascii="Aptos" w:hAnsi="Aptos"/>
          <w:lang w:val="en-GB"/>
        </w:rPr>
      </w:pPr>
    </w:p>
    <w:p w14:paraId="1CBA43B4"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S6</w:t>
      </w:r>
      <w:r>
        <w:rPr>
          <w:rFonts w:ascii="Aptos" w:hAnsi="Aptos"/>
          <w:b/>
          <w:bCs/>
          <w:lang w:val="en-GB"/>
        </w:rPr>
        <w:t xml:space="preserve">: </w:t>
      </w:r>
      <w:r w:rsidRPr="00C87D56">
        <w:rPr>
          <w:rFonts w:ascii="Aptos" w:hAnsi="Aptos"/>
          <w:b/>
          <w:bCs/>
          <w:lang w:val="en-GB"/>
        </w:rPr>
        <w:t xml:space="preserve">Historical </w:t>
      </w:r>
      <w:r>
        <w:rPr>
          <w:rFonts w:ascii="Aptos" w:hAnsi="Aptos"/>
          <w:b/>
          <w:bCs/>
          <w:lang w:val="en-GB"/>
        </w:rPr>
        <w:t xml:space="preserve">poultry population </w:t>
      </w:r>
      <w:proofErr w:type="spellStart"/>
      <w:r>
        <w:rPr>
          <w:rFonts w:ascii="Aptos" w:hAnsi="Aptos"/>
          <w:b/>
          <w:bCs/>
          <w:lang w:val="en-GB"/>
        </w:rPr>
        <w:t>estiamtes</w:t>
      </w:r>
      <w:proofErr w:type="spellEnd"/>
    </w:p>
    <w:p w14:paraId="30C40B49" w14:textId="77777777" w:rsidR="004E4040" w:rsidRPr="00C87D56" w:rsidRDefault="004E4040" w:rsidP="004E4040">
      <w:pPr>
        <w:spacing w:after="0"/>
        <w:jc w:val="both"/>
        <w:rPr>
          <w:rFonts w:ascii="Aptos" w:hAnsi="Aptos"/>
          <w:lang w:val="en-GB"/>
        </w:rPr>
      </w:pPr>
      <w:r w:rsidRPr="00C87D56">
        <w:rPr>
          <w:rFonts w:ascii="Aptos" w:hAnsi="Aptos"/>
          <w:lang w:val="en-GB"/>
        </w:rPr>
        <w:t>Summary of historical and annual poultry production statistics for Loreto Department.</w:t>
      </w:r>
    </w:p>
    <w:p w14:paraId="6BF1C084" w14:textId="77777777" w:rsidR="004E4040" w:rsidRPr="00C87D56" w:rsidRDefault="004E4040" w:rsidP="004E4040">
      <w:pPr>
        <w:spacing w:after="0"/>
        <w:jc w:val="both"/>
        <w:rPr>
          <w:rFonts w:ascii="Aptos" w:hAnsi="Aptos"/>
          <w:lang w:val="en-GB"/>
        </w:rPr>
      </w:pPr>
    </w:p>
    <w:p w14:paraId="34736F5B"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S7</w:t>
      </w:r>
      <w:r>
        <w:rPr>
          <w:rFonts w:ascii="Aptos" w:hAnsi="Aptos"/>
          <w:b/>
          <w:bCs/>
          <w:lang w:val="en-GB"/>
        </w:rPr>
        <w:t>:</w:t>
      </w:r>
      <w:r w:rsidRPr="00C87D56">
        <w:rPr>
          <w:rFonts w:ascii="Aptos" w:hAnsi="Aptos"/>
          <w:b/>
          <w:bCs/>
          <w:lang w:val="en-GB"/>
        </w:rPr>
        <w:t xml:space="preserve"> Phenotypic antimicrobial susceptibility profiles</w:t>
      </w:r>
    </w:p>
    <w:p w14:paraId="4B83C302" w14:textId="77777777" w:rsidR="004E4040" w:rsidRPr="00C87D56" w:rsidRDefault="004E4040" w:rsidP="004E4040">
      <w:pPr>
        <w:spacing w:after="0"/>
        <w:jc w:val="both"/>
        <w:rPr>
          <w:rFonts w:ascii="Aptos" w:hAnsi="Aptos"/>
          <w:lang w:val="en-GB"/>
        </w:rPr>
      </w:pPr>
      <w:r w:rsidRPr="00C87D56">
        <w:rPr>
          <w:rFonts w:ascii="Aptos" w:hAnsi="Aptos"/>
          <w:lang w:val="en-GB"/>
        </w:rPr>
        <w:t>Disk diffusion results for all tested antibiotics across isolates, including categorical interpretation (susceptible, intermediate, resistant) according to CLSI guidelines. Multidrug resistance (MDR) classification is indicated.</w:t>
      </w:r>
    </w:p>
    <w:p w14:paraId="18DD1279" w14:textId="77777777" w:rsidR="004E4040" w:rsidRPr="00C87D56" w:rsidRDefault="004E4040" w:rsidP="004E4040">
      <w:pPr>
        <w:spacing w:after="0"/>
        <w:jc w:val="both"/>
        <w:rPr>
          <w:rFonts w:ascii="Aptos" w:hAnsi="Aptos"/>
          <w:lang w:val="en-GB"/>
        </w:rPr>
      </w:pPr>
    </w:p>
    <w:p w14:paraId="741A7143"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S8</w:t>
      </w:r>
      <w:r>
        <w:rPr>
          <w:rFonts w:ascii="Aptos" w:hAnsi="Aptos"/>
          <w:b/>
          <w:bCs/>
          <w:lang w:val="en-GB"/>
        </w:rPr>
        <w:t>:</w:t>
      </w:r>
      <w:r w:rsidRPr="00C87D56">
        <w:rPr>
          <w:rFonts w:ascii="Aptos" w:hAnsi="Aptos"/>
          <w:b/>
          <w:bCs/>
          <w:lang w:val="en-GB"/>
        </w:rPr>
        <w:t xml:space="preserve"> Genomic antimicrobial resistance determinants</w:t>
      </w:r>
    </w:p>
    <w:p w14:paraId="35781838" w14:textId="77777777" w:rsidR="004E4040" w:rsidRPr="00C87D56" w:rsidRDefault="004E4040" w:rsidP="004E4040">
      <w:pPr>
        <w:spacing w:after="0"/>
        <w:jc w:val="both"/>
        <w:rPr>
          <w:rFonts w:ascii="Aptos" w:hAnsi="Aptos"/>
          <w:lang w:val="en-GB"/>
        </w:rPr>
      </w:pPr>
      <w:r w:rsidRPr="00C87D56">
        <w:rPr>
          <w:rFonts w:ascii="Aptos" w:hAnsi="Aptos"/>
          <w:lang w:val="en-GB"/>
        </w:rPr>
        <w:t xml:space="preserve">Presence/absence of acquired resistance genes and resistance-associated chromosomal mutations identified using </w:t>
      </w:r>
      <w:proofErr w:type="spellStart"/>
      <w:r w:rsidRPr="00C87D56">
        <w:rPr>
          <w:rFonts w:ascii="Aptos" w:hAnsi="Aptos"/>
          <w:lang w:val="en-GB"/>
        </w:rPr>
        <w:t>AMRFinderPlus</w:t>
      </w:r>
      <w:proofErr w:type="spellEnd"/>
      <w:r>
        <w:rPr>
          <w:rFonts w:ascii="Aptos" w:hAnsi="Aptos"/>
          <w:lang w:val="en-GB"/>
        </w:rPr>
        <w:t>.</w:t>
      </w:r>
    </w:p>
    <w:p w14:paraId="5B45E001" w14:textId="77777777" w:rsidR="004E4040" w:rsidRPr="00C87D56" w:rsidRDefault="004E4040" w:rsidP="004E4040">
      <w:pPr>
        <w:spacing w:after="0"/>
        <w:jc w:val="both"/>
        <w:rPr>
          <w:rFonts w:ascii="Aptos" w:hAnsi="Aptos"/>
          <w:lang w:val="en-GB"/>
        </w:rPr>
      </w:pPr>
    </w:p>
    <w:p w14:paraId="22AF6107" w14:textId="77777777" w:rsidR="004E4040" w:rsidRPr="00C87D56" w:rsidRDefault="004E4040" w:rsidP="004E4040">
      <w:pPr>
        <w:spacing w:after="0"/>
        <w:jc w:val="both"/>
        <w:rPr>
          <w:rFonts w:ascii="Aptos" w:hAnsi="Aptos"/>
          <w:b/>
          <w:bCs/>
          <w:lang w:val="en-GB"/>
        </w:rPr>
      </w:pPr>
      <w:r w:rsidRPr="00C87D56">
        <w:rPr>
          <w:rFonts w:ascii="Aptos" w:hAnsi="Aptos"/>
          <w:b/>
          <w:bCs/>
          <w:lang w:val="en-GB"/>
        </w:rPr>
        <w:t>Supplementary Table S9</w:t>
      </w:r>
      <w:r>
        <w:rPr>
          <w:rFonts w:ascii="Aptos" w:hAnsi="Aptos"/>
          <w:b/>
          <w:bCs/>
          <w:lang w:val="en-GB"/>
        </w:rPr>
        <w:t>:</w:t>
      </w:r>
      <w:r w:rsidRPr="00C87D56">
        <w:rPr>
          <w:rFonts w:ascii="Aptos" w:hAnsi="Aptos"/>
          <w:b/>
          <w:bCs/>
          <w:lang w:val="en-GB"/>
        </w:rPr>
        <w:t xml:space="preserve"> Virulence gene presence–absence matrix</w:t>
      </w:r>
    </w:p>
    <w:p w14:paraId="3D2A1B24" w14:textId="77777777" w:rsidR="004E4040" w:rsidRPr="00C87D56" w:rsidRDefault="004E4040" w:rsidP="004E4040">
      <w:pPr>
        <w:spacing w:after="0"/>
        <w:jc w:val="both"/>
        <w:rPr>
          <w:rFonts w:ascii="Aptos" w:hAnsi="Aptos"/>
          <w:lang w:val="en-GB"/>
        </w:rPr>
      </w:pPr>
      <w:r w:rsidRPr="00C87D56">
        <w:rPr>
          <w:rFonts w:ascii="Aptos" w:hAnsi="Aptos"/>
          <w:lang w:val="en-GB"/>
        </w:rPr>
        <w:t>Presence/absence of virulence-associated genes identified using the Virulence Factors Database (VFDB). Genes are grouped by functional category (e.g., toxin production, motility, iron acquisition).</w:t>
      </w:r>
    </w:p>
    <w:p w14:paraId="13600681" w14:textId="77777777" w:rsidR="004E4040" w:rsidRPr="003D7C68" w:rsidRDefault="004E4040" w:rsidP="004E4040">
      <w:pPr>
        <w:spacing w:after="0"/>
        <w:jc w:val="both"/>
        <w:rPr>
          <w:rFonts w:ascii="Aptos" w:hAnsi="Aptos"/>
          <w:b/>
          <w:bCs/>
          <w:lang w:val="en-GB"/>
        </w:rPr>
      </w:pPr>
    </w:p>
    <w:p w14:paraId="65E62ED8" w14:textId="77777777" w:rsidR="004E4040" w:rsidRPr="003D7C68" w:rsidRDefault="004E4040" w:rsidP="004E4040">
      <w:pPr>
        <w:spacing w:after="0"/>
        <w:jc w:val="both"/>
        <w:rPr>
          <w:rFonts w:ascii="Aptos" w:hAnsi="Aptos"/>
          <w:lang w:val="en-GB"/>
        </w:rPr>
      </w:pPr>
      <w:r w:rsidRPr="003D7C68">
        <w:rPr>
          <w:rFonts w:ascii="Aptos" w:hAnsi="Aptos"/>
          <w:lang w:val="en-GB"/>
        </w:rPr>
        <w:br w:type="page"/>
      </w:r>
    </w:p>
    <w:p w14:paraId="4AA00636" w14:textId="77777777" w:rsidR="004E4040" w:rsidRPr="003D7C68" w:rsidRDefault="004E4040" w:rsidP="004E4040">
      <w:pPr>
        <w:spacing w:after="0" w:line="360" w:lineRule="auto"/>
        <w:jc w:val="both"/>
        <w:rPr>
          <w:rFonts w:ascii="Aptos" w:eastAsiaTheme="minorEastAsia" w:hAnsi="Aptos"/>
          <w:lang w:val="en-GB"/>
        </w:rPr>
      </w:pPr>
    </w:p>
    <w:p w14:paraId="781B151D" w14:textId="77777777" w:rsidR="004E4040" w:rsidRPr="003D7C68" w:rsidRDefault="004E4040" w:rsidP="004E4040">
      <w:pPr>
        <w:spacing w:after="0" w:line="240" w:lineRule="auto"/>
        <w:jc w:val="both"/>
        <w:rPr>
          <w:rFonts w:ascii="Aptos" w:eastAsiaTheme="minorEastAsia" w:hAnsi="Aptos"/>
          <w:lang w:val="en-GB"/>
        </w:rPr>
      </w:pPr>
      <w:r w:rsidRPr="003D7C68">
        <w:rPr>
          <w:rFonts w:ascii="Aptos" w:eastAsiaTheme="minorEastAsia" w:hAnsi="Aptos"/>
          <w:b/>
          <w:bCs/>
          <w:lang w:val="en-GB"/>
        </w:rPr>
        <w:t>Supplementary Figure S1:</w:t>
      </w:r>
      <w:r w:rsidRPr="003D7C68">
        <w:rPr>
          <w:rFonts w:ascii="Aptos" w:eastAsiaTheme="minorEastAsia" w:hAnsi="Aptos"/>
          <w:lang w:val="en-GB"/>
        </w:rPr>
        <w:t xml:space="preserve"> </w:t>
      </w:r>
      <w:r w:rsidRPr="003D7C68">
        <w:rPr>
          <w:rFonts w:ascii="Aptos" w:eastAsiaTheme="minorEastAsia" w:hAnsi="Aptos"/>
          <w:b/>
          <w:bCs/>
          <w:lang w:val="en-GB"/>
        </w:rPr>
        <w:t xml:space="preserve">Accessory genome variation and source-associated clustering among </w:t>
      </w:r>
      <w:r w:rsidRPr="003D7C68">
        <w:rPr>
          <w:rFonts w:ascii="Aptos" w:eastAsiaTheme="minorEastAsia" w:hAnsi="Aptos"/>
          <w:b/>
          <w:bCs/>
          <w:i/>
          <w:iCs/>
          <w:lang w:val="en-GB"/>
        </w:rPr>
        <w:t>C. coli</w:t>
      </w:r>
      <w:r w:rsidRPr="003D7C68">
        <w:rPr>
          <w:rFonts w:ascii="Aptos" w:eastAsiaTheme="minorEastAsia" w:hAnsi="Aptos"/>
          <w:b/>
          <w:bCs/>
          <w:lang w:val="en-GB"/>
        </w:rPr>
        <w:t xml:space="preserve"> isolates from Iquitos, Peru. </w:t>
      </w:r>
      <w:r w:rsidRPr="003D7C68">
        <w:rPr>
          <w:rFonts w:ascii="Aptos" w:eastAsiaTheme="minorEastAsia" w:hAnsi="Aptos"/>
          <w:lang w:val="en-GB"/>
        </w:rPr>
        <w:t xml:space="preserve">(A) Number of isolates per clonal complex, showing predominance of ST-828 CC and ST-1150 CC in the Peruvian collection. (B) Number of isolates from human gastroenteritis cases (red) and asymptomatic samples (blue) within ST-828 CC and ST-1150 CC. (C) Violin plots of accessory genome size (number of accessory gene families) by CC and </w:t>
      </w:r>
      <w:r w:rsidRPr="003D7C68">
        <w:rPr>
          <w:rFonts w:ascii="Aptos" w:eastAsiaTheme="minorEastAsia" w:hAnsi="Aptos"/>
          <w:i/>
          <w:iCs/>
          <w:lang w:val="en-GB"/>
        </w:rPr>
        <w:t>C. coli</w:t>
      </w:r>
      <w:r w:rsidRPr="003D7C68">
        <w:rPr>
          <w:rFonts w:ascii="Aptos" w:eastAsiaTheme="minorEastAsia" w:hAnsi="Aptos"/>
          <w:lang w:val="en-GB"/>
        </w:rPr>
        <w:t xml:space="preserve"> clades, showing no significant difference between ST-828 CC and ST-1150 CC (Welch’s t-test, ns).  (D) Core–accessory genome plot showing clustering of isolates based on accessory gene content (n = 2,209 gene families) with core genome size indicated (1,428 gene families). ST-1150 CC isolates form a distinct, tight cluster compared to the more heterogeneous ST-828 CC. (E) Two-dimensional t-SNE projection of accessory genome distances generated using PANINI, coloured by source. ST-1150 CC isolates cluster almost exclusively with poultry-derived isolates, whereas ST-828 CC shares accessory content with both poultry- and swine-derived isolates.</w:t>
      </w:r>
    </w:p>
    <w:p w14:paraId="09EC0BB9"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040"/>
    <w:rsid w:val="00066677"/>
    <w:rsid w:val="003A4E89"/>
    <w:rsid w:val="003D7EB6"/>
    <w:rsid w:val="004E4040"/>
    <w:rsid w:val="00556784"/>
    <w:rsid w:val="008B07A6"/>
    <w:rsid w:val="00987B63"/>
    <w:rsid w:val="0099303C"/>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80B9B"/>
  <w15:chartTrackingRefBased/>
  <w15:docId w15:val="{8C20F49F-A7C3-4A3B-98CB-1D8CFFBCE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040"/>
    <w:pPr>
      <w:spacing w:line="259" w:lineRule="auto"/>
    </w:pPr>
    <w:rPr>
      <w:kern w:val="0"/>
      <w:sz w:val="22"/>
      <w:szCs w:val="22"/>
      <w14:ligatures w14:val="none"/>
    </w:rPr>
  </w:style>
  <w:style w:type="paragraph" w:styleId="Heading1">
    <w:name w:val="heading 1"/>
    <w:basedOn w:val="Normal"/>
    <w:next w:val="Normal"/>
    <w:link w:val="Heading1Char"/>
    <w:uiPriority w:val="9"/>
    <w:qFormat/>
    <w:rsid w:val="004E404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E404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E4040"/>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E4040"/>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E4040"/>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E404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E404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E404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E404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0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40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40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40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40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40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40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40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4040"/>
    <w:rPr>
      <w:rFonts w:eastAsiaTheme="majorEastAsia" w:cstheme="majorBidi"/>
      <w:color w:val="272727" w:themeColor="text1" w:themeTint="D8"/>
    </w:rPr>
  </w:style>
  <w:style w:type="paragraph" w:styleId="Title">
    <w:name w:val="Title"/>
    <w:basedOn w:val="Normal"/>
    <w:next w:val="Normal"/>
    <w:link w:val="TitleChar"/>
    <w:uiPriority w:val="10"/>
    <w:qFormat/>
    <w:rsid w:val="004E404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E40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4040"/>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E40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4040"/>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E4040"/>
    <w:rPr>
      <w:i/>
      <w:iCs/>
      <w:color w:val="404040" w:themeColor="text1" w:themeTint="BF"/>
    </w:rPr>
  </w:style>
  <w:style w:type="paragraph" w:styleId="ListParagraph">
    <w:name w:val="List Paragraph"/>
    <w:basedOn w:val="Normal"/>
    <w:uiPriority w:val="34"/>
    <w:qFormat/>
    <w:rsid w:val="004E4040"/>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4E4040"/>
    <w:rPr>
      <w:i/>
      <w:iCs/>
      <w:color w:val="0F4761" w:themeColor="accent1" w:themeShade="BF"/>
    </w:rPr>
  </w:style>
  <w:style w:type="paragraph" w:styleId="IntenseQuote">
    <w:name w:val="Intense Quote"/>
    <w:basedOn w:val="Normal"/>
    <w:next w:val="Normal"/>
    <w:link w:val="IntenseQuoteChar"/>
    <w:uiPriority w:val="30"/>
    <w:qFormat/>
    <w:rsid w:val="004E404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E4040"/>
    <w:rPr>
      <w:i/>
      <w:iCs/>
      <w:color w:val="0F4761" w:themeColor="accent1" w:themeShade="BF"/>
    </w:rPr>
  </w:style>
  <w:style w:type="character" w:styleId="IntenseReference">
    <w:name w:val="Intense Reference"/>
    <w:basedOn w:val="DefaultParagraphFont"/>
    <w:uiPriority w:val="32"/>
    <w:qFormat/>
    <w:rsid w:val="004E40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876</Words>
  <Characters>5822</Characters>
  <Application>Microsoft Office Word</Application>
  <DocSecurity>0</DocSecurity>
  <Lines>104</Lines>
  <Paragraphs>35</Paragraphs>
  <ScaleCrop>false</ScaleCrop>
  <Company/>
  <LinksUpToDate>false</LinksUpToDate>
  <CharactersWithSpaces>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2026-02-25T04:56:00Z</dcterms:created>
  <dcterms:modified xsi:type="dcterms:W3CDTF">2026-02-25T04:57:00Z</dcterms:modified>
</cp:coreProperties>
</file>