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>Materials</w:t>
      </w:r>
      <w:r w:rsidR="0041126C">
        <w:rPr>
          <w:rFonts w:ascii="Times New Roman" w:hAnsi="Times New Roman" w:cs="Times New Roman" w:hint="eastAsia"/>
          <w:sz w:val="24"/>
          <w:szCs w:val="24"/>
        </w:rPr>
        <w:t xml:space="preserve"> and Method</w:t>
      </w:r>
    </w:p>
    <w:p w:rsidR="00CD69C9" w:rsidRDefault="006E753B" w:rsidP="006E753B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>MSC-1090 was supplied as a quality-testing sample by a commercial manufacturer. Ethical approval and informed consent for donor-derived materials were obtained by the manufacturer, and no identifiable donor information was accessible to the investigators.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753B">
        <w:rPr>
          <w:rFonts w:ascii="Times New Roman" w:hAnsi="Times New Roman" w:cs="Times New Roman"/>
          <w:sz w:val="24"/>
          <w:szCs w:val="24"/>
        </w:rPr>
        <w:t>qPCR</w:t>
      </w:r>
      <w:proofErr w:type="spellEnd"/>
      <w:proofErr w:type="gramEnd"/>
    </w:p>
    <w:p w:rsidR="006E753B" w:rsidRDefault="006E753B" w:rsidP="006E753B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 xml:space="preserve">We applied a validated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qPCR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to detect HHV6. Briefly, Genomic DNA was isolated from 200 µL of 10</w:t>
      </w:r>
      <w:r w:rsidRPr="00CD69C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E753B">
        <w:rPr>
          <w:rFonts w:ascii="Times New Roman" w:hAnsi="Times New Roman" w:cs="Times New Roman"/>
          <w:sz w:val="24"/>
          <w:szCs w:val="24"/>
        </w:rPr>
        <w:t xml:space="preserve"> cells/mL MSC</w:t>
      </w:r>
      <w:r w:rsidR="00CD69C9">
        <w:rPr>
          <w:rFonts w:ascii="Times New Roman" w:hAnsi="Times New Roman" w:cs="Times New Roman" w:hint="eastAsia"/>
          <w:sz w:val="24"/>
          <w:szCs w:val="24"/>
        </w:rPr>
        <w:t>s</w:t>
      </w:r>
      <w:r w:rsidRPr="006E753B">
        <w:rPr>
          <w:rFonts w:ascii="Times New Roman" w:hAnsi="Times New Roman" w:cs="Times New Roman"/>
          <w:sz w:val="24"/>
          <w:szCs w:val="24"/>
        </w:rPr>
        <w:t xml:space="preserve"> with cell culture supernatant using Roche DNA Mini Kit (Roche, 11858874001) according to the manufacturer's instructions. DNA was eluted in 50 µL of elution buffer and stored at -80°C until use. The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qPCR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was performed to detect and quantify the main capsid protein gene of HHV-6 (variants A and B) as previously described</w:t>
      </w:r>
      <w:r w:rsidR="00EB4B1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B4B17">
        <w:rPr>
          <w:rFonts w:ascii="Times New Roman" w:hAnsi="Times New Roman" w:cs="Times New Roman"/>
          <w:sz w:val="24"/>
          <w:szCs w:val="24"/>
        </w:rPr>
        <w:fldChar w:fldCharType="begin"/>
      </w:r>
      <w:r w:rsidR="00EB4B1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&lt;EndNote&gt;&lt;Cite&gt;&lt;Author&gt;Feng Zhang &lt;/Author&gt;&lt;Year&gt;2021&lt;/Year&gt;&lt;RecNum&gt;7&lt;/RecNum&gt;&lt;DisplayText&gt;[1]&lt;/DisplayText&gt;&lt;record&gt;&lt;rec-number&gt;7&lt;/rec-number&gt;&lt;foreign-keys&gt;&lt;key app="EN" db-id="pwxfsrsv5t09enexpvn5drdt2v5pxzr00v9d" timestamp="1759633736"&gt;7&lt;/key&gt;&lt;/foreign-keys&gt;&lt;ref-type name="Journal Article"&gt;17&lt;/ref-type&gt;&lt;contributors&gt;&lt;authors&gt;&lt;author&gt;Feng Zhang ,  Li-ying Gao,  Xue Song1,  Rong-rong Yuan, Xue-ling Wu, Jin-ping Fan,  Shu-fang Meng&lt;/author&gt;&lt;/authors&gt;&lt;/contributors&gt;&lt;titles&gt;&lt;title&gt;Establishment and application of quantitative real-time PCR for co-detection of HHV-6 and HHV-7&lt;/title&gt;&lt;secondary-title&gt;Chinese journal Chinese pharmaceutical analysis&lt;/secondary-title&gt;&lt;/titles&gt;&lt;periodical&gt;&lt;full-title&gt;Chinese journal Chinese pharmaceutical analysis&lt;/full-title&gt;&lt;/periodical&gt;&lt;pages&gt;1565-1575&lt;/pages&gt;&lt;volume&gt;41&lt;/volume&gt;&lt;number&gt;9&lt;/number&gt;&lt;section&gt;1565&lt;/section&gt;&lt;dates&gt;&lt;year&gt;2021&lt;/year&gt;&lt;/dates&gt;&lt;urls&gt;&lt;/urls&gt;&lt;electronic-resource-num&gt;10.16155/j.0254-1793.2021.09.09&lt;/electronic-resource-num&gt;&lt;/record&gt;&lt;/Cite&gt;&lt;/EndNote&gt;</w:instrText>
      </w:r>
      <w:r w:rsidR="00EB4B17">
        <w:rPr>
          <w:rFonts w:ascii="Times New Roman" w:hAnsi="Times New Roman" w:cs="Times New Roman"/>
          <w:sz w:val="24"/>
          <w:szCs w:val="24"/>
        </w:rPr>
        <w:fldChar w:fldCharType="separate"/>
      </w:r>
      <w:r w:rsidR="00EB4B17">
        <w:rPr>
          <w:rFonts w:ascii="Times New Roman" w:hAnsi="Times New Roman" w:cs="Times New Roman"/>
          <w:noProof/>
          <w:sz w:val="24"/>
          <w:szCs w:val="24"/>
        </w:rPr>
        <w:t>[1]</w:t>
      </w:r>
      <w:r w:rsidR="00EB4B17">
        <w:rPr>
          <w:rFonts w:ascii="Times New Roman" w:hAnsi="Times New Roman" w:cs="Times New Roman"/>
          <w:sz w:val="24"/>
          <w:szCs w:val="24"/>
        </w:rPr>
        <w:fldChar w:fldCharType="end"/>
      </w:r>
      <w:r w:rsidR="0066644C">
        <w:rPr>
          <w:rFonts w:ascii="Times New Roman" w:hAnsi="Times New Roman" w:cs="Times New Roman" w:hint="eastAsia"/>
          <w:sz w:val="24"/>
          <w:szCs w:val="24"/>
        </w:rPr>
        <w:t>, primers and probes are listed in table 1</w:t>
      </w:r>
      <w:r w:rsidRPr="006E753B">
        <w:rPr>
          <w:rFonts w:ascii="Times New Roman" w:hAnsi="Times New Roman" w:cs="Times New Roman"/>
          <w:sz w:val="24"/>
          <w:szCs w:val="24"/>
        </w:rPr>
        <w:t xml:space="preserve">. Amplification was carried out on a 7500fast Real-Time PCR System (Applied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Biosystems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, USA) with 3µL DNA as template. The assay demonstrated a limit of detection </w:t>
      </w:r>
      <w:proofErr w:type="gramStart"/>
      <w:r w:rsidRPr="006E753B">
        <w:rPr>
          <w:rFonts w:ascii="Times New Roman" w:hAnsi="Times New Roman" w:cs="Times New Roman"/>
          <w:sz w:val="24"/>
          <w:szCs w:val="24"/>
        </w:rPr>
        <w:t>of 100 copies/reaction</w:t>
      </w:r>
      <w:proofErr w:type="gramEnd"/>
      <w:r w:rsidRPr="006E753B">
        <w:rPr>
          <w:rFonts w:ascii="Times New Roman" w:hAnsi="Times New Roman" w:cs="Times New Roman"/>
          <w:sz w:val="24"/>
          <w:szCs w:val="24"/>
        </w:rPr>
        <w:t>.</w:t>
      </w:r>
    </w:p>
    <w:p w:rsidR="0066644C" w:rsidRPr="006E753B" w:rsidRDefault="0066644C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753B">
        <w:rPr>
          <w:rFonts w:ascii="Times New Roman" w:hAnsi="Times New Roman" w:cs="Times New Roman"/>
          <w:sz w:val="24"/>
          <w:szCs w:val="24"/>
        </w:rPr>
        <w:t>mNGS</w:t>
      </w:r>
      <w:proofErr w:type="spellEnd"/>
      <w:proofErr w:type="gramEnd"/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>Pathogen detection NGS library preparation and sequencing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>Cell samples were collected in nuclease-free tubes and homogenized using a bead-based tissue disruptor. Total DNA and RNA were extracted using column-based purification kits (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Genskey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Micro DNA Kit) according to the manufacturer’s instructions. DNA concentration was determined using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Qubit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fluorometer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(Thermo Fisher Scientific). Approximately 5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of genomic DNA was used for library construction with a universal Pathogen Universal Library Prep Kit.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 xml:space="preserve">For RNA libraries, total RNA was treated with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DNase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I to remove genomic DNA contamination, followed by ribosomal RNA depletion. The purified RNA was reverse-transcribed into first-strand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cDNA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and subsequently converted into double-stranded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cDNA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, which was used for RNA library preparation using the same universal workflow. 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>Single-end 50 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sequencing was performed on the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GensKey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S platform, generating </w:t>
      </w:r>
      <w:r w:rsidRPr="006E753B">
        <w:rPr>
          <w:rFonts w:ascii="Times New Roman" w:hAnsi="Times New Roman" w:cs="Times New Roman"/>
          <w:sz w:val="24"/>
          <w:szCs w:val="24"/>
        </w:rPr>
        <w:lastRenderedPageBreak/>
        <w:t xml:space="preserve">approximately 20 million reads per sample. All reagents and kits used in this study were supplied by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Genskey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(PRC).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753B">
        <w:rPr>
          <w:rFonts w:ascii="Times New Roman" w:hAnsi="Times New Roman" w:cs="Times New Roman"/>
          <w:sz w:val="24"/>
          <w:szCs w:val="24"/>
        </w:rPr>
        <w:t>Bioinformatic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analysis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>Raw sequencing reads from both DNA (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metagenomic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>) and RNA (meta-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transcriptomic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) datasets underwent quality control using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fastp</w:t>
      </w:r>
      <w:proofErr w:type="spellEnd"/>
      <w:r w:rsidR="00EB4B17">
        <w:rPr>
          <w:rFonts w:ascii="Times New Roman" w:hAnsi="Times New Roman" w:cs="Times New Roman"/>
          <w:sz w:val="24"/>
          <w:szCs w:val="24"/>
        </w:rPr>
        <w:fldChar w:fldCharType="begin"/>
      </w:r>
      <w:r w:rsidR="00EB4B1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&lt;EndNote&gt;&lt;Cite&gt;&lt;Author&gt;Chen&lt;/Author&gt;&lt;Year&gt;2023&lt;/Year&gt;&lt;RecNum&gt;8&lt;/RecNum&gt;&lt;DisplayText&gt;[2]&lt;/DisplayText&gt;&lt;record&gt;&lt;rec-number&gt;8&lt;/rec-number&gt;&lt;foreign-keys&gt;&lt;key app="EN" db-id="pwxfsrsv5t09enexpvn5drdt2v5pxzr00v9d" timestamp="1759648098"&gt;8&lt;/key&gt;&lt;/foreign-keys&gt;&lt;ref-type name="Journal Article"&gt;17&lt;/ref-type&gt;&lt;contributors&gt;&lt;authors&gt;&lt;author&gt;Chen, S.&lt;/author&gt;&lt;/authors&gt;&lt;/contributors&gt;&lt;auth-address&gt;HaploX Biotechnology Shenzhen China.&amp;#xD;Shenzhen Institutes of Advanced Technology Chinese Academy of Sciences Shenzhen China.&lt;/auth-address&gt;&lt;titles&gt;&lt;title&gt;Ultrafast one-pass FASTQ data preprocessing, quality control, and deduplication using fastp&lt;/title&gt;&lt;secondary-title&gt;Imeta&lt;/secondary-title&gt;&lt;/titles&gt;&lt;periodical&gt;&lt;full-title&gt;Imeta&lt;/full-title&gt;&lt;/periodical&gt;&lt;pages&gt;e107&lt;/pages&gt;&lt;volume&gt;2&lt;/volume&gt;&lt;number&gt;2&lt;/number&gt;&lt;edition&gt;2023/05/08&lt;/edition&gt;&lt;keywords&gt;&lt;keyword&gt;Fastq&lt;/keyword&gt;&lt;keyword&gt;adapter&lt;/keyword&gt;&lt;keyword&gt;duplication&lt;/keyword&gt;&lt;keyword&gt;filtering&lt;/keyword&gt;&lt;keyword&gt;preprocessing&lt;/keyword&gt;&lt;keyword&gt;quality control&lt;/keyword&gt;&lt;/keywords&gt;&lt;dates&gt;&lt;year&gt;2023&lt;/year&gt;&lt;pub-dates&gt;&lt;date&gt;May&lt;/date&gt;&lt;/pub-dates&gt;&lt;/dates&gt;&lt;isbn&gt;2770-596X (Electronic)&amp;#xD;2770-5986 (Print)&amp;#xD;2770-5986 (Linking)&lt;/isbn&gt;&lt;accession-num&gt;38868435&lt;/accession-num&gt;&lt;urls&gt;&lt;related-urls&gt;&lt;url&gt;https://www.ncbi.nlm.nih.gov/pubmed/38868435&lt;/url&gt;&lt;/related-urls&gt;&lt;/urls&gt;&lt;custom2&gt;PMC10989850&lt;/custom2&gt;&lt;electronic-resource-num&gt;10.1002/imt2.107&lt;/electronic-resource-num&gt;&lt;/record&gt;&lt;/Cite&gt;&lt;/EndNote&gt;</w:instrText>
      </w:r>
      <w:r w:rsidR="00EB4B17">
        <w:rPr>
          <w:rFonts w:ascii="Times New Roman" w:hAnsi="Times New Roman" w:cs="Times New Roman"/>
          <w:sz w:val="24"/>
          <w:szCs w:val="24"/>
        </w:rPr>
        <w:fldChar w:fldCharType="separate"/>
      </w:r>
      <w:r w:rsidR="00EB4B17">
        <w:rPr>
          <w:rFonts w:ascii="Times New Roman" w:hAnsi="Times New Roman" w:cs="Times New Roman"/>
          <w:noProof/>
          <w:sz w:val="24"/>
          <w:szCs w:val="24"/>
        </w:rPr>
        <w:t>[2]</w:t>
      </w:r>
      <w:r w:rsidR="00EB4B17">
        <w:rPr>
          <w:rFonts w:ascii="Times New Roman" w:hAnsi="Times New Roman" w:cs="Times New Roman"/>
          <w:sz w:val="24"/>
          <w:szCs w:val="24"/>
        </w:rPr>
        <w:fldChar w:fldCharType="end"/>
      </w:r>
      <w:r w:rsidRPr="006E753B">
        <w:rPr>
          <w:rFonts w:ascii="Times New Roman" w:hAnsi="Times New Roman" w:cs="Times New Roman"/>
          <w:sz w:val="24"/>
          <w:szCs w:val="24"/>
        </w:rPr>
        <w:t>. Host-derived reads were removed by aligning high-quality sequences to the human reference genome (T2T-CHM13) with BWA-MEM</w:t>
      </w:r>
      <w:r w:rsidR="00EB4B17">
        <w:rPr>
          <w:rFonts w:ascii="Times New Roman" w:hAnsi="Times New Roman" w:cs="Times New Roman"/>
          <w:sz w:val="24"/>
          <w:szCs w:val="24"/>
        </w:rPr>
        <w:fldChar w:fldCharType="begin"/>
      </w:r>
      <w:r w:rsidR="00EB4B1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&lt;EndNote&gt;&lt;Cite&gt;&lt;Author&gt;Houtgast&lt;/Author&gt;&lt;Year&gt;2018&lt;/Year&gt;&lt;RecNum&gt;9&lt;/RecNum&gt;&lt;DisplayText&gt;[3]&lt;/DisplayText&gt;&lt;record&gt;&lt;rec-number&gt;9&lt;/rec-number&gt;&lt;foreign-keys&gt;&lt;key app="EN" db-id="pwxfsrsv5t09enexpvn5drdt2v5pxzr00v9d" timestamp="1759648154"&gt;9&lt;/key&gt;&lt;/foreign-keys&gt;&lt;ref-type name="Journal Article"&gt;17&lt;/ref-type&gt;&lt;contributors&gt;&lt;authors&gt;&lt;author&gt;Houtgast, E. J.&lt;/author&gt;&lt;author&gt;Sima, V. M.&lt;/author&gt;&lt;author&gt;Bertels, K.&lt;/author&gt;&lt;author&gt;Al-Ars, Z.&lt;/author&gt;&lt;/authors&gt;&lt;/contributors&gt;&lt;auth-address&gt;Computer Engineering Lab, TU Delft, Mekelweg 4, 2628 CD Delft, The Netherlands; Bluebee, Laan van Zuid Hoorn 57, 2289 DC Rijswijk, The Netherlands. Electronic address: e.j.houtgast@tudelft.nl.&amp;#xD;Bluebee, Laan van Zuid Hoorn 57, 2289 DC Rijswijk, The Netherlands.&amp;#xD;Computer Engineering Lab, TU Delft, Mekelweg 4, 2628 CD Delft, The Netherlands.&lt;/auth-address&gt;&lt;titles&gt;&lt;title&gt;Hardware acceleration of BWA-MEM genomic short read mapping for longer read lengths&lt;/title&gt;&lt;secondary-title&gt;Comput Biol Chem&lt;/secondary-title&gt;&lt;/titles&gt;&lt;periodical&gt;&lt;full-title&gt;Comput Biol Chem&lt;/full-title&gt;&lt;/periodical&gt;&lt;pages&gt;54-64&lt;/pages&gt;&lt;volume&gt;75&lt;/volume&gt;&lt;edition&gt;2018/05/11&lt;/edition&gt;&lt;keywords&gt;&lt;keyword&gt;*Algorithms&lt;/keyword&gt;&lt;keyword&gt;*Chromosome Mapping&lt;/keyword&gt;&lt;keyword&gt;Computer Graphics&lt;/keyword&gt;&lt;keyword&gt;Computers&lt;/keyword&gt;&lt;keyword&gt;*Genomics&lt;/keyword&gt;&lt;keyword&gt;Acceleration&lt;/keyword&gt;&lt;keyword&gt;Bwa-mem&lt;/keyword&gt;&lt;keyword&gt;Fpga&lt;/keyword&gt;&lt;keyword&gt;Gpu&lt;/keyword&gt;&lt;keyword&gt;Short read mapping&lt;/keyword&gt;&lt;keyword&gt;Systolic array&lt;/keyword&gt;&lt;/keywords&gt;&lt;dates&gt;&lt;year&gt;2018&lt;/year&gt;&lt;pub-dates&gt;&lt;date&gt;Aug&lt;/date&gt;&lt;/pub-dates&gt;&lt;/dates&gt;&lt;isbn&gt;1476-928X (Electronic)&amp;#xD;1476-9271 (Linking)&lt;/isbn&gt;&lt;accession-num&gt;29747076&lt;/accession-num&gt;&lt;urls&gt;&lt;related-urls&gt;&lt;url&gt;https://www.ncbi.nlm.nih.gov/pubmed/29747076&lt;/url&gt;&lt;/related-urls&gt;&lt;/urls&gt;&lt;electronic-resource-num&gt;10.1016/j.compbiolchem.2018.03.024&lt;/electronic-resource-num&gt;&lt;/record&gt;&lt;/Cite&gt;&lt;/EndNote&gt;</w:instrText>
      </w:r>
      <w:r w:rsidR="00EB4B17">
        <w:rPr>
          <w:rFonts w:ascii="Times New Roman" w:hAnsi="Times New Roman" w:cs="Times New Roman"/>
          <w:sz w:val="24"/>
          <w:szCs w:val="24"/>
        </w:rPr>
        <w:fldChar w:fldCharType="separate"/>
      </w:r>
      <w:r w:rsidR="00EB4B17">
        <w:rPr>
          <w:rFonts w:ascii="Times New Roman" w:hAnsi="Times New Roman" w:cs="Times New Roman"/>
          <w:noProof/>
          <w:sz w:val="24"/>
          <w:szCs w:val="24"/>
        </w:rPr>
        <w:t>[3]</w:t>
      </w:r>
      <w:r w:rsidR="00EB4B17">
        <w:rPr>
          <w:rFonts w:ascii="Times New Roman" w:hAnsi="Times New Roman" w:cs="Times New Roman"/>
          <w:sz w:val="24"/>
          <w:szCs w:val="24"/>
        </w:rPr>
        <w:fldChar w:fldCharType="end"/>
      </w:r>
      <w:r w:rsidRPr="006E753B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metagenomic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data, the remaining non-human reads were directly aligned to a comprehensive microbial reference database constructed from NCBI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RefSeq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GenBank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>. For meta-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transcriptomic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data, residual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reads were filtered by alignment to the SILVA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database </w:t>
      </w:r>
      <w:r w:rsidR="00EB4B17">
        <w:rPr>
          <w:rFonts w:ascii="Times New Roman" w:hAnsi="Times New Roman" w:cs="Times New Roman"/>
          <w:sz w:val="24"/>
          <w:szCs w:val="24"/>
        </w:rPr>
        <w:fldChar w:fldCharType="begin"/>
      </w:r>
      <w:r w:rsidR="00EB4B17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&lt;EndNote&gt;&lt;Cite&gt;&lt;Author&gt;Quast&lt;/Author&gt;&lt;Year&gt;2013&lt;/Year&gt;&lt;RecNum&gt;10&lt;/RecNum&gt;&lt;DisplayText&gt;[4]&lt;/DisplayText&gt;&lt;record&gt;&lt;rec-number&gt;10&lt;/rec-number&gt;&lt;foreign-keys&gt;&lt;key app="EN" db-id="pwxfsrsv5t09enexpvn5drdt2v5pxzr00v9d" timestamp="1759648538"&gt;10&lt;/key&gt;&lt;/foreign-keys&gt;&lt;ref-type name="Journal Article"&gt;17&lt;/ref-type&gt;&lt;contributors&gt;&lt;authors&gt;&lt;author&gt;Quast, C.&lt;/author&gt;&lt;author&gt;Pruesse, E.&lt;/author&gt;&lt;author&gt;Yilmaz, P.&lt;/author&gt;&lt;author&gt;Gerken, J.&lt;/author&gt;&lt;author&gt;Schweer, T.&lt;/author&gt;&lt;author&gt;Yarza, P.&lt;/author&gt;&lt;author&gt;Peplies, J.&lt;/author&gt;&lt;author&gt;Glockner, F. O.&lt;/author&gt;&lt;/authors&gt;&lt;/contributors&gt;&lt;auth-address&gt;Microbial Genomics and Bioinformatics Research Group, Max Planck Institute for Marine Microbiology, D-28359 Bremen, Germany.&lt;/auth-address&gt;&lt;titles&gt;&lt;title&gt;The SILVA ribosomal RNA gene database project: improved data processing and web-based tools&lt;/title&gt;&lt;secondary-title&gt;Nucleic Acids Res&lt;/secondary-title&gt;&lt;/titles&gt;&lt;periodical&gt;&lt;full-title&gt;Nucleic Acids Res&lt;/full-title&gt;&lt;/periodical&gt;&lt;pages&gt;D590-6&lt;/pages&gt;&lt;volume&gt;41&lt;/volume&gt;&lt;number&gt;Database issue&lt;/number&gt;&lt;edition&gt;2012/11/30&lt;/edition&gt;&lt;keywords&gt;&lt;keyword&gt;Archaea/classification/genetics&lt;/keyword&gt;&lt;keyword&gt;Bacteria/classification/genetics&lt;/keyword&gt;&lt;keyword&gt;*Databases, Nucleic Acid&lt;/keyword&gt;&lt;keyword&gt;Eukaryota/genetics&lt;/keyword&gt;&lt;keyword&gt;*Genes, rRNA&lt;/keyword&gt;&lt;keyword&gt;High-Throughput Nucleotide Sequencing&lt;/keyword&gt;&lt;keyword&gt;Internet&lt;/keyword&gt;&lt;keyword&gt;Software&lt;/keyword&gt;&lt;/keywords&gt;&lt;dates&gt;&lt;year&gt;2013&lt;/year&gt;&lt;pub-dates&gt;&lt;date&gt;Jan&lt;/date&gt;&lt;/pub-dates&gt;&lt;/dates&gt;&lt;isbn&gt;1362-4962 (Electronic)&amp;#xD;0305-1048 (Print)&amp;#xD;0305-1048 (Linking)&lt;/isbn&gt;&lt;accession-num&gt;23193283&lt;/accession-num&gt;&lt;urls&gt;&lt;related-urls&gt;&lt;url&gt;https://www.ncbi.nlm.nih.gov/pubmed/23193283&lt;/url&gt;&lt;/related-urls&gt;&lt;/urls&gt;&lt;custom2&gt;PMC3531112&lt;/custom2&gt;&lt;electronic-resource-num&gt;10.1093/nar/gks1219&lt;/electronic-resource-num&gt;&lt;/record&gt;&lt;/Cite&gt;&lt;/EndNote&gt;</w:instrText>
      </w:r>
      <w:r w:rsidR="00EB4B17">
        <w:rPr>
          <w:rFonts w:ascii="Times New Roman" w:hAnsi="Times New Roman" w:cs="Times New Roman"/>
          <w:sz w:val="24"/>
          <w:szCs w:val="24"/>
        </w:rPr>
        <w:fldChar w:fldCharType="separate"/>
      </w:r>
      <w:r w:rsidR="00EB4B17">
        <w:rPr>
          <w:rFonts w:ascii="Times New Roman" w:hAnsi="Times New Roman" w:cs="Times New Roman"/>
          <w:noProof/>
          <w:sz w:val="24"/>
          <w:szCs w:val="24"/>
        </w:rPr>
        <w:t>[4]</w:t>
      </w:r>
      <w:r w:rsidR="00EB4B17">
        <w:rPr>
          <w:rFonts w:ascii="Times New Roman" w:hAnsi="Times New Roman" w:cs="Times New Roman"/>
          <w:sz w:val="24"/>
          <w:szCs w:val="24"/>
        </w:rPr>
        <w:fldChar w:fldCharType="end"/>
      </w:r>
      <w:r w:rsidRPr="006E753B">
        <w:rPr>
          <w:rFonts w:ascii="Times New Roman" w:hAnsi="Times New Roman" w:cs="Times New Roman"/>
          <w:sz w:val="24"/>
          <w:szCs w:val="24"/>
        </w:rPr>
        <w:t xml:space="preserve"> prior to microbial classification. Taxonomic assignment was performed using the lowest common ancestor (LCA) algorithm, and viral identification was further verified against the RVDB (C-RVDB v29.0) </w:t>
      </w:r>
      <w:proofErr w:type="gramStart"/>
      <w:r w:rsidRPr="006E753B">
        <w:rPr>
          <w:rFonts w:ascii="Times New Roman" w:hAnsi="Times New Roman" w:cs="Times New Roman"/>
          <w:sz w:val="24"/>
          <w:szCs w:val="24"/>
        </w:rPr>
        <w:t>database</w:t>
      </w:r>
      <w:proofErr w:type="gramEnd"/>
      <w:r w:rsidR="00EB4B1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PEVuZE5vdGU+PENpdGU+PEF1dGhvcj5DaGluPC9BdXRob3I+PFllYXI+MjAyNTwvWWVhcj48UmVj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</w:fldData>
        </w:fldChar>
      </w:r>
      <w:r w:rsidR="00EB4B1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EB4B1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PEVuZE5vdGU+PENpdGU+PEF1dGhvcj5DaGluPC9BdXRob3I+PFllYXI+MjAyNTwvWWVhcj48UmVj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</w:fldData>
        </w:fldChar>
      </w:r>
      <w:r w:rsidR="00EB4B1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EB4B17">
        <w:rPr>
          <w:rFonts w:ascii="Times New Roman" w:hAnsi="Times New Roman" w:cs="Times New Roman"/>
          <w:sz w:val="24"/>
          <w:szCs w:val="24"/>
        </w:rPr>
      </w:r>
      <w:r w:rsidR="00EB4B17">
        <w:rPr>
          <w:rFonts w:ascii="Times New Roman" w:hAnsi="Times New Roman" w:cs="Times New Roman"/>
          <w:sz w:val="24"/>
          <w:szCs w:val="24"/>
        </w:rPr>
        <w:fldChar w:fldCharType="end"/>
      </w:r>
      <w:r w:rsidR="00EB4B17">
        <w:rPr>
          <w:rFonts w:ascii="Times New Roman" w:hAnsi="Times New Roman" w:cs="Times New Roman"/>
          <w:sz w:val="24"/>
          <w:szCs w:val="24"/>
        </w:rPr>
        <w:fldChar w:fldCharType="separate"/>
      </w:r>
      <w:r w:rsidR="00EB4B17">
        <w:rPr>
          <w:rFonts w:ascii="Times New Roman" w:hAnsi="Times New Roman" w:cs="Times New Roman"/>
          <w:noProof/>
          <w:sz w:val="24"/>
          <w:szCs w:val="24"/>
        </w:rPr>
        <w:t>[5]</w:t>
      </w:r>
      <w:r w:rsidR="00EB4B17">
        <w:rPr>
          <w:rFonts w:ascii="Times New Roman" w:hAnsi="Times New Roman" w:cs="Times New Roman"/>
          <w:sz w:val="24"/>
          <w:szCs w:val="24"/>
        </w:rPr>
        <w:fldChar w:fldCharType="end"/>
      </w:r>
      <w:r w:rsidRPr="006E7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 xml:space="preserve">Detection of HHV-6 by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ddPCR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method </w:t>
      </w:r>
    </w:p>
    <w:p w:rsidR="006E753B" w:rsidRPr="006E753B" w:rsidRDefault="006E753B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 xml:space="preserve">DNA was isolated from 200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of cell suspension and serum substitute with the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TaKaRa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MiniBEST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Universal Genomic DNA Extraction Kit (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TaKaRa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.  No.9765). DNA from different samples was eluted in 150μL. The isolated DNA was quantified using a micro-spectrophotometer and stored at -80℃ for subsequent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ddPCR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analysis. The primers and probe for HHV6 as same as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qPCR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[14] and RPL29 used in this assay as shown in Table 1. The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ddPCR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reaction mixture was prepared with a total volume of 18 μL per reaction, consisting of the following components: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ddPCR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™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Supermix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for Probes (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Bio-rad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>，</w:t>
      </w:r>
      <w:r w:rsidRPr="006E753B">
        <w:rPr>
          <w:rFonts w:ascii="Times New Roman" w:hAnsi="Times New Roman" w:cs="Times New Roman"/>
          <w:sz w:val="24"/>
          <w:szCs w:val="24"/>
        </w:rPr>
        <w:t xml:space="preserve">1863024), Each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ddPCR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reaction (20 μL total volume) contained 10 μL of Droplet PCR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Supermix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, 0.9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 each of 20 μM forward and reverse primers, and 0.25 μL of 20 μM probe for both the HHV-6 target and the RPL29 reference gene. 10ng Genomic DNA (2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) was added to each reaction, and nuclease-free water was used to adjust the final volume. Three technical replicates were set up for each sample, including negative controls, test samples, and positive controls. </w:t>
      </w:r>
    </w:p>
    <w:p w:rsidR="00F64568" w:rsidRDefault="006E753B" w:rsidP="006E753B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6E753B">
        <w:rPr>
          <w:rFonts w:ascii="Times New Roman" w:hAnsi="Times New Roman" w:cs="Times New Roman"/>
          <w:sz w:val="24"/>
          <w:szCs w:val="24"/>
        </w:rPr>
        <w:t xml:space="preserve">Droplets were generated using Automated Droplet Generator and QX200 Droplet Digital PCR (BIO-RAD) according to the manufacturer’s instructions. Thermal cycling was performed on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VeritiPro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™ Thermal Cycler, 96-well (Thermo </w:t>
      </w:r>
      <w:proofErr w:type="spellStart"/>
      <w:r w:rsidRPr="006E753B">
        <w:rPr>
          <w:rFonts w:ascii="Times New Roman" w:hAnsi="Times New Roman" w:cs="Times New Roman"/>
          <w:sz w:val="24"/>
          <w:szCs w:val="24"/>
        </w:rPr>
        <w:t>Risher</w:t>
      </w:r>
      <w:proofErr w:type="spellEnd"/>
      <w:r w:rsidRPr="006E753B">
        <w:rPr>
          <w:rFonts w:ascii="Times New Roman" w:hAnsi="Times New Roman" w:cs="Times New Roman"/>
          <w:sz w:val="24"/>
          <w:szCs w:val="24"/>
        </w:rPr>
        <w:t xml:space="preserve">) with </w:t>
      </w:r>
      <w:r w:rsidRPr="006E753B">
        <w:rPr>
          <w:rFonts w:ascii="Times New Roman" w:hAnsi="Times New Roman" w:cs="Times New Roman"/>
          <w:sz w:val="24"/>
          <w:szCs w:val="24"/>
        </w:rPr>
        <w:lastRenderedPageBreak/>
        <w:t>the following program: 95 °C for 10 min, followed by 40 cycles of 94 °C for 30 s and 58 °C for 1 min, and a final step at 98 °C for 10 min. After amplification, droplets were read using a QX 200 droplet reader, and data were analyzed with QX Manager Software (V2.3.1). Droplet counts of per wells exceeded 15,000. The viral load, expressed as HHV-6 DNA copies per cell, was obtained using the formula: HHV-6 copies/ (RPL29 copies/2) because two copies of RPL29 are present in a diploid genome.</w:t>
      </w:r>
    </w:p>
    <w:p w:rsidR="00EB4B17" w:rsidRPr="00267CEB" w:rsidRDefault="00EB4B17" w:rsidP="00EB4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67CEB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267C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67CEB">
        <w:rPr>
          <w:rFonts w:ascii="Times New Roman" w:hAnsi="Times New Roman" w:cs="Times New Roman"/>
          <w:sz w:val="24"/>
          <w:szCs w:val="24"/>
        </w:rPr>
        <w:t>ddPCR</w:t>
      </w:r>
      <w:proofErr w:type="spellEnd"/>
      <w:proofErr w:type="gramEnd"/>
      <w:r w:rsidRPr="00267CEB">
        <w:rPr>
          <w:rFonts w:ascii="Times New Roman" w:hAnsi="Times New Roman" w:cs="Times New Roman"/>
          <w:sz w:val="24"/>
          <w:szCs w:val="24"/>
        </w:rPr>
        <w:t xml:space="preserve"> assay primers and probes</w:t>
      </w:r>
      <w:r>
        <w:rPr>
          <w:rFonts w:ascii="Times New Roman" w:hAnsi="Times New Roman" w:cs="Times New Roman" w:hint="eastAsia"/>
          <w:sz w:val="24"/>
          <w:szCs w:val="24"/>
        </w:rPr>
        <w:t xml:space="preserve"> for HHV6 and reference gene RPL29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2344"/>
        <w:gridCol w:w="2386"/>
        <w:gridCol w:w="2975"/>
      </w:tblGrid>
      <w:tr w:rsidR="00EB4B17" w:rsidRPr="00C22485" w:rsidTr="00642BE7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gene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Forward primer (5</w:t>
            </w:r>
            <w:r w:rsidRPr="00C22485">
              <w:rPr>
                <w:rFonts w:ascii="Times New Roman" w:hAnsi="Times New Roman" w:cs="Times New Roman"/>
                <w:szCs w:val="21"/>
                <w:shd w:val="clear" w:color="auto" w:fill="FFFFFF"/>
              </w:rPr>
              <w:t>’</w:t>
            </w: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-3</w:t>
            </w:r>
            <w:r w:rsidRPr="00C22485">
              <w:rPr>
                <w:rFonts w:ascii="Times New Roman" w:hAnsi="Times New Roman" w:cs="Times New Roman"/>
                <w:szCs w:val="21"/>
                <w:shd w:val="clear" w:color="auto" w:fill="FFFFFF"/>
              </w:rPr>
              <w:t>’</w:t>
            </w: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Reverse primer 5</w:t>
            </w:r>
            <w:r w:rsidRPr="00C22485">
              <w:rPr>
                <w:rFonts w:ascii="Times New Roman" w:hAnsi="Times New Roman" w:cs="Times New Roman"/>
                <w:szCs w:val="21"/>
                <w:shd w:val="clear" w:color="auto" w:fill="FFFFFF"/>
              </w:rPr>
              <w:t>’</w:t>
            </w: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-3</w:t>
            </w:r>
            <w:r w:rsidRPr="00C22485">
              <w:rPr>
                <w:rFonts w:ascii="Times New Roman" w:hAnsi="Times New Roman" w:cs="Times New Roman"/>
                <w:szCs w:val="21"/>
                <w:shd w:val="clear" w:color="auto" w:fill="FFFFFF"/>
              </w:rPr>
              <w:t>’</w:t>
            </w: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C22485">
              <w:rPr>
                <w:rFonts w:ascii="Times New Roman" w:hAnsi="Times New Roman" w:cs="Times New Roman" w:hint="eastAsia"/>
                <w:szCs w:val="21"/>
                <w:shd w:val="clear" w:color="auto" w:fill="FFFFFF"/>
              </w:rPr>
              <w:t>Probe</w:t>
            </w:r>
          </w:p>
        </w:tc>
      </w:tr>
      <w:tr w:rsidR="00EB4B17" w:rsidRPr="00C22485" w:rsidTr="00642BE7"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/>
              </w:rPr>
              <w:t>HHV-6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hint="eastAsia"/>
                <w:sz w:val="18"/>
                <w:szCs w:val="18"/>
              </w:rPr>
              <w:t>CAATAATGGGTTTCGCTGATCT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hint="eastAsia"/>
                <w:sz w:val="18"/>
                <w:szCs w:val="18"/>
              </w:rPr>
              <w:t>GTAAGCAGACCATGCCAGTTC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sz w:val="18"/>
                <w:szCs w:val="18"/>
              </w:rPr>
              <w:t>FAM–CGACTCTCTAATAGAGCTTGGTT</w:t>
            </w:r>
            <w:r w:rsidRPr="00C22485">
              <w:rPr>
                <w:rFonts w:hint="eastAsia"/>
                <w:sz w:val="18"/>
                <w:szCs w:val="18"/>
              </w:rPr>
              <w:t>-</w:t>
            </w:r>
            <w:r w:rsidRPr="00C22485">
              <w:rPr>
                <w:sz w:val="18"/>
                <w:szCs w:val="18"/>
              </w:rPr>
              <w:t xml:space="preserve"> TAMRA</w:t>
            </w:r>
          </w:p>
        </w:tc>
      </w:tr>
      <w:tr w:rsidR="00EB4B17" w:rsidRPr="00C22485" w:rsidTr="00642BE7"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/>
              </w:rPr>
              <w:t>RPL29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ACCAGACCCATAATAAAGC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CAAGGGAGATAGCCAAAC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4B17" w:rsidRPr="00C22485" w:rsidRDefault="00EB4B17" w:rsidP="00642BE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224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HEX</w:t>
            </w:r>
            <w:r w:rsidRPr="00C22485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/>
              </w:rPr>
              <w:t>-</w:t>
            </w:r>
            <w:r w:rsidRPr="00C224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TCTCCACAGCCTGAAGTGTAACC</w:t>
            </w:r>
            <w:r w:rsidRPr="00C22485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/>
              </w:rPr>
              <w:t>-</w:t>
            </w:r>
            <w:r w:rsidRPr="00C22485">
              <w:rPr>
                <w:sz w:val="18"/>
                <w:szCs w:val="18"/>
              </w:rPr>
              <w:t xml:space="preserve"> </w:t>
            </w:r>
            <w:r w:rsidRPr="00C224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DBFQ</w:t>
            </w:r>
          </w:p>
        </w:tc>
      </w:tr>
    </w:tbl>
    <w:p w:rsidR="00EB4B17" w:rsidRDefault="00EB4B17" w:rsidP="006E753B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EB4B17" w:rsidRDefault="00EB4B17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126C" w:rsidRPr="0041126C" w:rsidRDefault="0041126C" w:rsidP="004112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126C">
        <w:rPr>
          <w:rFonts w:ascii="Times New Roman" w:hAnsi="Times New Roman" w:cs="Times New Roman"/>
          <w:sz w:val="24"/>
          <w:szCs w:val="24"/>
        </w:rPr>
        <w:t xml:space="preserve">Long-reads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sequcencing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and data analysis</w:t>
      </w:r>
    </w:p>
    <w:p w:rsidR="0041126C" w:rsidRPr="0041126C" w:rsidRDefault="0041126C" w:rsidP="004112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126C">
        <w:rPr>
          <w:rFonts w:ascii="Times New Roman" w:hAnsi="Times New Roman" w:cs="Times New Roman"/>
          <w:sz w:val="24"/>
          <w:szCs w:val="24"/>
        </w:rPr>
        <w:t xml:space="preserve">Genomic DNA was extracted from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hMSCs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using the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FineOut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Universal Plant &amp; Animal Genomic DNA Extraction Kit. DNA integrity was assessed using the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Femto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Pulse system. Approximately 6.5 µg of DNA was sheared using the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Megaruptor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3, and the sheared DNA was purified with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AMPure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PB beads.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SMRTbell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libraries were constructed using the Pacific Biosciences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SMRTbell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Express Template Prep Kit 2.0. The libraries were size-selected for an insert size of 15 kb using the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BluePippin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™ system, followed by primer annealing.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SMRTbell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templates were then bound to polymerase using the DNA/Polymerase Binding Kit. Sequencing was performed on the Pacific Biosciences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Revio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platform with a 24-hour movie time.</w:t>
      </w:r>
    </w:p>
    <w:p w:rsidR="0041126C" w:rsidRDefault="0041126C" w:rsidP="0041126C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41126C">
        <w:rPr>
          <w:rFonts w:ascii="Times New Roman" w:hAnsi="Times New Roman" w:cs="Times New Roman"/>
          <w:sz w:val="24"/>
          <w:szCs w:val="24"/>
        </w:rPr>
        <w:t xml:space="preserve">Raw data were converted to FASTQ format using bam2fastq (v3.1.1). Quality assessment was performed with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FastQC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(v0.12.1), followed by adapter trimming and quality filtering using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fastp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(v0.22.0) with 10 </w:t>
      </w:r>
      <w:proofErr w:type="spellStart"/>
      <w:r w:rsidRPr="0041126C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41126C">
        <w:rPr>
          <w:rFonts w:ascii="Times New Roman" w:hAnsi="Times New Roman" w:cs="Times New Roman"/>
          <w:sz w:val="24"/>
          <w:szCs w:val="24"/>
        </w:rPr>
        <w:t xml:space="preserve"> trimmed from both the 5' and 3' ends of each read. The processed reads were then aligned to the human reference genome (T2T-CHM13V2.0) and the HHV-6B genome (NC_000898.1) using minimap2 </w:t>
      </w:r>
      <w:r w:rsidRPr="0041126C">
        <w:rPr>
          <w:rFonts w:ascii="Times New Roman" w:hAnsi="Times New Roman" w:cs="Times New Roman"/>
          <w:sz w:val="24"/>
          <w:szCs w:val="24"/>
        </w:rPr>
        <w:lastRenderedPageBreak/>
        <w:t>(v2.28). Finally, the alignment results were visualized with IGV software (v2.16.2).</w:t>
      </w:r>
    </w:p>
    <w:p w:rsidR="00E410CD" w:rsidRDefault="00E410CD" w:rsidP="0041126C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eference </w:t>
      </w:r>
    </w:p>
    <w:p w:rsidR="00E410CD" w:rsidRPr="0041126C" w:rsidRDefault="00E410CD" w:rsidP="004112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B17" w:rsidRDefault="00EB4B17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B17" w:rsidRDefault="00EB4B17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B17" w:rsidRPr="00EB4B17" w:rsidRDefault="00EB4B17" w:rsidP="00EB4B17">
      <w:pPr>
        <w:pStyle w:val="EndNoteBibliography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EB4B17">
        <w:t>1.</w:t>
      </w:r>
      <w:r w:rsidRPr="00EB4B17">
        <w:tab/>
        <w:t xml:space="preserve">Feng Zhang  L-yG, Xue Song1,  Rong-rong Yuan, Xue-ling Wu, Jin-ping Fan,  Shu-fang Meng. Establishment and application of quantitative real-time PCR for co-detection of HHV-6 and HHV-7. Chinese journal Chinese pharmaceutical analysis 2021, </w:t>
      </w:r>
      <w:r w:rsidRPr="00EB4B17">
        <w:rPr>
          <w:b/>
        </w:rPr>
        <w:t>41</w:t>
      </w:r>
      <w:r w:rsidRPr="00EB4B17">
        <w:t>(9):1565-1575.</w:t>
      </w:r>
    </w:p>
    <w:p w:rsidR="00EB4B17" w:rsidRPr="00EB4B17" w:rsidRDefault="00EB4B17" w:rsidP="00EB4B17">
      <w:pPr>
        <w:pStyle w:val="EndNoteBibliography"/>
        <w:ind w:left="720" w:hanging="720"/>
      </w:pPr>
      <w:r w:rsidRPr="00EB4B17">
        <w:t>2.</w:t>
      </w:r>
      <w:r w:rsidRPr="00EB4B17">
        <w:tab/>
        <w:t xml:space="preserve">Chen S. Ultrafast one-pass FASTQ data preprocessing, quality control, and deduplication using fastp. Imeta 2023, </w:t>
      </w:r>
      <w:r w:rsidRPr="00EB4B17">
        <w:rPr>
          <w:b/>
        </w:rPr>
        <w:t>2</w:t>
      </w:r>
      <w:r w:rsidRPr="00EB4B17">
        <w:t>(2):e107.</w:t>
      </w:r>
    </w:p>
    <w:p w:rsidR="00EB4B17" w:rsidRPr="00EB4B17" w:rsidRDefault="00EB4B17" w:rsidP="00EB4B17">
      <w:pPr>
        <w:pStyle w:val="EndNoteBibliography"/>
        <w:ind w:left="720" w:hanging="720"/>
      </w:pPr>
      <w:r w:rsidRPr="00EB4B17">
        <w:t>3.</w:t>
      </w:r>
      <w:r w:rsidRPr="00EB4B17">
        <w:tab/>
        <w:t xml:space="preserve">Houtgast EJ, Sima VM, Bertels K, Al-Ars Z. Hardware acceleration of BWA-MEM genomic short read mapping for longer read lengths. Comput Biol Chem 2018, </w:t>
      </w:r>
      <w:r w:rsidRPr="00EB4B17">
        <w:rPr>
          <w:b/>
        </w:rPr>
        <w:t>75</w:t>
      </w:r>
      <w:r w:rsidRPr="00EB4B17">
        <w:t>:54-64.</w:t>
      </w:r>
    </w:p>
    <w:p w:rsidR="00EB4B17" w:rsidRPr="00EB4B17" w:rsidRDefault="00EB4B17" w:rsidP="00EB4B17">
      <w:pPr>
        <w:pStyle w:val="EndNoteBibliography"/>
        <w:ind w:left="720" w:hanging="720"/>
      </w:pPr>
      <w:r w:rsidRPr="00EB4B17">
        <w:t>4.</w:t>
      </w:r>
      <w:r w:rsidRPr="00EB4B17">
        <w:tab/>
        <w:t xml:space="preserve">Quast C, Pruesse E, Yilmaz P, Gerken J, Schweer T, Yarza P, Peplies J, Glockner FO. The SILVA ribosomal RNA gene database project: improved data processing and web-based tools. Nucleic Acids Res 2013, </w:t>
      </w:r>
      <w:r w:rsidRPr="00EB4B17">
        <w:rPr>
          <w:b/>
        </w:rPr>
        <w:t>41</w:t>
      </w:r>
      <w:r w:rsidRPr="00EB4B17">
        <w:t>(Database issue):D590-596.</w:t>
      </w:r>
    </w:p>
    <w:p w:rsidR="00EB4B17" w:rsidRPr="00EB4B17" w:rsidRDefault="00EB4B17" w:rsidP="00EB4B17">
      <w:pPr>
        <w:pStyle w:val="EndNoteBibliography"/>
        <w:ind w:left="720" w:hanging="720"/>
      </w:pPr>
      <w:r w:rsidRPr="00EB4B17">
        <w:t>5.</w:t>
      </w:r>
      <w:r w:rsidRPr="00EB4B17">
        <w:tab/>
        <w:t xml:space="preserve">Chin PJ, Bhavsar JD, Bosma TJ, MacDonald ML, Polson SW, Khan AS. Refinement of the Reference Viral Database (RVDB) for improving bioinformatics analysis of virus detection by high-throughput sequencing (HTS). mSphere 2025, </w:t>
      </w:r>
      <w:r w:rsidRPr="00EB4B17">
        <w:rPr>
          <w:b/>
        </w:rPr>
        <w:t>10</w:t>
      </w:r>
      <w:r w:rsidRPr="00EB4B17">
        <w:t>(7):e0028625.</w:t>
      </w:r>
    </w:p>
    <w:p w:rsidR="0041126C" w:rsidRPr="0041126C" w:rsidRDefault="00EB4B17" w:rsidP="006E7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1126C" w:rsidRPr="0041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3B" w:rsidRDefault="006E753B" w:rsidP="006E753B">
      <w:r>
        <w:separator/>
      </w:r>
    </w:p>
  </w:endnote>
  <w:endnote w:type="continuationSeparator" w:id="0">
    <w:p w:rsidR="006E753B" w:rsidRDefault="006E753B" w:rsidP="006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3B" w:rsidRDefault="006E753B" w:rsidP="006E753B">
      <w:r>
        <w:separator/>
      </w:r>
    </w:p>
  </w:footnote>
  <w:footnote w:type="continuationSeparator" w:id="0">
    <w:p w:rsidR="006E753B" w:rsidRDefault="006E753B" w:rsidP="006E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Immunology edit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xfsrsv5t09enexpvn5drdt2v5pxzr00v9d&quot;&gt;HHV6 MSC&lt;record-ids&gt;&lt;item&gt;7&lt;/item&gt;&lt;item&gt;8&lt;/item&gt;&lt;item&gt;9&lt;/item&gt;&lt;item&gt;10&lt;/item&gt;&lt;item&gt;12&lt;/item&gt;&lt;/record-ids&gt;&lt;/item&gt;&lt;/Libraries&gt;"/>
  </w:docVars>
  <w:rsids>
    <w:rsidRoot w:val="00486A73"/>
    <w:rsid w:val="00003AF6"/>
    <w:rsid w:val="000577C8"/>
    <w:rsid w:val="000613CB"/>
    <w:rsid w:val="0007566C"/>
    <w:rsid w:val="00080A49"/>
    <w:rsid w:val="00082937"/>
    <w:rsid w:val="000958C4"/>
    <w:rsid w:val="000D0527"/>
    <w:rsid w:val="000D3B73"/>
    <w:rsid w:val="000F53CC"/>
    <w:rsid w:val="001332B0"/>
    <w:rsid w:val="00141FE6"/>
    <w:rsid w:val="00146D31"/>
    <w:rsid w:val="001701BD"/>
    <w:rsid w:val="00181D29"/>
    <w:rsid w:val="00182D79"/>
    <w:rsid w:val="001A18A6"/>
    <w:rsid w:val="001A3560"/>
    <w:rsid w:val="001A3BED"/>
    <w:rsid w:val="001C295A"/>
    <w:rsid w:val="002200C2"/>
    <w:rsid w:val="00223695"/>
    <w:rsid w:val="00260B5E"/>
    <w:rsid w:val="00264AD1"/>
    <w:rsid w:val="00276A07"/>
    <w:rsid w:val="00281604"/>
    <w:rsid w:val="002A3824"/>
    <w:rsid w:val="002D25C0"/>
    <w:rsid w:val="002D3B2F"/>
    <w:rsid w:val="002D78EF"/>
    <w:rsid w:val="002E12B3"/>
    <w:rsid w:val="003116A0"/>
    <w:rsid w:val="0034626A"/>
    <w:rsid w:val="00352960"/>
    <w:rsid w:val="00352DF7"/>
    <w:rsid w:val="00372892"/>
    <w:rsid w:val="003763D1"/>
    <w:rsid w:val="003861DA"/>
    <w:rsid w:val="003A7DC5"/>
    <w:rsid w:val="003D5828"/>
    <w:rsid w:val="0041126C"/>
    <w:rsid w:val="004354FB"/>
    <w:rsid w:val="00440BE9"/>
    <w:rsid w:val="0045339D"/>
    <w:rsid w:val="0045795B"/>
    <w:rsid w:val="00480F61"/>
    <w:rsid w:val="00486A73"/>
    <w:rsid w:val="004933D5"/>
    <w:rsid w:val="00493F69"/>
    <w:rsid w:val="004A1D68"/>
    <w:rsid w:val="004E1EB5"/>
    <w:rsid w:val="00500368"/>
    <w:rsid w:val="0058675A"/>
    <w:rsid w:val="005913FF"/>
    <w:rsid w:val="005C3CA7"/>
    <w:rsid w:val="00612E0A"/>
    <w:rsid w:val="0062302F"/>
    <w:rsid w:val="0066644C"/>
    <w:rsid w:val="0066677C"/>
    <w:rsid w:val="006B17F1"/>
    <w:rsid w:val="006C14D0"/>
    <w:rsid w:val="006E753B"/>
    <w:rsid w:val="0071781E"/>
    <w:rsid w:val="00722306"/>
    <w:rsid w:val="00723979"/>
    <w:rsid w:val="007309CA"/>
    <w:rsid w:val="00760CE8"/>
    <w:rsid w:val="00785605"/>
    <w:rsid w:val="007B23EE"/>
    <w:rsid w:val="007D3041"/>
    <w:rsid w:val="007D6748"/>
    <w:rsid w:val="007E7188"/>
    <w:rsid w:val="0080189A"/>
    <w:rsid w:val="0081291D"/>
    <w:rsid w:val="00874D59"/>
    <w:rsid w:val="008A757B"/>
    <w:rsid w:val="008E5DFC"/>
    <w:rsid w:val="009412C0"/>
    <w:rsid w:val="00956008"/>
    <w:rsid w:val="009646AD"/>
    <w:rsid w:val="009669CE"/>
    <w:rsid w:val="009B039F"/>
    <w:rsid w:val="009C3132"/>
    <w:rsid w:val="009C78EF"/>
    <w:rsid w:val="009F3A1A"/>
    <w:rsid w:val="00A4401D"/>
    <w:rsid w:val="00A458C8"/>
    <w:rsid w:val="00A914C5"/>
    <w:rsid w:val="00AB2830"/>
    <w:rsid w:val="00AB3C8E"/>
    <w:rsid w:val="00AF0A76"/>
    <w:rsid w:val="00AF1C01"/>
    <w:rsid w:val="00AF6397"/>
    <w:rsid w:val="00AF6AC4"/>
    <w:rsid w:val="00B10F64"/>
    <w:rsid w:val="00B115D4"/>
    <w:rsid w:val="00B8037D"/>
    <w:rsid w:val="00BC1F59"/>
    <w:rsid w:val="00BD2D85"/>
    <w:rsid w:val="00C03E13"/>
    <w:rsid w:val="00C36401"/>
    <w:rsid w:val="00CA5C7C"/>
    <w:rsid w:val="00CB587E"/>
    <w:rsid w:val="00CD39D8"/>
    <w:rsid w:val="00CD69C9"/>
    <w:rsid w:val="00D06C0D"/>
    <w:rsid w:val="00D1535E"/>
    <w:rsid w:val="00D21E16"/>
    <w:rsid w:val="00D634A6"/>
    <w:rsid w:val="00DC479A"/>
    <w:rsid w:val="00DC55C4"/>
    <w:rsid w:val="00DD1C81"/>
    <w:rsid w:val="00DF02FE"/>
    <w:rsid w:val="00E410CD"/>
    <w:rsid w:val="00E5587B"/>
    <w:rsid w:val="00E63A42"/>
    <w:rsid w:val="00EB4B17"/>
    <w:rsid w:val="00EB59C8"/>
    <w:rsid w:val="00F63357"/>
    <w:rsid w:val="00F64568"/>
    <w:rsid w:val="00F75403"/>
    <w:rsid w:val="00F85935"/>
    <w:rsid w:val="00F95F4A"/>
    <w:rsid w:val="00F9760C"/>
    <w:rsid w:val="00FA3431"/>
    <w:rsid w:val="00FB08D3"/>
    <w:rsid w:val="00FD2C0D"/>
    <w:rsid w:val="00FD4B9D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53B"/>
    <w:rPr>
      <w:sz w:val="18"/>
      <w:szCs w:val="18"/>
    </w:rPr>
  </w:style>
  <w:style w:type="table" w:styleId="a5">
    <w:name w:val="Table Grid"/>
    <w:basedOn w:val="a1"/>
    <w:uiPriority w:val="59"/>
    <w:rsid w:val="0066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EB4B1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EB4B1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EB4B17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EB4B17"/>
    <w:rPr>
      <w:rFonts w:ascii="Calibri" w:hAnsi="Calibri" w:cs="Calibri"/>
      <w:noProof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53B"/>
    <w:rPr>
      <w:sz w:val="18"/>
      <w:szCs w:val="18"/>
    </w:rPr>
  </w:style>
  <w:style w:type="table" w:styleId="a5">
    <w:name w:val="Table Grid"/>
    <w:basedOn w:val="a1"/>
    <w:uiPriority w:val="59"/>
    <w:rsid w:val="0066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a"/>
    <w:link w:val="EndNoteBibliographyTitleChar"/>
    <w:rsid w:val="00EB4B1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EB4B1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EB4B17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EB4B17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1996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2025-12-28T15:17:00Z</dcterms:created>
  <dcterms:modified xsi:type="dcterms:W3CDTF">2026-02-11T23:25:00Z</dcterms:modified>
</cp:coreProperties>
</file>