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F4D7" w14:textId="2169AFF6" w:rsidR="00592110" w:rsidRDefault="00EB3838" w:rsidP="00592110">
      <w:pPr>
        <w:pStyle w:val="Heading1"/>
      </w:pPr>
      <w:r>
        <w:t>Supplementary</w:t>
      </w:r>
      <w:r w:rsidR="00592110" w:rsidRPr="0673C0DA">
        <w:t xml:space="preserve"> </w:t>
      </w:r>
      <w:r w:rsidR="00CC509D">
        <w:t>m</w:t>
      </w:r>
      <w:r w:rsidR="00592110" w:rsidRPr="0673C0DA">
        <w:t>ethods</w:t>
      </w:r>
    </w:p>
    <w:p w14:paraId="5E648983" w14:textId="0B163D2E" w:rsidR="00592110" w:rsidRDefault="00592110" w:rsidP="00592110">
      <w:pPr>
        <w:pStyle w:val="Heading2"/>
      </w:pPr>
      <w:r>
        <w:t>Sample processing</w:t>
      </w:r>
    </w:p>
    <w:p w14:paraId="51FC4347" w14:textId="7ED17ED4" w:rsidR="00592110" w:rsidRDefault="00592110" w:rsidP="00592110">
      <w:pPr>
        <w:spacing w:before="240" w:after="240"/>
      </w:pPr>
      <w:r>
        <w:t>Fresh frozen tumor samples were retrieved from PDS, IDS, pre-NACT laparoscopy, drained ascites or pleural fluid, or occasional palliative relapse operations, as previously described (</w:t>
      </w:r>
      <w:proofErr w:type="spellStart"/>
      <w:r>
        <w:t>Lahtinen</w:t>
      </w:r>
      <w:proofErr w:type="spellEnd"/>
      <w:r>
        <w:t>, 2023). The</w:t>
      </w:r>
      <w:r w:rsidRPr="003F5375">
        <w:t xml:space="preserve"> tumor samples were snap-frozen in liquid nitrogen without delay in the surgical unit</w:t>
      </w:r>
      <w:r>
        <w:t xml:space="preserve">. </w:t>
      </w:r>
    </w:p>
    <w:p w14:paraId="08B1DD4E" w14:textId="2E0B8E81" w:rsidR="00592110" w:rsidRDefault="00592110" w:rsidP="00592110">
      <w:pPr>
        <w:spacing w:before="240" w:after="240"/>
      </w:pPr>
      <w:r>
        <w:t xml:space="preserve">DNA and RNA were extracted from the fresh-frozen tumor samples and submitted to genome-wide sequencing with either DNBSEQ (BGISEQ-500 RRID: SCR_017979 or MGISEQ-2000 RRID: SCR_017980), </w:t>
      </w:r>
      <w:proofErr w:type="spellStart"/>
      <w:r>
        <w:t>HiSeq</w:t>
      </w:r>
      <w:proofErr w:type="spellEnd"/>
      <w:r>
        <w:t xml:space="preserve"> X Ten (RRID: SCR_016385), or </w:t>
      </w:r>
      <w:proofErr w:type="spellStart"/>
      <w:r>
        <w:t>NovaSeq</w:t>
      </w:r>
      <w:proofErr w:type="spellEnd"/>
      <w:r>
        <w:t xml:space="preserve"> 6000 (RRID: SCR_016387), as previously described (</w:t>
      </w:r>
      <w:proofErr w:type="spellStart"/>
      <w:r>
        <w:t>Micoli</w:t>
      </w:r>
      <w:proofErr w:type="spellEnd"/>
      <w:r>
        <w:t xml:space="preserve">, 2025; </w:t>
      </w:r>
      <w:proofErr w:type="spellStart"/>
      <w:r>
        <w:t>Afenteva</w:t>
      </w:r>
      <w:proofErr w:type="spellEnd"/>
      <w:r>
        <w:t>, 2025). Patient-specific germline references were retrieved by whole-genome sequencing of DNA extracted from peripheral blood samples.</w:t>
      </w:r>
    </w:p>
    <w:p w14:paraId="2A839EBA" w14:textId="77777777" w:rsidR="00592110" w:rsidRDefault="00592110" w:rsidP="00592110">
      <w:pPr>
        <w:pStyle w:val="Heading2"/>
        <w:rPr>
          <w:sz w:val="32"/>
          <w:szCs w:val="32"/>
        </w:rPr>
      </w:pPr>
      <w:r>
        <w:t>Genomic sequencing data analysis</w:t>
      </w:r>
    </w:p>
    <w:p w14:paraId="166D118D" w14:textId="77777777" w:rsidR="00592110" w:rsidRDefault="00592110" w:rsidP="00592110">
      <w:pPr>
        <w:pStyle w:val="Heading3"/>
      </w:pPr>
      <w:r>
        <w:t>Sequencing data preprocessing</w:t>
      </w:r>
    </w:p>
    <w:p w14:paraId="714708BD" w14:textId="77777777" w:rsidR="00592110" w:rsidRDefault="00592110" w:rsidP="00592110">
      <w:r>
        <w:t xml:space="preserve">Sequenced read data were processed using </w:t>
      </w:r>
      <w:proofErr w:type="spellStart"/>
      <w:r>
        <w:t>Anduril</w:t>
      </w:r>
      <w:proofErr w:type="spellEnd"/>
      <w:r>
        <w:t xml:space="preserve"> 2 as previously described (</w:t>
      </w:r>
      <w:proofErr w:type="spellStart"/>
      <w:r>
        <w:t>Cervera</w:t>
      </w:r>
      <w:proofErr w:type="spellEnd"/>
      <w:r>
        <w:t xml:space="preserve">, 2019, </w:t>
      </w:r>
      <w:proofErr w:type="spellStart"/>
      <w:r>
        <w:t>Lahtinen</w:t>
      </w:r>
      <w:proofErr w:type="spellEnd"/>
      <w:r>
        <w:t xml:space="preserve">, 2023) with additional adapter read filtering. Briefly, we filtered read pairs where the read or mate led with CGGTGGT/CGTATGC exactly or CGGTGGTCG/CGTATGCCG with one mismatch from samples where at least 0.1% of the reads would be filtered. Read data were then trimmed using </w:t>
      </w:r>
      <w:proofErr w:type="spellStart"/>
      <w:r>
        <w:t>Trimmomatic</w:t>
      </w:r>
      <w:proofErr w:type="spellEnd"/>
      <w:r>
        <w:t xml:space="preserve"> 0.32 (Bolger, 2014) and aligned against genome build GRCh38.d1.vd1 with BWA-MEM 0.7.12-r1039 (Li, 2013). This was followed by duplicate marking using Picard 2.6 (https://github.com/broadinstitute/picard) and base quality score recalibration using GATK 3.7 (Van der </w:t>
      </w:r>
      <w:proofErr w:type="spellStart"/>
      <w:r>
        <w:t>Auwera</w:t>
      </w:r>
      <w:proofErr w:type="spellEnd"/>
      <w:r>
        <w:t xml:space="preserve"> &amp; O'Connor, 2020). We proceeded with </w:t>
      </w:r>
      <w:r>
        <w:lastRenderedPageBreak/>
        <w:t xml:space="preserve">normal samples with less than 10% and tumor samples with less than 3% contamination as estimated using GATK 4.1.9.0 and additionally </w:t>
      </w:r>
      <w:proofErr w:type="spellStart"/>
      <w:r>
        <w:t>VerifyBamID</w:t>
      </w:r>
      <w:proofErr w:type="spellEnd"/>
      <w:r>
        <w:t xml:space="preserve"> 2 (Zhang, 2020) for </w:t>
      </w:r>
      <w:proofErr w:type="spellStart"/>
      <w:r>
        <w:t>normals</w:t>
      </w:r>
      <w:proofErr w:type="spellEnd"/>
      <w:r>
        <w:t>.</w:t>
      </w:r>
    </w:p>
    <w:p w14:paraId="4D27358B" w14:textId="77777777" w:rsidR="00592110" w:rsidRDefault="00592110" w:rsidP="00592110">
      <w:pPr>
        <w:pStyle w:val="Heading3"/>
      </w:pPr>
      <w:r>
        <w:t>Variant calling and annotation pipeline</w:t>
      </w:r>
    </w:p>
    <w:p w14:paraId="743DEB23" w14:textId="77777777" w:rsidR="00592110" w:rsidRDefault="00592110" w:rsidP="00592110">
      <w:r>
        <w:t xml:space="preserve">Somatic variants were called in joint calling mode using GATK 4.1.9.0 Mutect2 against a patient-specific germline reference sample and a </w:t>
      </w:r>
      <w:r w:rsidRPr="78C7B083">
        <w:rPr>
          <w:color w:val="000000" w:themeColor="text1"/>
        </w:rPr>
        <w:t xml:space="preserve">Panel of </w:t>
      </w:r>
      <w:proofErr w:type="spellStart"/>
      <w:r w:rsidRPr="78C7B083">
        <w:rPr>
          <w:color w:val="000000" w:themeColor="text1"/>
        </w:rPr>
        <w:t>Normals</w:t>
      </w:r>
      <w:proofErr w:type="spellEnd"/>
      <w:r>
        <w:t xml:space="preserve"> as previously described (</w:t>
      </w:r>
      <w:proofErr w:type="spellStart"/>
      <w:r>
        <w:t>Lahtinen</w:t>
      </w:r>
      <w:proofErr w:type="spellEnd"/>
      <w:r>
        <w:t>, 2023). We applied the additional filters used in signature analysis (</w:t>
      </w:r>
      <w:proofErr w:type="spellStart"/>
      <w:r>
        <w:t>Lahtinen</w:t>
      </w:r>
      <w:proofErr w:type="spellEnd"/>
      <w:r>
        <w:t xml:space="preserve"> et al.) and further excluded multi-nucleotide variants if any of their nested SNVs were </w:t>
      </w:r>
      <w:proofErr w:type="spellStart"/>
      <w:r>
        <w:t>uncallable</w:t>
      </w:r>
      <w:proofErr w:type="spellEnd"/>
      <w:r>
        <w:t xml:space="preserve"> by Mutect2. Furthermore, for batches highly enriched with C&gt;T artefacts, at GCA/GCC and exhibiting orientation bias, we applied additional patient-specific filtering using ROQ annotations from customized runs of GATK </w:t>
      </w:r>
      <w:proofErr w:type="spellStart"/>
      <w:r>
        <w:t>FilterMutectCalls</w:t>
      </w:r>
      <w:proofErr w:type="spellEnd"/>
      <w:r>
        <w:t xml:space="preserve">, involving sample-wise recomputed F1R2 counts and subsequent orientation models of tumor samples from affected batches. For driver event analysis, we also dropped variants flagged by GATK </w:t>
      </w:r>
      <w:proofErr w:type="spellStart"/>
      <w:r>
        <w:t>FilterAlignmentArtifacts</w:t>
      </w:r>
      <w:proofErr w:type="spellEnd"/>
      <w:r>
        <w:t xml:space="preserve">. Furthermore, for batches highly enriched with C&gt;T artefacts, at GCA/GCC and exhibiting orientation bias, we applied additional patient-specific filtering using ROQ annotations from customized runs of GATK </w:t>
      </w:r>
      <w:proofErr w:type="spellStart"/>
      <w:r>
        <w:t>FilterMutectCalls</w:t>
      </w:r>
      <w:proofErr w:type="spellEnd"/>
      <w:r>
        <w:t xml:space="preserve">, involving sample-wise recomputed F1R2 counts and subsequent orientation models of tumor samples from affected batches. Germline variants were called via joint genotyping using GATK 4.1.9.0. Allele dosage of germline variants in tumor samples was estimated patient-wise by forced calling using Mutect2 in joint calling mode. We applied variant annotations using ANNOVAR 20250302 (Wang, 2010), and used MANE v1.4 (Morales, 2023) for gene-based annotations. </w:t>
      </w:r>
    </w:p>
    <w:p w14:paraId="06728F29" w14:textId="77777777" w:rsidR="00592110" w:rsidRDefault="00592110" w:rsidP="00592110">
      <w:r>
        <w:t>The pathogenicity of missense aberrations was estimated with CGI (</w:t>
      </w:r>
      <w:proofErr w:type="spellStart"/>
      <w:r>
        <w:t>Tamborero</w:t>
      </w:r>
      <w:proofErr w:type="spellEnd"/>
      <w:r>
        <w:t xml:space="preserve">, 2018), </w:t>
      </w:r>
      <w:proofErr w:type="spellStart"/>
      <w:r>
        <w:t>AlphaMissense</w:t>
      </w:r>
      <w:proofErr w:type="spellEnd"/>
      <w:r>
        <w:t xml:space="preserve"> (Cheng, 2023), PolyPhen2 (</w:t>
      </w:r>
      <w:proofErr w:type="spellStart"/>
      <w:r>
        <w:t>Adzhubei</w:t>
      </w:r>
      <w:proofErr w:type="spellEnd"/>
      <w:r>
        <w:t>, 2013), and SIFT (</w:t>
      </w:r>
      <w:proofErr w:type="spellStart"/>
      <w:r>
        <w:t>Vaser</w:t>
      </w:r>
      <w:proofErr w:type="spellEnd"/>
      <w:r>
        <w:t xml:space="preserve">, 2016). If an aberration was previously characterized and present in the curated </w:t>
      </w:r>
      <w:proofErr w:type="spellStart"/>
      <w:r>
        <w:t>ClinVar</w:t>
      </w:r>
      <w:proofErr w:type="spellEnd"/>
      <w:r>
        <w:t xml:space="preserve"> (Landrum, 2025) or </w:t>
      </w:r>
      <w:proofErr w:type="spellStart"/>
      <w:r>
        <w:t>OncoKB</w:t>
      </w:r>
      <w:proofErr w:type="spellEnd"/>
      <w:r>
        <w:t xml:space="preserve"> (Chakravarty, 2017) databases, this annotation overruled in silico predictions. In other cases, pathogenicity was based on consensus calling of the predictor algorithms, so that </w:t>
      </w:r>
      <w:r>
        <w:lastRenderedPageBreak/>
        <w:t xml:space="preserve">a missense was considered potentially pathogenic if it was called oncogenic by CGI output or deleterious by two of the remaining three algorithms. The effect on splicing was estimated with </w:t>
      </w:r>
      <w:proofErr w:type="spellStart"/>
      <w:r>
        <w:t>dbscSNV</w:t>
      </w:r>
      <w:proofErr w:type="spellEnd"/>
      <w:r>
        <w:t xml:space="preserve"> 1.1 (Jian, 2014) and aberrations with ADA or RF score exceeding the threshold value 0.95 were considered potential splice-aberrations. Insertions, deletions, and nonsense mutations were always considered potentially pathogenic. Frameshift and nonsense aberrations were evaluated further only for tumor suppressor genes.</w:t>
      </w:r>
    </w:p>
    <w:p w14:paraId="73EACBAB" w14:textId="77777777" w:rsidR="00592110" w:rsidRDefault="00592110" w:rsidP="00592110">
      <w:r>
        <w:t xml:space="preserve">We determined HRD status based on </w:t>
      </w:r>
      <w:proofErr w:type="spellStart"/>
      <w:r>
        <w:t>ovaHRDscar</w:t>
      </w:r>
      <w:proofErr w:type="spellEnd"/>
      <w:r>
        <w:t>, which is used in HGSC clinical diagnostics in Finland (</w:t>
      </w:r>
      <w:r w:rsidRPr="00987E1D">
        <w:t>Perez-</w:t>
      </w:r>
      <w:proofErr w:type="spellStart"/>
      <w:r w:rsidRPr="00987E1D">
        <w:t>Villatoro</w:t>
      </w:r>
      <w:proofErr w:type="spellEnd"/>
      <w:r>
        <w:t>, 2022).</w:t>
      </w:r>
    </w:p>
    <w:p w14:paraId="11944CAB" w14:textId="77777777" w:rsidR="00592110" w:rsidRDefault="00592110" w:rsidP="00592110">
      <w:pPr>
        <w:pStyle w:val="Heading3"/>
      </w:pPr>
      <w:r>
        <w:t>Copy-number calling</w:t>
      </w:r>
    </w:p>
    <w:p w14:paraId="014E052E" w14:textId="77777777" w:rsidR="00592110" w:rsidRDefault="00592110" w:rsidP="00592110">
      <w:r>
        <w:t>We performed copy-number segmentation using GATK version 4.1.4.1 (</w:t>
      </w:r>
      <w:proofErr w:type="spellStart"/>
      <w:r>
        <w:t>DePristo</w:t>
      </w:r>
      <w:proofErr w:type="spellEnd"/>
      <w:r>
        <w:t xml:space="preserve">, 2011), and estimated tumor purity, ploidy, allele-specific copy numbers and purified </w:t>
      </w:r>
      <w:proofErr w:type="spellStart"/>
      <w:r>
        <w:t>logR</w:t>
      </w:r>
      <w:proofErr w:type="spellEnd"/>
      <w:r>
        <w:t xml:space="preserve"> values with a reimplementation of the ASCAT algorithm </w:t>
      </w:r>
      <w:bookmarkStart w:id="0" w:name="_Hlk220422448"/>
      <w:r>
        <w:t>(Van Loo, 2010)</w:t>
      </w:r>
      <w:bookmarkEnd w:id="0"/>
      <w:r>
        <w:t xml:space="preserve">, as detailed in </w:t>
      </w:r>
      <w:proofErr w:type="spellStart"/>
      <w:r>
        <w:t>Lavikka</w:t>
      </w:r>
      <w:proofErr w:type="spellEnd"/>
      <w:r>
        <w:t xml:space="preserve">, 2024. GATK-ASCAT output was used for detection of an amplification, using a threshold value of purified log-ratio high than 2.5, corresponding to a gene copy number approximately three times the cancer cell ploidy, and estimated copy number of at least eight. A genomic segment was considered deleted if the purified </w:t>
      </w:r>
      <w:proofErr w:type="spellStart"/>
      <w:r>
        <w:t>logR</w:t>
      </w:r>
      <w:proofErr w:type="spellEnd"/>
      <w:r>
        <w:t xml:space="preserve"> was lower than –2. Deletions were considered unreliable in cancer samples with tumor fraction below 0.2 and these were not used in further analyses.</w:t>
      </w:r>
    </w:p>
    <w:p w14:paraId="29296D02" w14:textId="77777777" w:rsidR="00592110" w:rsidRDefault="00592110" w:rsidP="00592110">
      <w:pPr>
        <w:pStyle w:val="Heading3"/>
      </w:pPr>
      <w:r>
        <w:t>Structural aberration calling</w:t>
      </w:r>
    </w:p>
    <w:p w14:paraId="3547C184" w14:textId="3C9713A5" w:rsidR="00592110" w:rsidRDefault="00592110" w:rsidP="00592110">
      <w:pPr>
        <w:spacing w:before="240" w:after="240"/>
        <w:rPr>
          <w:color w:val="000000" w:themeColor="text1"/>
        </w:rPr>
      </w:pPr>
      <w:r w:rsidRPr="78C7B083">
        <w:rPr>
          <w:color w:val="000000" w:themeColor="text1"/>
        </w:rPr>
        <w:t xml:space="preserve">Structural variant calling was carried out using GRIDSS (Cameron, 2017 II) in combination with the HMF toolkit (Priestley, 2019). Somatic variants were filtered with GRIPSS, using a Panel of </w:t>
      </w:r>
      <w:proofErr w:type="spellStart"/>
      <w:r w:rsidRPr="78C7B083">
        <w:rPr>
          <w:color w:val="000000" w:themeColor="text1"/>
        </w:rPr>
        <w:t>Normals</w:t>
      </w:r>
      <w:proofErr w:type="spellEnd"/>
      <w:r w:rsidRPr="78C7B083">
        <w:rPr>
          <w:color w:val="000000" w:themeColor="text1"/>
        </w:rPr>
        <w:t xml:space="preserve"> from DECIDER and Dutch population blood samples, and excluding regions listed in the ENCODE and DECIDER blacklists, as previously explained (</w:t>
      </w:r>
      <w:proofErr w:type="spellStart"/>
      <w:r w:rsidRPr="78C7B083">
        <w:rPr>
          <w:color w:val="000000" w:themeColor="text1"/>
        </w:rPr>
        <w:t>Micoli</w:t>
      </w:r>
      <w:proofErr w:type="spellEnd"/>
      <w:r w:rsidRPr="78C7B083">
        <w:rPr>
          <w:color w:val="000000" w:themeColor="text1"/>
        </w:rPr>
        <w:t xml:space="preserve">, 2025). GRIDSS output was considered only for the detection of structural aberrations, not for the </w:t>
      </w:r>
      <w:r w:rsidRPr="78C7B083">
        <w:rPr>
          <w:color w:val="000000" w:themeColor="text1"/>
        </w:rPr>
        <w:lastRenderedPageBreak/>
        <w:t xml:space="preserve">detection of amplifications or large deletions. The gene-level consequences of the somatic structural aberrations were annotated based on transcripts in GENCODE v47, using custom code, and only aberrations causing a change in a gene coding region were retained for further analyses. </w:t>
      </w:r>
    </w:p>
    <w:p w14:paraId="0AD97431" w14:textId="47F2EEDC" w:rsidR="00701157" w:rsidRDefault="00701157" w:rsidP="00701157">
      <w:pPr>
        <w:pStyle w:val="Heading3"/>
      </w:pPr>
      <w:r>
        <w:t>Variant curation</w:t>
      </w:r>
    </w:p>
    <w:p w14:paraId="4ED8A41B" w14:textId="77777777" w:rsidR="00701157" w:rsidRDefault="00701157" w:rsidP="00701157">
      <w:r>
        <w:t xml:space="preserve">The characterization and targeted exploration of DNA alterations involved joint visualization of mutations, copy-number segments, and structural aberrations at cohort and patient levels using </w:t>
      </w:r>
      <w:proofErr w:type="spellStart"/>
      <w:r>
        <w:t>GenomeSpy</w:t>
      </w:r>
      <w:proofErr w:type="spellEnd"/>
      <w:r>
        <w:t xml:space="preserve"> (</w:t>
      </w:r>
      <w:proofErr w:type="spellStart"/>
      <w:r>
        <w:t>Lavikka</w:t>
      </w:r>
      <w:proofErr w:type="spellEnd"/>
      <w:r>
        <w:t xml:space="preserve">, 2024). Subsequent data management, analyses, and visualizations were performed in R environment for statistical computing (R Core Team, 2023).  </w:t>
      </w:r>
    </w:p>
    <w:p w14:paraId="1AA70008" w14:textId="77777777" w:rsidR="00592110" w:rsidRPr="00C363A5" w:rsidRDefault="00592110" w:rsidP="00592110">
      <w:pPr>
        <w:pStyle w:val="Heading2"/>
        <w:rPr>
          <w:sz w:val="24"/>
          <w:szCs w:val="24"/>
        </w:rPr>
      </w:pPr>
      <w:r>
        <w:t>RNA sequencing data analysis</w:t>
      </w:r>
    </w:p>
    <w:p w14:paraId="13B8E4ED" w14:textId="77777777" w:rsidR="00592110" w:rsidRDefault="00592110" w:rsidP="00592110">
      <w:pPr>
        <w:pStyle w:val="Heading3"/>
      </w:pPr>
      <w:r>
        <w:t>RNA processing, decomposition, and normalization</w:t>
      </w:r>
    </w:p>
    <w:p w14:paraId="373301CC" w14:textId="77777777" w:rsidR="00592110" w:rsidRDefault="00592110" w:rsidP="00592110">
      <w:pPr>
        <w:keepNext/>
        <w:keepLines/>
      </w:pPr>
      <w:r>
        <w:t xml:space="preserve">RNA sequencing data were processed with </w:t>
      </w:r>
      <w:proofErr w:type="spellStart"/>
      <w:r>
        <w:t>Anduril</w:t>
      </w:r>
      <w:proofErr w:type="spellEnd"/>
      <w:r>
        <w:t xml:space="preserve"> 2 using the </w:t>
      </w:r>
      <w:proofErr w:type="spellStart"/>
      <w:r>
        <w:t>SePIA</w:t>
      </w:r>
      <w:proofErr w:type="spellEnd"/>
      <w:r>
        <w:t xml:space="preserve"> pipeline (</w:t>
      </w:r>
      <w:proofErr w:type="spellStart"/>
      <w:r>
        <w:t>Icay</w:t>
      </w:r>
      <w:proofErr w:type="spellEnd"/>
      <w:r>
        <w:t xml:space="preserve">, 2016), including </w:t>
      </w:r>
      <w:proofErr w:type="spellStart"/>
      <w:r>
        <w:t>Trimmomatic</w:t>
      </w:r>
      <w:proofErr w:type="spellEnd"/>
      <w:r>
        <w:t xml:space="preserve"> (Bolger, 2014), STAR aligner (</w:t>
      </w:r>
      <w:proofErr w:type="spellStart"/>
      <w:r>
        <w:t>Dobin</w:t>
      </w:r>
      <w:proofErr w:type="spellEnd"/>
      <w:r>
        <w:t xml:space="preserve">, 2013), and </w:t>
      </w:r>
      <w:proofErr w:type="spellStart"/>
      <w:r>
        <w:t>eXpress</w:t>
      </w:r>
      <w:proofErr w:type="spellEnd"/>
      <w:r>
        <w:t xml:space="preserve"> (Roberts, 2013). Tumor cell-specific expression was decomposed with PRISM (</w:t>
      </w:r>
      <w:proofErr w:type="spellStart"/>
      <w:r>
        <w:t>Häkkinen</w:t>
      </w:r>
      <w:proofErr w:type="spellEnd"/>
      <w:r>
        <w:t xml:space="preserve">, 2021). For estimation of an amplification-driven gene hyperexpression, the expression matrix was normalized with variance stabilizing transformation, using the R library DESeq2 (Love, 2014).  </w:t>
      </w:r>
    </w:p>
    <w:p w14:paraId="3AD8B8F4" w14:textId="77777777" w:rsidR="00592110" w:rsidRDefault="00592110" w:rsidP="00592110">
      <w:pPr>
        <w:pStyle w:val="Heading3"/>
        <w:rPr>
          <w:rFonts w:eastAsia="Times New Roman" w:cs="Times New Roman"/>
          <w:b w:val="0"/>
          <w:bCs w:val="0"/>
          <w:color w:val="000000" w:themeColor="text1"/>
        </w:rPr>
      </w:pPr>
      <w:r>
        <w:t>Single-nucleotide variant calling</w:t>
      </w:r>
    </w:p>
    <w:p w14:paraId="273C2F86" w14:textId="77777777" w:rsidR="00592110" w:rsidRDefault="00592110" w:rsidP="00592110">
      <w:pPr>
        <w:keepNext/>
        <w:keepLines/>
      </w:pPr>
      <w:r>
        <w:t xml:space="preserve">Patient-specific somatic missense variants were force-called in all RNA sequencing samples from the same patient with the GATK function </w:t>
      </w:r>
      <w:proofErr w:type="spellStart"/>
      <w:r>
        <w:t>ASEReadCounter</w:t>
      </w:r>
      <w:proofErr w:type="spellEnd"/>
      <w:r>
        <w:t>. Variant alleles with at least five supporting sequencing reads in RNA data were considered expressed.</w:t>
      </w:r>
    </w:p>
    <w:p w14:paraId="1CF9896B" w14:textId="77777777" w:rsidR="00701157" w:rsidRDefault="00592110" w:rsidP="00701157">
      <w:pPr>
        <w:pStyle w:val="Heading3"/>
      </w:pPr>
      <w:r>
        <w:t>Fusion analysis</w:t>
      </w:r>
    </w:p>
    <w:p w14:paraId="2667E81D" w14:textId="024B4743" w:rsidR="00592110" w:rsidRDefault="00592110" w:rsidP="00701157">
      <w:r>
        <w:lastRenderedPageBreak/>
        <w:t xml:space="preserve">Gene fusion events were detected in RNA-seq data using the </w:t>
      </w:r>
      <w:proofErr w:type="spellStart"/>
      <w:r>
        <w:t>nf</w:t>
      </w:r>
      <w:proofErr w:type="spellEnd"/>
      <w:r>
        <w:t>-core/</w:t>
      </w:r>
      <w:proofErr w:type="spellStart"/>
      <w:r>
        <w:t>rnafusion</w:t>
      </w:r>
      <w:proofErr w:type="spellEnd"/>
      <w:r>
        <w:t xml:space="preserve"> pipeline v. 2.0.0 (</w:t>
      </w:r>
      <w:proofErr w:type="spellStart"/>
      <w:r>
        <w:t>Ewels</w:t>
      </w:r>
      <w:proofErr w:type="spellEnd"/>
      <w:r>
        <w:t>, 2020), which integrates Arriba v2.2.1 (</w:t>
      </w:r>
      <w:proofErr w:type="spellStart"/>
      <w:r>
        <w:t>Uhrig</w:t>
      </w:r>
      <w:proofErr w:type="spellEnd"/>
      <w:r>
        <w:t>, 2021), STAR-Fusion v1.10.1, (Haas, 2019), Pizzly v0.37.3 (</w:t>
      </w:r>
      <w:proofErr w:type="spellStart"/>
      <w:r>
        <w:t>Melsted</w:t>
      </w:r>
      <w:proofErr w:type="spellEnd"/>
      <w:r>
        <w:t xml:space="preserve">, 2017), and Squid v1.5 (Ma, 2018) with default parameters. </w:t>
      </w:r>
    </w:p>
    <w:p w14:paraId="7B405CB3" w14:textId="201C48C2" w:rsidR="00592110" w:rsidRDefault="00592110" w:rsidP="00592110">
      <w:pPr>
        <w:keepNext/>
        <w:keepLines/>
      </w:pPr>
      <w:r>
        <w:t>To ensure the identification of biologically relevant and transcribed fusion transcripts with the potential to exert specific effects, stringent criteria were applied. Specifically, only gene fusions supported by a minimum of five reads were included in the analysis. Fusion</w:t>
      </w:r>
      <w:r w:rsidR="00CC509D">
        <w:t xml:space="preserve"> transcripts consisting of opposite</w:t>
      </w:r>
      <w:r w:rsidR="00FE06BA">
        <w:t xml:space="preserve"> </w:t>
      </w:r>
      <w:r w:rsidR="00CC509D">
        <w:t xml:space="preserve">orientation </w:t>
      </w:r>
      <w:r w:rsidR="00FE06BA">
        <w:t xml:space="preserve">fusion partners of </w:t>
      </w:r>
      <w:r w:rsidR="00CC509D">
        <w:t>gene 3’ ends</w:t>
      </w:r>
      <w:r>
        <w:t xml:space="preserve"> were excluded</w:t>
      </w:r>
      <w:r w:rsidR="00CC509D">
        <w:t xml:space="preserve">, as well as </w:t>
      </w:r>
      <w:r w:rsidR="00FE06BA">
        <w:t>fusions</w:t>
      </w:r>
      <w:r w:rsidR="00CC509D">
        <w:t xml:space="preserve"> where both partners</w:t>
      </w:r>
      <w:r>
        <w:t xml:space="preserve"> were out-of-frame. </w:t>
      </w:r>
      <w:r w:rsidR="00CC509D">
        <w:t>F</w:t>
      </w:r>
      <w:r>
        <w:t>usion</w:t>
      </w:r>
      <w:r w:rsidR="00CC509D">
        <w:t xml:space="preserve"> transcripts</w:t>
      </w:r>
      <w:r>
        <w:t xml:space="preserve"> involving </w:t>
      </w:r>
      <w:r w:rsidR="00CC509D">
        <w:t xml:space="preserve">only </w:t>
      </w:r>
      <w:r>
        <w:t>one protein-coding gene</w:t>
      </w:r>
      <w:r w:rsidR="00CC509D">
        <w:t xml:space="preserve"> in open reading frame</w:t>
      </w:r>
      <w:r>
        <w:t xml:space="preserve"> were </w:t>
      </w:r>
      <w:r w:rsidR="00CC509D">
        <w:t>annotated as truncated transcripts coding an abnormal protein.</w:t>
      </w:r>
      <w:r>
        <w:t xml:space="preserve"> </w:t>
      </w:r>
      <w:r w:rsidR="00CC509D">
        <w:t>I</w:t>
      </w:r>
      <w:r>
        <w:t>ntra-genic</w:t>
      </w:r>
      <w:r w:rsidR="00CC509D">
        <w:t xml:space="preserve"> fusions were annotated for the reading frame status and used in validation of intra-genic large deletions and duplications.</w:t>
      </w:r>
      <w:r>
        <w:t xml:space="preserve"> </w:t>
      </w:r>
    </w:p>
    <w:p w14:paraId="6F3139C2" w14:textId="77777777" w:rsidR="00592110" w:rsidRPr="009E1414" w:rsidRDefault="00592110" w:rsidP="00592110">
      <w:pPr>
        <w:pStyle w:val="Heading3"/>
        <w:rPr>
          <w:rStyle w:val="Heading3Char"/>
          <w:b/>
          <w:bCs/>
        </w:rPr>
      </w:pPr>
      <w:r w:rsidRPr="009E1414">
        <w:rPr>
          <w:rStyle w:val="Heading3Char"/>
          <w:b/>
          <w:bCs/>
        </w:rPr>
        <w:t>Transcriptional footprint analysis</w:t>
      </w:r>
    </w:p>
    <w:p w14:paraId="4E81B5B2" w14:textId="77777777" w:rsidR="00592110" w:rsidRDefault="00592110" w:rsidP="00592110">
      <w:pPr>
        <w:keepNext/>
        <w:keepLines/>
      </w:pPr>
      <w:r>
        <w:t xml:space="preserve">The transcriptional impact of the recurring driver aberrations in </w:t>
      </w:r>
      <w:r w:rsidRPr="78C7B083">
        <w:rPr>
          <w:i/>
          <w:iCs/>
        </w:rPr>
        <w:t>NF1</w:t>
      </w:r>
      <w:r>
        <w:t xml:space="preserve">, </w:t>
      </w:r>
      <w:r w:rsidRPr="78C7B083">
        <w:rPr>
          <w:i/>
          <w:iCs/>
        </w:rPr>
        <w:t>CCNE1</w:t>
      </w:r>
      <w:r>
        <w:t xml:space="preserve">, </w:t>
      </w:r>
      <w:r w:rsidRPr="78C7B083">
        <w:rPr>
          <w:i/>
          <w:iCs/>
        </w:rPr>
        <w:t>PTEN</w:t>
      </w:r>
      <w:r>
        <w:t xml:space="preserve">, </w:t>
      </w:r>
      <w:r w:rsidRPr="78C7B083">
        <w:rPr>
          <w:i/>
          <w:iCs/>
        </w:rPr>
        <w:t>AKT2</w:t>
      </w:r>
      <w:r>
        <w:t xml:space="preserve">, </w:t>
      </w:r>
      <w:r w:rsidRPr="78C7B083">
        <w:rPr>
          <w:i/>
          <w:iCs/>
        </w:rPr>
        <w:t>PTK2</w:t>
      </w:r>
      <w:r>
        <w:t xml:space="preserve">, and </w:t>
      </w:r>
      <w:r w:rsidRPr="78C7B083">
        <w:rPr>
          <w:i/>
          <w:iCs/>
        </w:rPr>
        <w:t xml:space="preserve">KRAS </w:t>
      </w:r>
      <w:r>
        <w:t xml:space="preserve">were studied with a </w:t>
      </w:r>
      <w:proofErr w:type="spellStart"/>
      <w:r>
        <w:t>PROGENy</w:t>
      </w:r>
      <w:proofErr w:type="spellEnd"/>
      <w:r>
        <w:t xml:space="preserve"> analysis of differential pathway activity (Schubert, 2018) and </w:t>
      </w:r>
      <w:proofErr w:type="spellStart"/>
      <w:r>
        <w:t>CollecTRI</w:t>
      </w:r>
      <w:proofErr w:type="spellEnd"/>
      <w:r>
        <w:t xml:space="preserve"> analysis of transcription factor activity (Müller-</w:t>
      </w:r>
      <w:proofErr w:type="spellStart"/>
      <w:r>
        <w:t>Dott</w:t>
      </w:r>
      <w:proofErr w:type="spellEnd"/>
      <w:r>
        <w:t>, 2023) using the Python package decoupler (</w:t>
      </w:r>
      <w:proofErr w:type="spellStart"/>
      <w:r w:rsidRPr="008537C1">
        <w:t>Badia</w:t>
      </w:r>
      <w:proofErr w:type="spellEnd"/>
      <w:r w:rsidRPr="008537C1">
        <w:t>-I-</w:t>
      </w:r>
      <w:proofErr w:type="spellStart"/>
      <w:r w:rsidRPr="008537C1">
        <w:t>Mompel</w:t>
      </w:r>
      <w:proofErr w:type="spellEnd"/>
      <w:r w:rsidRPr="008537C1">
        <w:t>, 2022</w:t>
      </w:r>
      <w:r>
        <w:t>). For the analysis, we selected one representative tumor sample per patient, prioritizing solid tumor samples from metastatic sites with the highest fraction of tumor cells. Analysis of differential expression was conducted with pydeseq2 (</w:t>
      </w:r>
      <w:proofErr w:type="spellStart"/>
      <w:r>
        <w:t>Muzellec</w:t>
      </w:r>
      <w:proofErr w:type="spellEnd"/>
      <w:r>
        <w:t>, 2023), where the aberration-specific contrasts of differential gene expression were obtained from a multivariable model:</w:t>
      </w:r>
    </w:p>
    <w:p w14:paraId="61244EFF" w14:textId="77777777" w:rsidR="00592110" w:rsidRPr="009164FF" w:rsidRDefault="00592110" w:rsidP="00592110">
      <w:pPr>
        <w:keepNext/>
        <w:keepLines/>
        <w:rPr>
          <w:lang w:val="sv-SE"/>
        </w:rPr>
      </w:pPr>
      <w:r w:rsidRPr="009164FF">
        <w:rPr>
          <w:lang w:val="sv-SE"/>
        </w:rPr>
        <w:t xml:space="preserve">Expression ~ </w:t>
      </w:r>
      <w:r w:rsidRPr="009164FF">
        <w:rPr>
          <w:i/>
          <w:iCs/>
          <w:lang w:val="sv-SE"/>
        </w:rPr>
        <w:t xml:space="preserve">NF1 </w:t>
      </w:r>
      <w:r w:rsidRPr="009164FF">
        <w:rPr>
          <w:lang w:val="sv-SE"/>
        </w:rPr>
        <w:t xml:space="preserve">+ </w:t>
      </w:r>
      <w:r w:rsidRPr="009164FF">
        <w:rPr>
          <w:i/>
          <w:iCs/>
          <w:lang w:val="sv-SE"/>
        </w:rPr>
        <w:t xml:space="preserve">CCNE1 </w:t>
      </w:r>
      <w:r w:rsidRPr="009164FF">
        <w:rPr>
          <w:lang w:val="sv-SE"/>
        </w:rPr>
        <w:t xml:space="preserve">+ </w:t>
      </w:r>
      <w:r w:rsidRPr="009164FF">
        <w:rPr>
          <w:i/>
          <w:iCs/>
          <w:lang w:val="sv-SE"/>
        </w:rPr>
        <w:t xml:space="preserve">PTEN </w:t>
      </w:r>
      <w:r w:rsidRPr="009164FF">
        <w:rPr>
          <w:lang w:val="sv-SE"/>
        </w:rPr>
        <w:t xml:space="preserve">+ </w:t>
      </w:r>
      <w:r w:rsidRPr="009164FF">
        <w:rPr>
          <w:i/>
          <w:iCs/>
          <w:lang w:val="sv-SE"/>
        </w:rPr>
        <w:t>AKT2</w:t>
      </w:r>
      <w:r w:rsidRPr="009164FF">
        <w:rPr>
          <w:lang w:val="sv-SE"/>
        </w:rPr>
        <w:t xml:space="preserve"> + </w:t>
      </w:r>
      <w:r w:rsidRPr="009164FF">
        <w:rPr>
          <w:i/>
          <w:iCs/>
          <w:lang w:val="sv-SE"/>
        </w:rPr>
        <w:t>PTK2</w:t>
      </w:r>
      <w:r w:rsidRPr="009164FF">
        <w:rPr>
          <w:lang w:val="sv-SE"/>
        </w:rPr>
        <w:t xml:space="preserve"> + </w:t>
      </w:r>
      <w:r w:rsidRPr="009164FF">
        <w:rPr>
          <w:i/>
          <w:iCs/>
          <w:lang w:val="sv-SE"/>
        </w:rPr>
        <w:t>KRAS</w:t>
      </w:r>
    </w:p>
    <w:p w14:paraId="48F7649A" w14:textId="77777777" w:rsidR="00592110" w:rsidRDefault="00592110" w:rsidP="00592110">
      <w:pPr>
        <w:keepNext/>
        <w:keepLines/>
        <w:rPr>
          <w:color w:val="000000" w:themeColor="text1"/>
          <w:sz w:val="28"/>
          <w:szCs w:val="28"/>
        </w:rPr>
      </w:pPr>
      <w:r>
        <w:t xml:space="preserve">where each covariate was a dichotomous status of the gene in the sample, as follows: </w:t>
      </w:r>
      <w:r w:rsidRPr="2AF84697">
        <w:rPr>
          <w:i/>
          <w:iCs/>
        </w:rPr>
        <w:t xml:space="preserve">NF1 </w:t>
      </w:r>
      <w:r>
        <w:t xml:space="preserve">normal/loss, </w:t>
      </w:r>
      <w:r w:rsidRPr="2AF84697">
        <w:rPr>
          <w:i/>
          <w:iCs/>
        </w:rPr>
        <w:t>CCNE1</w:t>
      </w:r>
      <w:r>
        <w:t xml:space="preserve"> normal/amplified, </w:t>
      </w:r>
      <w:r w:rsidRPr="2AF84697">
        <w:rPr>
          <w:i/>
          <w:iCs/>
        </w:rPr>
        <w:t xml:space="preserve">PTEN </w:t>
      </w:r>
      <w:r>
        <w:t xml:space="preserve">normal/loss, </w:t>
      </w:r>
      <w:r w:rsidRPr="2AF84697">
        <w:rPr>
          <w:i/>
          <w:iCs/>
        </w:rPr>
        <w:t xml:space="preserve">AKT2 </w:t>
      </w:r>
      <w:r>
        <w:t xml:space="preserve">normal/amplified, </w:t>
      </w:r>
      <w:r w:rsidRPr="2AF84697">
        <w:rPr>
          <w:i/>
          <w:iCs/>
        </w:rPr>
        <w:t xml:space="preserve">PTK2 </w:t>
      </w:r>
      <w:r>
        <w:t xml:space="preserve">normal/amplified, </w:t>
      </w:r>
      <w:r w:rsidRPr="2AF84697">
        <w:rPr>
          <w:i/>
          <w:iCs/>
        </w:rPr>
        <w:t xml:space="preserve">KRAS </w:t>
      </w:r>
      <w:r>
        <w:t>normal/amplified.</w:t>
      </w:r>
      <w:r>
        <w:br w:type="page"/>
      </w:r>
    </w:p>
    <w:p w14:paraId="2A5470D1" w14:textId="77777777" w:rsidR="00701157" w:rsidRDefault="00592110" w:rsidP="00701157">
      <w:pPr>
        <w:pStyle w:val="Heading2"/>
      </w:pPr>
      <w:r>
        <w:lastRenderedPageBreak/>
        <w:t>Assembly of drug target and biomarker data</w:t>
      </w:r>
    </w:p>
    <w:p w14:paraId="5842DF4B" w14:textId="77777777" w:rsidR="00701157" w:rsidRDefault="00592110" w:rsidP="00701157">
      <w:r>
        <w:t>To establish a comprehensive listing of available targeted therapies, we collected 388 approved and investigational cancer drugs from Open Targets (</w:t>
      </w:r>
      <w:proofErr w:type="spellStart"/>
      <w:r>
        <w:t>Buniello</w:t>
      </w:r>
      <w:proofErr w:type="spellEnd"/>
      <w:r>
        <w:t xml:space="preserve">, 2025) and </w:t>
      </w:r>
      <w:proofErr w:type="spellStart"/>
      <w:r>
        <w:t>OncoKB</w:t>
      </w:r>
      <w:proofErr w:type="spellEnd"/>
      <w:r>
        <w:t xml:space="preserve"> (Chakravarty, 2017) databases with their direct physical protein targets (</w:t>
      </w:r>
      <w:r w:rsidRPr="00014C1D">
        <w:rPr>
          <w:i/>
          <w:iCs/>
        </w:rPr>
        <w:t>n =</w:t>
      </w:r>
      <w:r>
        <w:t>352) or genes associated with specific sensitivity (</w:t>
      </w:r>
      <w:r w:rsidRPr="00014C1D">
        <w:rPr>
          <w:i/>
          <w:iCs/>
        </w:rPr>
        <w:t>n =</w:t>
      </w:r>
      <w:r>
        <w:t xml:space="preserve">36). From the Open Targets Platform release 24.03, we downloaded the following data objects on 2024-05-29: “Drug - indications” and “Drug - mechanism of action”. These datasets were integrated using </w:t>
      </w:r>
      <w:proofErr w:type="spellStart"/>
      <w:r>
        <w:t>ChEMBL</w:t>
      </w:r>
      <w:proofErr w:type="spellEnd"/>
      <w:r>
        <w:t xml:space="preserve"> IDs as a common identifier. To refine our selection, we filtered drugs based on MONDO_0004992, an ontology term specifically describing cancer, and further filtered to exclude anti-microbiological drugs, generic chemotherapies, including all drugs approved prior to the year 1990, withdrawn drugs, and drugs whose development were canceled after Phase I clinical trials. Furthermore, antibody-drug conjugates were excluded, to focus on small molecule targeted inhibitors. </w:t>
      </w:r>
      <w:proofErr w:type="spellStart"/>
      <w:r>
        <w:t>OncoKB</w:t>
      </w:r>
      <w:proofErr w:type="spellEnd"/>
      <w:r>
        <w:t xml:space="preserve"> Version 4.1 data on drugs and biomarker genes and aberrations were downloaded on 2024-12-02.</w:t>
      </w:r>
    </w:p>
    <w:p w14:paraId="3CA0E00D" w14:textId="400AABFF" w:rsidR="00EB3838" w:rsidRDefault="00592110" w:rsidP="00701157">
      <w:r>
        <w:t>To enable agnostic mapping of somatic events in cancer, we assembled the drug-target-biomarker connections into a logical network, representing the mechanistic relations between the components (</w:t>
      </w:r>
      <w:r w:rsidRPr="6539FB9C">
        <w:rPr>
          <w:b/>
          <w:bCs/>
        </w:rPr>
        <w:t>Figure 1b, Supplementary data 1</w:t>
      </w:r>
      <w:r>
        <w:t xml:space="preserve">). As in the Open Targets Platform, we included in the network all physical protein targets, affected at a comparable concentration scale, and interpreted these as potentially actionable targets. Furthermore, we distinguished between the concept of the physical drug target and the concept of the aberrated biomarker gene. In alignment with the </w:t>
      </w:r>
      <w:proofErr w:type="spellStart"/>
      <w:r>
        <w:t>OncoKB</w:t>
      </w:r>
      <w:proofErr w:type="spellEnd"/>
      <w:r>
        <w:t xml:space="preserve"> database, actionable biomarkers were recorded primarily on a general level, including gene identity and the consequence, either ‘gain’ or ‘loss’, that an aberration in the gene must have to be classified as oncogenic. This approach enabled us to separate the mapping of potential drugs and the prediction of aberration consequence, to carry out a comprehensive analysis of a cancer type with few well-characterized driver aberrations.</w:t>
      </w:r>
    </w:p>
    <w:p w14:paraId="1D795987" w14:textId="03C8B7CF" w:rsidR="00EB3838" w:rsidRPr="00EB3838" w:rsidRDefault="00EB3838" w:rsidP="00EB3838">
      <w:pPr>
        <w:rPr>
          <w:b/>
          <w:bCs/>
        </w:rPr>
      </w:pPr>
      <w:r w:rsidRPr="00EB3838">
        <w:rPr>
          <w:b/>
          <w:bCs/>
        </w:rPr>
        <w:lastRenderedPageBreak/>
        <w:t xml:space="preserve">References for </w:t>
      </w:r>
      <w:r>
        <w:rPr>
          <w:b/>
          <w:bCs/>
        </w:rPr>
        <w:t>Supplementary</w:t>
      </w:r>
      <w:r w:rsidRPr="00EB3838">
        <w:rPr>
          <w:b/>
          <w:bCs/>
        </w:rPr>
        <w:t xml:space="preserve"> Methods</w:t>
      </w:r>
    </w:p>
    <w:p w14:paraId="7E46F5E1" w14:textId="77777777" w:rsidR="00EB3838" w:rsidRPr="00EB3838" w:rsidRDefault="00EB3838" w:rsidP="00EB3838">
      <w:proofErr w:type="spellStart"/>
      <w:r w:rsidRPr="00EB3838">
        <w:rPr>
          <w:b/>
          <w:bCs/>
        </w:rPr>
        <w:t>Afenteva</w:t>
      </w:r>
      <w:proofErr w:type="spellEnd"/>
      <w:r w:rsidRPr="00EB3838">
        <w:t xml:space="preserve"> D, Yu R, </w:t>
      </w:r>
      <w:proofErr w:type="spellStart"/>
      <w:r w:rsidRPr="00EB3838">
        <w:t>Rajavuori</w:t>
      </w:r>
      <w:proofErr w:type="spellEnd"/>
      <w:r w:rsidRPr="00EB3838">
        <w:t xml:space="preserve"> A, Salvadores M, </w:t>
      </w:r>
      <w:proofErr w:type="spellStart"/>
      <w:r w:rsidRPr="00EB3838">
        <w:t>Launonen</w:t>
      </w:r>
      <w:proofErr w:type="spellEnd"/>
      <w:r w:rsidRPr="00EB3838">
        <w:t xml:space="preserve"> IM, </w:t>
      </w:r>
      <w:proofErr w:type="spellStart"/>
      <w:r w:rsidRPr="00EB3838">
        <w:t>Lavikka</w:t>
      </w:r>
      <w:proofErr w:type="spellEnd"/>
      <w:r w:rsidRPr="00EB3838">
        <w:t xml:space="preserve"> K, Zhang K, </w:t>
      </w:r>
      <w:proofErr w:type="spellStart"/>
      <w:r w:rsidRPr="00EB3838">
        <w:t>Pirttikoski</w:t>
      </w:r>
      <w:proofErr w:type="spellEnd"/>
      <w:r w:rsidRPr="00EB3838">
        <w:t xml:space="preserve"> A, </w:t>
      </w:r>
      <w:proofErr w:type="spellStart"/>
      <w:r w:rsidRPr="00EB3838">
        <w:t>Marchi</w:t>
      </w:r>
      <w:proofErr w:type="spellEnd"/>
      <w:r w:rsidRPr="00EB3838">
        <w:t xml:space="preserve"> G, </w:t>
      </w:r>
      <w:proofErr w:type="spellStart"/>
      <w:r w:rsidRPr="00EB3838">
        <w:t>Jamalzadeh</w:t>
      </w:r>
      <w:proofErr w:type="spellEnd"/>
      <w:r w:rsidRPr="00EB3838">
        <w:t xml:space="preserve"> S, </w:t>
      </w:r>
      <w:proofErr w:type="spellStart"/>
      <w:r w:rsidRPr="00EB3838">
        <w:t>Isoviita</w:t>
      </w:r>
      <w:proofErr w:type="spellEnd"/>
      <w:r w:rsidRPr="00EB3838">
        <w:t xml:space="preserve"> VM, Li Y, </w:t>
      </w:r>
      <w:proofErr w:type="spellStart"/>
      <w:r w:rsidRPr="00EB3838">
        <w:t>Micoli</w:t>
      </w:r>
      <w:proofErr w:type="spellEnd"/>
      <w:r w:rsidRPr="00EB3838">
        <w:t xml:space="preserve"> G, Erkan EP, Falco MM, Ungureanu D, </w:t>
      </w:r>
      <w:proofErr w:type="spellStart"/>
      <w:r w:rsidRPr="00EB3838">
        <w:t>Lahtinen</w:t>
      </w:r>
      <w:proofErr w:type="spellEnd"/>
      <w:r w:rsidRPr="00EB3838">
        <w:t xml:space="preserve"> A, </w:t>
      </w:r>
      <w:proofErr w:type="spellStart"/>
      <w:r w:rsidRPr="00EB3838">
        <w:t>Oikkonen</w:t>
      </w:r>
      <w:proofErr w:type="spellEnd"/>
      <w:r w:rsidRPr="00EB3838">
        <w:t xml:space="preserve"> J, Hietanen S, </w:t>
      </w:r>
      <w:proofErr w:type="spellStart"/>
      <w:r w:rsidRPr="00EB3838">
        <w:t>Vähärautio</w:t>
      </w:r>
      <w:proofErr w:type="spellEnd"/>
      <w:r w:rsidRPr="00EB3838">
        <w:t xml:space="preserve"> A, Sur I, Virtanen A, </w:t>
      </w:r>
      <w:proofErr w:type="spellStart"/>
      <w:r w:rsidRPr="00EB3838">
        <w:t>Färkkilä</w:t>
      </w:r>
      <w:proofErr w:type="spellEnd"/>
      <w:r w:rsidRPr="00EB3838">
        <w:t xml:space="preserve"> A, </w:t>
      </w:r>
      <w:proofErr w:type="spellStart"/>
      <w:r w:rsidRPr="00EB3838">
        <w:t>Hynninen</w:t>
      </w:r>
      <w:proofErr w:type="spellEnd"/>
      <w:r w:rsidRPr="00EB3838">
        <w:t xml:space="preserve"> J, </w:t>
      </w:r>
      <w:proofErr w:type="spellStart"/>
      <w:r w:rsidRPr="00EB3838">
        <w:t>Muranen</w:t>
      </w:r>
      <w:proofErr w:type="spellEnd"/>
      <w:r w:rsidRPr="00EB3838">
        <w:t xml:space="preserve"> TA, Taipale J, </w:t>
      </w:r>
      <w:proofErr w:type="spellStart"/>
      <w:r w:rsidRPr="00EB3838">
        <w:t>Hautaniemi</w:t>
      </w:r>
      <w:proofErr w:type="spellEnd"/>
      <w:r w:rsidRPr="00EB3838">
        <w:t xml:space="preserve"> S. Multi-omics analysis reveals the attenuation of the interferon pathway as a driver of chemo-refractory ovarian cancer. Cell Rep Med. 2025 Sep 16;6(9):102316. </w:t>
      </w:r>
      <w:proofErr w:type="spellStart"/>
      <w:r w:rsidRPr="00EB3838">
        <w:t>doi</w:t>
      </w:r>
      <w:proofErr w:type="spellEnd"/>
      <w:r w:rsidRPr="00EB3838">
        <w:t>: 10.1016/j.xcrm.2025.102316.</w:t>
      </w:r>
    </w:p>
    <w:p w14:paraId="0353A550" w14:textId="77777777" w:rsidR="00EB3838" w:rsidRPr="00EB3838" w:rsidRDefault="00EB3838" w:rsidP="00EB3838">
      <w:proofErr w:type="spellStart"/>
      <w:r w:rsidRPr="00EB3838">
        <w:rPr>
          <w:b/>
          <w:bCs/>
        </w:rPr>
        <w:t>Badia</w:t>
      </w:r>
      <w:proofErr w:type="spellEnd"/>
      <w:r w:rsidRPr="00EB3838">
        <w:rPr>
          <w:b/>
          <w:bCs/>
        </w:rPr>
        <w:t>-I-</w:t>
      </w:r>
      <w:proofErr w:type="spellStart"/>
      <w:r w:rsidRPr="00EB3838">
        <w:rPr>
          <w:b/>
          <w:bCs/>
        </w:rPr>
        <w:t>Mompel</w:t>
      </w:r>
      <w:proofErr w:type="spellEnd"/>
      <w:r w:rsidRPr="00EB3838">
        <w:rPr>
          <w:b/>
          <w:bCs/>
        </w:rPr>
        <w:t xml:space="preserve"> </w:t>
      </w:r>
      <w:r w:rsidRPr="00EB3838">
        <w:t xml:space="preserve">P, </w:t>
      </w:r>
      <w:proofErr w:type="spellStart"/>
      <w:r w:rsidRPr="00EB3838">
        <w:t>Vélez</w:t>
      </w:r>
      <w:proofErr w:type="spellEnd"/>
      <w:r w:rsidRPr="00EB3838">
        <w:t xml:space="preserve"> Santiago J, </w:t>
      </w:r>
      <w:proofErr w:type="spellStart"/>
      <w:r w:rsidRPr="00EB3838">
        <w:t>Braunger</w:t>
      </w:r>
      <w:proofErr w:type="spellEnd"/>
      <w:r w:rsidRPr="00EB3838">
        <w:t xml:space="preserve"> J, Geiss C, Dimitrov D, Müller-</w:t>
      </w:r>
      <w:proofErr w:type="spellStart"/>
      <w:r w:rsidRPr="00EB3838">
        <w:t>Dott</w:t>
      </w:r>
      <w:proofErr w:type="spellEnd"/>
      <w:r w:rsidRPr="00EB3838">
        <w:t xml:space="preserve"> S, </w:t>
      </w:r>
      <w:proofErr w:type="spellStart"/>
      <w:r w:rsidRPr="00EB3838">
        <w:t>Taus</w:t>
      </w:r>
      <w:proofErr w:type="spellEnd"/>
      <w:r w:rsidRPr="00EB3838">
        <w:t xml:space="preserve"> P, </w:t>
      </w:r>
      <w:proofErr w:type="spellStart"/>
      <w:r w:rsidRPr="00EB3838">
        <w:t>Dugourd</w:t>
      </w:r>
      <w:proofErr w:type="spellEnd"/>
      <w:r w:rsidRPr="00EB3838">
        <w:t xml:space="preserve"> A, Holland CH, Ramirez Flores RO, </w:t>
      </w:r>
      <w:proofErr w:type="spellStart"/>
      <w:r w:rsidRPr="00EB3838">
        <w:t>Saez</w:t>
      </w:r>
      <w:proofErr w:type="spellEnd"/>
      <w:r w:rsidRPr="00EB3838">
        <w:t xml:space="preserve">-Rodriguez J. </w:t>
      </w:r>
      <w:proofErr w:type="spellStart"/>
      <w:r w:rsidRPr="00EB3838">
        <w:t>decoupleR</w:t>
      </w:r>
      <w:proofErr w:type="spellEnd"/>
      <w:r w:rsidRPr="00EB3838">
        <w:t xml:space="preserve">: ensemble of computational methods to infer biological activities from omics data. </w:t>
      </w:r>
      <w:proofErr w:type="spellStart"/>
      <w:r w:rsidRPr="00EB3838">
        <w:t>Bioinform</w:t>
      </w:r>
      <w:proofErr w:type="spellEnd"/>
      <w:r w:rsidRPr="00EB3838">
        <w:t xml:space="preserve"> Adv. 2022 Mar 8;2(1):vbac016. </w:t>
      </w:r>
      <w:proofErr w:type="spellStart"/>
      <w:r w:rsidRPr="00EB3838">
        <w:t>doi</w:t>
      </w:r>
      <w:proofErr w:type="spellEnd"/>
      <w:r w:rsidRPr="00EB3838">
        <w:t>: 10.1093/</w:t>
      </w:r>
      <w:proofErr w:type="spellStart"/>
      <w:r w:rsidRPr="00EB3838">
        <w:t>bioadv</w:t>
      </w:r>
      <w:proofErr w:type="spellEnd"/>
      <w:r w:rsidRPr="00EB3838">
        <w:t xml:space="preserve">/vbac016. </w:t>
      </w:r>
    </w:p>
    <w:p w14:paraId="3AF9A92E" w14:textId="77777777" w:rsidR="00EB3838" w:rsidRPr="00EB3838" w:rsidRDefault="00EB3838" w:rsidP="00EB3838">
      <w:r w:rsidRPr="00EB3838">
        <w:rPr>
          <w:b/>
          <w:bCs/>
        </w:rPr>
        <w:t xml:space="preserve">Bolger </w:t>
      </w:r>
      <w:r w:rsidRPr="00EB3838">
        <w:t xml:space="preserve">AM, Lohse M, </w:t>
      </w:r>
      <w:proofErr w:type="spellStart"/>
      <w:r w:rsidRPr="00EB3838">
        <w:t>Usadel</w:t>
      </w:r>
      <w:proofErr w:type="spellEnd"/>
      <w:r w:rsidRPr="00EB3838">
        <w:t xml:space="preserve"> B. </w:t>
      </w:r>
      <w:proofErr w:type="spellStart"/>
      <w:r w:rsidRPr="00EB3838">
        <w:t>Trimmomatic</w:t>
      </w:r>
      <w:proofErr w:type="spellEnd"/>
      <w:r w:rsidRPr="00EB3838">
        <w:t xml:space="preserve">: a flexible trimmer for Illumina sequence data. Bioinformatics. 2014 Aug 1;30(15):2114-20. </w:t>
      </w:r>
      <w:proofErr w:type="spellStart"/>
      <w:r w:rsidRPr="00EB3838">
        <w:t>doi</w:t>
      </w:r>
      <w:proofErr w:type="spellEnd"/>
      <w:r w:rsidRPr="00EB3838">
        <w:t xml:space="preserve">: 10.1093/bioinformatics/btu170. </w:t>
      </w:r>
      <w:proofErr w:type="spellStart"/>
      <w:r w:rsidRPr="00EB3838">
        <w:t>Epub</w:t>
      </w:r>
      <w:proofErr w:type="spellEnd"/>
      <w:r w:rsidRPr="00EB3838">
        <w:t xml:space="preserve"> 2014 Apr 1. </w:t>
      </w:r>
    </w:p>
    <w:p w14:paraId="181B8C14" w14:textId="77777777" w:rsidR="00EB3838" w:rsidRPr="00EB3838" w:rsidRDefault="00EB3838" w:rsidP="00EB3838">
      <w:r w:rsidRPr="00EB3838">
        <w:rPr>
          <w:b/>
          <w:bCs/>
        </w:rPr>
        <w:t xml:space="preserve">Cameron </w:t>
      </w:r>
      <w:r w:rsidRPr="00EB3838">
        <w:t xml:space="preserve">DL, </w:t>
      </w:r>
      <w:proofErr w:type="spellStart"/>
      <w:r w:rsidRPr="00EB3838">
        <w:t>Schröder</w:t>
      </w:r>
      <w:proofErr w:type="spellEnd"/>
      <w:r w:rsidRPr="00EB3838">
        <w:t xml:space="preserve"> J, </w:t>
      </w:r>
      <w:proofErr w:type="spellStart"/>
      <w:r w:rsidRPr="00EB3838">
        <w:t>Penington</w:t>
      </w:r>
      <w:proofErr w:type="spellEnd"/>
      <w:r w:rsidRPr="00EB3838">
        <w:t xml:space="preserve"> JS, Do H, </w:t>
      </w:r>
      <w:proofErr w:type="spellStart"/>
      <w:r w:rsidRPr="00EB3838">
        <w:t>Molania</w:t>
      </w:r>
      <w:proofErr w:type="spellEnd"/>
      <w:r w:rsidRPr="00EB3838">
        <w:t xml:space="preserve"> R, </w:t>
      </w:r>
      <w:proofErr w:type="spellStart"/>
      <w:r w:rsidRPr="00EB3838">
        <w:t>Dobrovic</w:t>
      </w:r>
      <w:proofErr w:type="spellEnd"/>
      <w:r w:rsidRPr="00EB3838">
        <w:t xml:space="preserve"> A, Speed TP, Papenfuss AT. GRIDSS: sensitive and specific genomic rearrangement detection using positional de Bruijn graph assembly. Genome Res. 2017 Dec;27(12):2050-2060. </w:t>
      </w:r>
      <w:proofErr w:type="spellStart"/>
      <w:r w:rsidRPr="00EB3838">
        <w:t>doi</w:t>
      </w:r>
      <w:proofErr w:type="spellEnd"/>
      <w:r w:rsidRPr="00EB3838">
        <w:t xml:space="preserve">: 10.1101/gr.222109.117. </w:t>
      </w:r>
    </w:p>
    <w:p w14:paraId="73D9A046" w14:textId="77777777" w:rsidR="00EB3838" w:rsidRPr="00EB3838" w:rsidRDefault="00EB3838" w:rsidP="00EB3838">
      <w:bookmarkStart w:id="1" w:name="_Hlk220422002"/>
      <w:proofErr w:type="spellStart"/>
      <w:r w:rsidRPr="00EB3838">
        <w:rPr>
          <w:b/>
          <w:bCs/>
        </w:rPr>
        <w:t>Cervera</w:t>
      </w:r>
      <w:proofErr w:type="spellEnd"/>
      <w:r w:rsidRPr="00EB3838">
        <w:rPr>
          <w:b/>
          <w:bCs/>
        </w:rPr>
        <w:t xml:space="preserve"> </w:t>
      </w:r>
      <w:r w:rsidRPr="00EB3838">
        <w:t xml:space="preserve">A, </w:t>
      </w:r>
      <w:proofErr w:type="spellStart"/>
      <w:r w:rsidRPr="00EB3838">
        <w:t>Rantanen</w:t>
      </w:r>
      <w:proofErr w:type="spellEnd"/>
      <w:r w:rsidRPr="00EB3838">
        <w:t xml:space="preserve"> V, </w:t>
      </w:r>
      <w:proofErr w:type="spellStart"/>
      <w:r w:rsidRPr="00EB3838">
        <w:t>Ovaska</w:t>
      </w:r>
      <w:proofErr w:type="spellEnd"/>
      <w:r w:rsidRPr="00EB3838">
        <w:t xml:space="preserve"> K, </w:t>
      </w:r>
      <w:proofErr w:type="spellStart"/>
      <w:r w:rsidRPr="00EB3838">
        <w:t>Laakso</w:t>
      </w:r>
      <w:proofErr w:type="spellEnd"/>
      <w:r w:rsidRPr="00EB3838">
        <w:t xml:space="preserve"> M, </w:t>
      </w:r>
      <w:proofErr w:type="spellStart"/>
      <w:r w:rsidRPr="00EB3838">
        <w:t>Nuñez-Fontarnau</w:t>
      </w:r>
      <w:proofErr w:type="spellEnd"/>
      <w:r w:rsidRPr="00EB3838">
        <w:t xml:space="preserve"> J, </w:t>
      </w:r>
      <w:proofErr w:type="spellStart"/>
      <w:r w:rsidRPr="00EB3838">
        <w:t>Alkodsi</w:t>
      </w:r>
      <w:proofErr w:type="spellEnd"/>
      <w:r w:rsidRPr="00EB3838">
        <w:t xml:space="preserve"> A, Casado J, </w:t>
      </w:r>
      <w:proofErr w:type="spellStart"/>
      <w:r w:rsidRPr="00EB3838">
        <w:t>Facciotto</w:t>
      </w:r>
      <w:proofErr w:type="spellEnd"/>
      <w:r w:rsidRPr="00EB3838">
        <w:t xml:space="preserve"> C, </w:t>
      </w:r>
      <w:proofErr w:type="spellStart"/>
      <w:r w:rsidRPr="00EB3838">
        <w:t>Häkkinen</w:t>
      </w:r>
      <w:proofErr w:type="spellEnd"/>
      <w:r w:rsidRPr="00EB3838">
        <w:t xml:space="preserve"> A, </w:t>
      </w:r>
      <w:proofErr w:type="spellStart"/>
      <w:r w:rsidRPr="00EB3838">
        <w:t>Louhimo</w:t>
      </w:r>
      <w:proofErr w:type="spellEnd"/>
      <w:r w:rsidRPr="00EB3838">
        <w:t xml:space="preserve"> R, </w:t>
      </w:r>
      <w:proofErr w:type="spellStart"/>
      <w:r w:rsidRPr="00EB3838">
        <w:t>Karinen</w:t>
      </w:r>
      <w:proofErr w:type="spellEnd"/>
      <w:r w:rsidRPr="00EB3838">
        <w:t xml:space="preserve"> S, Zhang K, </w:t>
      </w:r>
      <w:proofErr w:type="spellStart"/>
      <w:r w:rsidRPr="00EB3838">
        <w:t>Lavikka</w:t>
      </w:r>
      <w:proofErr w:type="spellEnd"/>
      <w:r w:rsidRPr="00EB3838">
        <w:t xml:space="preserve"> K, Lyly L, Pal Singh M, </w:t>
      </w:r>
      <w:proofErr w:type="spellStart"/>
      <w:r w:rsidRPr="00EB3838">
        <w:t>Hautaniemi</w:t>
      </w:r>
      <w:proofErr w:type="spellEnd"/>
      <w:r w:rsidRPr="00EB3838">
        <w:t xml:space="preserve"> S. </w:t>
      </w:r>
      <w:proofErr w:type="spellStart"/>
      <w:r w:rsidRPr="00EB3838">
        <w:t>Anduril</w:t>
      </w:r>
      <w:proofErr w:type="spellEnd"/>
      <w:r w:rsidRPr="00EB3838">
        <w:t xml:space="preserve"> 2: upgraded large-scale data integration framework. Bioinformatics. 2019 Oct 1;35(19):3815-3817. </w:t>
      </w:r>
      <w:proofErr w:type="spellStart"/>
      <w:r w:rsidRPr="00EB3838">
        <w:t>doi</w:t>
      </w:r>
      <w:proofErr w:type="spellEnd"/>
      <w:r w:rsidRPr="00EB3838">
        <w:t xml:space="preserve">: 10.1093/bioinformatics/btz133. </w:t>
      </w:r>
    </w:p>
    <w:p w14:paraId="234CC4D6" w14:textId="77777777" w:rsidR="00EB3838" w:rsidRPr="00EB3838" w:rsidRDefault="00EB3838" w:rsidP="00EB3838">
      <w:bookmarkStart w:id="2" w:name="_Hlk220422374"/>
      <w:bookmarkEnd w:id="1"/>
      <w:proofErr w:type="spellStart"/>
      <w:r w:rsidRPr="00EB3838">
        <w:rPr>
          <w:b/>
          <w:bCs/>
        </w:rPr>
        <w:t>DePristo</w:t>
      </w:r>
      <w:proofErr w:type="spellEnd"/>
      <w:r w:rsidRPr="00EB3838">
        <w:t xml:space="preserve"> MA</w:t>
      </w:r>
      <w:r w:rsidRPr="00EB3838">
        <w:rPr>
          <w:b/>
          <w:bCs/>
        </w:rPr>
        <w:t>,</w:t>
      </w:r>
      <w:r w:rsidRPr="00EB3838">
        <w:t xml:space="preserve"> Banks E, Poplin R, </w:t>
      </w:r>
      <w:proofErr w:type="spellStart"/>
      <w:r w:rsidRPr="00EB3838">
        <w:t>Garimella</w:t>
      </w:r>
      <w:proofErr w:type="spellEnd"/>
      <w:r w:rsidRPr="00EB3838">
        <w:t xml:space="preserve"> KV, Maguire JR, </w:t>
      </w:r>
      <w:proofErr w:type="spellStart"/>
      <w:r w:rsidRPr="00EB3838">
        <w:t>Hartl</w:t>
      </w:r>
      <w:proofErr w:type="spellEnd"/>
      <w:r w:rsidRPr="00EB3838">
        <w:t xml:space="preserve"> C, </w:t>
      </w:r>
      <w:proofErr w:type="spellStart"/>
      <w:r w:rsidRPr="00EB3838">
        <w:t>Philippakis</w:t>
      </w:r>
      <w:proofErr w:type="spellEnd"/>
      <w:r w:rsidRPr="00EB3838">
        <w:t xml:space="preserve"> AA, del Angel G, Rivas MA, Hanna M, McKenna A, Fennell TJ, </w:t>
      </w:r>
      <w:proofErr w:type="spellStart"/>
      <w:r w:rsidRPr="00EB3838">
        <w:t>Kernytsky</w:t>
      </w:r>
      <w:proofErr w:type="spellEnd"/>
      <w:r w:rsidRPr="00EB3838">
        <w:t xml:space="preserve"> AM, </w:t>
      </w:r>
      <w:proofErr w:type="spellStart"/>
      <w:r w:rsidRPr="00EB3838">
        <w:t>Sivachenko</w:t>
      </w:r>
      <w:proofErr w:type="spellEnd"/>
      <w:r w:rsidRPr="00EB3838">
        <w:t xml:space="preserve"> AY, </w:t>
      </w:r>
      <w:proofErr w:type="spellStart"/>
      <w:r w:rsidRPr="00EB3838">
        <w:lastRenderedPageBreak/>
        <w:t>Cibulskis</w:t>
      </w:r>
      <w:proofErr w:type="spellEnd"/>
      <w:r w:rsidRPr="00EB3838">
        <w:t xml:space="preserve"> K, Gabriel SB, </w:t>
      </w:r>
      <w:proofErr w:type="spellStart"/>
      <w:r w:rsidRPr="00EB3838">
        <w:t>Altshuler</w:t>
      </w:r>
      <w:proofErr w:type="spellEnd"/>
      <w:r w:rsidRPr="00EB3838">
        <w:t xml:space="preserve"> D, Daly MJ. A framework for variation discovery and genotyping using next-generation DNA sequencing data. Nat Genet. 2011 May;43(5):491-8. </w:t>
      </w:r>
      <w:proofErr w:type="spellStart"/>
      <w:r w:rsidRPr="00EB3838">
        <w:t>doi</w:t>
      </w:r>
      <w:proofErr w:type="spellEnd"/>
      <w:r w:rsidRPr="00EB3838">
        <w:t>: 10.1038/ng.806.</w:t>
      </w:r>
      <w:bookmarkEnd w:id="2"/>
    </w:p>
    <w:p w14:paraId="5328061B" w14:textId="77777777" w:rsidR="00EB3838" w:rsidRPr="00EB3838" w:rsidRDefault="00EB3838" w:rsidP="00EB3838">
      <w:proofErr w:type="spellStart"/>
      <w:r w:rsidRPr="00EB3838">
        <w:rPr>
          <w:b/>
          <w:bCs/>
        </w:rPr>
        <w:t>Dobin</w:t>
      </w:r>
      <w:proofErr w:type="spellEnd"/>
      <w:r w:rsidRPr="00EB3838">
        <w:rPr>
          <w:b/>
          <w:bCs/>
        </w:rPr>
        <w:t xml:space="preserve"> </w:t>
      </w:r>
      <w:r w:rsidRPr="00EB3838">
        <w:t xml:space="preserve">A, Davis CA, Schlesinger F, </w:t>
      </w:r>
      <w:proofErr w:type="spellStart"/>
      <w:r w:rsidRPr="00EB3838">
        <w:t>Drenkow</w:t>
      </w:r>
      <w:proofErr w:type="spellEnd"/>
      <w:r w:rsidRPr="00EB3838">
        <w:t xml:space="preserve"> J, Zaleski C, Jha S, </w:t>
      </w:r>
      <w:proofErr w:type="spellStart"/>
      <w:r w:rsidRPr="00EB3838">
        <w:t>Batut</w:t>
      </w:r>
      <w:proofErr w:type="spellEnd"/>
      <w:r w:rsidRPr="00EB3838">
        <w:t xml:space="preserve"> P, </w:t>
      </w:r>
      <w:proofErr w:type="spellStart"/>
      <w:r w:rsidRPr="00EB3838">
        <w:t>Chaisson</w:t>
      </w:r>
      <w:proofErr w:type="spellEnd"/>
      <w:r w:rsidRPr="00EB3838">
        <w:t xml:space="preserve"> M, </w:t>
      </w:r>
      <w:proofErr w:type="spellStart"/>
      <w:r w:rsidRPr="00EB3838">
        <w:t>Gingeras</w:t>
      </w:r>
      <w:proofErr w:type="spellEnd"/>
      <w:r w:rsidRPr="00EB3838">
        <w:t xml:space="preserve"> TR. STAR: ultrafast universal RNA-seq aligner. Bioinformatics. 2013 Jan 1;29(1):15-21. </w:t>
      </w:r>
      <w:proofErr w:type="spellStart"/>
      <w:r w:rsidRPr="00EB3838">
        <w:t>doi</w:t>
      </w:r>
      <w:proofErr w:type="spellEnd"/>
      <w:r w:rsidRPr="00EB3838">
        <w:t xml:space="preserve">: 10.1093/bioinformatics/bts635. </w:t>
      </w:r>
    </w:p>
    <w:p w14:paraId="7116BC91" w14:textId="77777777" w:rsidR="00EB3838" w:rsidRPr="00EB3838" w:rsidRDefault="00EB3838" w:rsidP="00EB3838">
      <w:bookmarkStart w:id="3" w:name="_Hlk220422814"/>
      <w:proofErr w:type="spellStart"/>
      <w:r w:rsidRPr="00EB3838">
        <w:rPr>
          <w:b/>
          <w:bCs/>
        </w:rPr>
        <w:t>Ewels</w:t>
      </w:r>
      <w:proofErr w:type="spellEnd"/>
      <w:r w:rsidRPr="00EB3838">
        <w:rPr>
          <w:b/>
          <w:bCs/>
        </w:rPr>
        <w:t xml:space="preserve"> </w:t>
      </w:r>
      <w:r w:rsidRPr="00EB3838">
        <w:t xml:space="preserve">PA, </w:t>
      </w:r>
      <w:proofErr w:type="spellStart"/>
      <w:r w:rsidRPr="00EB3838">
        <w:t>Peltzer</w:t>
      </w:r>
      <w:proofErr w:type="spellEnd"/>
      <w:r w:rsidRPr="00EB3838">
        <w:t xml:space="preserve"> A, </w:t>
      </w:r>
      <w:proofErr w:type="spellStart"/>
      <w:r w:rsidRPr="00EB3838">
        <w:t>Fillinger</w:t>
      </w:r>
      <w:proofErr w:type="spellEnd"/>
      <w:r w:rsidRPr="00EB3838">
        <w:t xml:space="preserve"> S, Patel H, </w:t>
      </w:r>
      <w:proofErr w:type="spellStart"/>
      <w:r w:rsidRPr="00EB3838">
        <w:t>Alneberg</w:t>
      </w:r>
      <w:proofErr w:type="spellEnd"/>
      <w:r w:rsidRPr="00EB3838">
        <w:t xml:space="preserve"> J, </w:t>
      </w:r>
      <w:proofErr w:type="spellStart"/>
      <w:r w:rsidRPr="00EB3838">
        <w:t>Wilm</w:t>
      </w:r>
      <w:proofErr w:type="spellEnd"/>
      <w:r w:rsidRPr="00EB3838">
        <w:t xml:space="preserve"> A, Garcia MU, Di Tommaso P, </w:t>
      </w:r>
      <w:proofErr w:type="spellStart"/>
      <w:r w:rsidRPr="00EB3838">
        <w:t>Nahnsen</w:t>
      </w:r>
      <w:proofErr w:type="spellEnd"/>
      <w:r w:rsidRPr="00EB3838">
        <w:t xml:space="preserve"> S. The </w:t>
      </w:r>
      <w:proofErr w:type="spellStart"/>
      <w:r w:rsidRPr="00EB3838">
        <w:t>nf</w:t>
      </w:r>
      <w:proofErr w:type="spellEnd"/>
      <w:r w:rsidRPr="00EB3838">
        <w:t xml:space="preserve">-core framework for community-curated bioinformatics pipelines. Nat </w:t>
      </w:r>
      <w:proofErr w:type="spellStart"/>
      <w:r w:rsidRPr="00EB3838">
        <w:t>Biotechnol</w:t>
      </w:r>
      <w:proofErr w:type="spellEnd"/>
      <w:r w:rsidRPr="00EB3838">
        <w:t xml:space="preserve">. 2020 Mar;38(3):276-278. </w:t>
      </w:r>
      <w:proofErr w:type="spellStart"/>
      <w:r w:rsidRPr="00EB3838">
        <w:t>doi</w:t>
      </w:r>
      <w:proofErr w:type="spellEnd"/>
      <w:r w:rsidRPr="00EB3838">
        <w:t xml:space="preserve">: 10.1038/s41587-020-0439-x. </w:t>
      </w:r>
    </w:p>
    <w:bookmarkEnd w:id="3"/>
    <w:p w14:paraId="7527C1D4" w14:textId="77777777" w:rsidR="00EB3838" w:rsidRPr="00EB3838" w:rsidRDefault="00EB3838" w:rsidP="00EB3838">
      <w:r w:rsidRPr="00EB3838">
        <w:rPr>
          <w:b/>
          <w:bCs/>
        </w:rPr>
        <w:t xml:space="preserve">Haas </w:t>
      </w:r>
      <w:r w:rsidRPr="00EB3838">
        <w:t xml:space="preserve">BJ, </w:t>
      </w:r>
      <w:proofErr w:type="spellStart"/>
      <w:r w:rsidRPr="00EB3838">
        <w:t>Dobin</w:t>
      </w:r>
      <w:proofErr w:type="spellEnd"/>
      <w:r w:rsidRPr="00EB3838">
        <w:t xml:space="preserve"> A, Li B, </w:t>
      </w:r>
      <w:proofErr w:type="spellStart"/>
      <w:r w:rsidRPr="00EB3838">
        <w:t>Stransky</w:t>
      </w:r>
      <w:proofErr w:type="spellEnd"/>
      <w:r w:rsidRPr="00EB3838">
        <w:t xml:space="preserve"> N, </w:t>
      </w:r>
      <w:proofErr w:type="spellStart"/>
      <w:r w:rsidRPr="00EB3838">
        <w:t>Pochet</w:t>
      </w:r>
      <w:proofErr w:type="spellEnd"/>
      <w:r w:rsidRPr="00EB3838">
        <w:t xml:space="preserve"> N, Regev A. Accuracy assessment of fusion transcript detection via read-mapping and de novo fusion transcript assembly-based methods. Genome Biol. 2019 Oct 21;20(1):213. </w:t>
      </w:r>
      <w:proofErr w:type="spellStart"/>
      <w:r w:rsidRPr="00EB3838">
        <w:t>doi</w:t>
      </w:r>
      <w:proofErr w:type="spellEnd"/>
      <w:r w:rsidRPr="00EB3838">
        <w:t xml:space="preserve">: 10.1186/s13059-019-1842-9. </w:t>
      </w:r>
    </w:p>
    <w:p w14:paraId="1143D928" w14:textId="77777777" w:rsidR="00EB3838" w:rsidRPr="00EB3838" w:rsidRDefault="00EB3838" w:rsidP="00EB3838">
      <w:proofErr w:type="spellStart"/>
      <w:r w:rsidRPr="00EB3838">
        <w:rPr>
          <w:b/>
          <w:bCs/>
        </w:rPr>
        <w:t>Häkkinen</w:t>
      </w:r>
      <w:proofErr w:type="spellEnd"/>
      <w:r w:rsidRPr="00EB3838">
        <w:rPr>
          <w:b/>
          <w:bCs/>
        </w:rPr>
        <w:t xml:space="preserve"> </w:t>
      </w:r>
      <w:r w:rsidRPr="00EB3838">
        <w:t xml:space="preserve">A, Zhang K, </w:t>
      </w:r>
      <w:proofErr w:type="spellStart"/>
      <w:r w:rsidRPr="00EB3838">
        <w:t>Alkodsi</w:t>
      </w:r>
      <w:proofErr w:type="spellEnd"/>
      <w:r w:rsidRPr="00EB3838">
        <w:t xml:space="preserve"> A, Andersson N, Erkan EP, Dai J, </w:t>
      </w:r>
      <w:proofErr w:type="spellStart"/>
      <w:r w:rsidRPr="00EB3838">
        <w:t>Kaipio</w:t>
      </w:r>
      <w:proofErr w:type="spellEnd"/>
      <w:r w:rsidRPr="00EB3838">
        <w:t xml:space="preserve"> K, </w:t>
      </w:r>
      <w:proofErr w:type="spellStart"/>
      <w:r w:rsidRPr="00EB3838">
        <w:t>Lamminen</w:t>
      </w:r>
      <w:proofErr w:type="spellEnd"/>
      <w:r w:rsidRPr="00EB3838">
        <w:t xml:space="preserve"> T, Mansuri N, </w:t>
      </w:r>
      <w:proofErr w:type="spellStart"/>
      <w:r w:rsidRPr="00EB3838">
        <w:t>Huhtinen</w:t>
      </w:r>
      <w:proofErr w:type="spellEnd"/>
      <w:r w:rsidRPr="00EB3838">
        <w:t xml:space="preserve"> K, </w:t>
      </w:r>
      <w:proofErr w:type="spellStart"/>
      <w:r w:rsidRPr="00EB3838">
        <w:t>Vähärautio</w:t>
      </w:r>
      <w:proofErr w:type="spellEnd"/>
      <w:r w:rsidRPr="00EB3838">
        <w:t xml:space="preserve"> A, </w:t>
      </w:r>
      <w:proofErr w:type="spellStart"/>
      <w:r w:rsidRPr="00EB3838">
        <w:t>Carpén</w:t>
      </w:r>
      <w:proofErr w:type="spellEnd"/>
      <w:r w:rsidRPr="00EB3838">
        <w:t xml:space="preserve"> O, </w:t>
      </w:r>
      <w:proofErr w:type="spellStart"/>
      <w:r w:rsidRPr="00EB3838">
        <w:t>Hynninen</w:t>
      </w:r>
      <w:proofErr w:type="spellEnd"/>
      <w:r w:rsidRPr="00EB3838">
        <w:t xml:space="preserve"> J, Hietanen S, Lehtonen R, </w:t>
      </w:r>
      <w:proofErr w:type="spellStart"/>
      <w:r w:rsidRPr="00EB3838">
        <w:t>Hautaniemi</w:t>
      </w:r>
      <w:proofErr w:type="spellEnd"/>
      <w:r w:rsidRPr="00EB3838">
        <w:t xml:space="preserve"> S. PRISM: recovering cell-type-specific expression profiles from individual composite RNA-seq samples. Bioinformatics. 2021 Sep 29;37(18):2882-2888. </w:t>
      </w:r>
      <w:proofErr w:type="spellStart"/>
      <w:r w:rsidRPr="00EB3838">
        <w:t>doi</w:t>
      </w:r>
      <w:proofErr w:type="spellEnd"/>
      <w:r w:rsidRPr="00EB3838">
        <w:t xml:space="preserve">: 10.1093/bioinformatics/btab178. </w:t>
      </w:r>
    </w:p>
    <w:p w14:paraId="72EE7FD0" w14:textId="77777777" w:rsidR="00EB3838" w:rsidRPr="00EB3838" w:rsidRDefault="00EB3838" w:rsidP="00EB3838">
      <w:bookmarkStart w:id="4" w:name="_Hlk220422758"/>
      <w:proofErr w:type="spellStart"/>
      <w:r w:rsidRPr="00EB3838">
        <w:rPr>
          <w:b/>
          <w:bCs/>
        </w:rPr>
        <w:t>Icay</w:t>
      </w:r>
      <w:proofErr w:type="spellEnd"/>
      <w:r w:rsidRPr="00EB3838">
        <w:rPr>
          <w:b/>
          <w:bCs/>
        </w:rPr>
        <w:t xml:space="preserve"> </w:t>
      </w:r>
      <w:r w:rsidRPr="00EB3838">
        <w:t xml:space="preserve">K, Chen P, </w:t>
      </w:r>
      <w:proofErr w:type="spellStart"/>
      <w:r w:rsidRPr="00EB3838">
        <w:t>Cervera</w:t>
      </w:r>
      <w:proofErr w:type="spellEnd"/>
      <w:r w:rsidRPr="00EB3838">
        <w:t xml:space="preserve"> A, </w:t>
      </w:r>
      <w:proofErr w:type="spellStart"/>
      <w:r w:rsidRPr="00EB3838">
        <w:t>Rantanen</w:t>
      </w:r>
      <w:proofErr w:type="spellEnd"/>
      <w:r w:rsidRPr="00EB3838">
        <w:t xml:space="preserve"> V, Lehtonen R, </w:t>
      </w:r>
      <w:proofErr w:type="spellStart"/>
      <w:r w:rsidRPr="00EB3838">
        <w:t>Hautaniemi</w:t>
      </w:r>
      <w:proofErr w:type="spellEnd"/>
      <w:r w:rsidRPr="00EB3838">
        <w:t xml:space="preserve"> S. </w:t>
      </w:r>
      <w:proofErr w:type="spellStart"/>
      <w:r w:rsidRPr="00EB3838">
        <w:t>SePIA</w:t>
      </w:r>
      <w:proofErr w:type="spellEnd"/>
      <w:r w:rsidRPr="00EB3838">
        <w:t xml:space="preserve">: RNA and small RNA sequence processing, integration, and analysis. </w:t>
      </w:r>
      <w:proofErr w:type="spellStart"/>
      <w:r w:rsidRPr="00EB3838">
        <w:t>BioData</w:t>
      </w:r>
      <w:proofErr w:type="spellEnd"/>
      <w:r w:rsidRPr="00EB3838">
        <w:t xml:space="preserve"> Min. 2016 May 20;9:20. </w:t>
      </w:r>
      <w:proofErr w:type="spellStart"/>
      <w:r w:rsidRPr="00EB3838">
        <w:t>doi</w:t>
      </w:r>
      <w:proofErr w:type="spellEnd"/>
      <w:r w:rsidRPr="00EB3838">
        <w:t xml:space="preserve">: 10.1186/s13040-016-0099-z. </w:t>
      </w:r>
    </w:p>
    <w:p w14:paraId="5EDE65B0" w14:textId="77777777" w:rsidR="00EB3838" w:rsidRPr="00EB3838" w:rsidRDefault="00EB3838" w:rsidP="00EB3838">
      <w:bookmarkStart w:id="5" w:name="_Hlk220422724"/>
      <w:bookmarkEnd w:id="4"/>
      <w:proofErr w:type="spellStart"/>
      <w:r w:rsidRPr="00EB3838">
        <w:rPr>
          <w:b/>
          <w:bCs/>
        </w:rPr>
        <w:t>Lavikka</w:t>
      </w:r>
      <w:proofErr w:type="spellEnd"/>
      <w:r w:rsidRPr="00EB3838">
        <w:rPr>
          <w:b/>
          <w:bCs/>
        </w:rPr>
        <w:t xml:space="preserve"> </w:t>
      </w:r>
      <w:r w:rsidRPr="00EB3838">
        <w:t xml:space="preserve">K, </w:t>
      </w:r>
      <w:proofErr w:type="spellStart"/>
      <w:r w:rsidRPr="00EB3838">
        <w:t>Oikkonen</w:t>
      </w:r>
      <w:proofErr w:type="spellEnd"/>
      <w:r w:rsidRPr="00EB3838">
        <w:t xml:space="preserve"> J, Li Y, </w:t>
      </w:r>
      <w:proofErr w:type="spellStart"/>
      <w:r w:rsidRPr="00EB3838">
        <w:t>Muranen</w:t>
      </w:r>
      <w:proofErr w:type="spellEnd"/>
      <w:r w:rsidRPr="00EB3838">
        <w:t xml:space="preserve"> T, </w:t>
      </w:r>
      <w:proofErr w:type="spellStart"/>
      <w:r w:rsidRPr="00EB3838">
        <w:t>Micoli</w:t>
      </w:r>
      <w:proofErr w:type="spellEnd"/>
      <w:r w:rsidRPr="00EB3838">
        <w:t xml:space="preserve"> G, </w:t>
      </w:r>
      <w:proofErr w:type="spellStart"/>
      <w:r w:rsidRPr="00EB3838">
        <w:t>Marchi</w:t>
      </w:r>
      <w:proofErr w:type="spellEnd"/>
      <w:r w:rsidRPr="00EB3838">
        <w:t xml:space="preserve"> G, </w:t>
      </w:r>
      <w:proofErr w:type="spellStart"/>
      <w:r w:rsidRPr="00EB3838">
        <w:t>Lahtinen</w:t>
      </w:r>
      <w:proofErr w:type="spellEnd"/>
      <w:r w:rsidRPr="00EB3838">
        <w:t xml:space="preserve"> A, </w:t>
      </w:r>
      <w:proofErr w:type="spellStart"/>
      <w:r w:rsidRPr="00EB3838">
        <w:t>Huhtinen</w:t>
      </w:r>
      <w:proofErr w:type="spellEnd"/>
      <w:r w:rsidRPr="00EB3838">
        <w:t xml:space="preserve"> K, Lehtonen R, Hietanen S, </w:t>
      </w:r>
      <w:proofErr w:type="spellStart"/>
      <w:r w:rsidRPr="00EB3838">
        <w:t>Hynninen</w:t>
      </w:r>
      <w:proofErr w:type="spellEnd"/>
      <w:r w:rsidRPr="00EB3838">
        <w:t xml:space="preserve"> J, Virtanen A, </w:t>
      </w:r>
      <w:proofErr w:type="spellStart"/>
      <w:r w:rsidRPr="00EB3838">
        <w:t>Hautaniemi</w:t>
      </w:r>
      <w:proofErr w:type="spellEnd"/>
      <w:r w:rsidRPr="00EB3838">
        <w:t xml:space="preserve"> S. Deciphering cancer genomes with </w:t>
      </w:r>
      <w:proofErr w:type="spellStart"/>
      <w:r w:rsidRPr="00EB3838">
        <w:t>GenomeSpy</w:t>
      </w:r>
      <w:proofErr w:type="spellEnd"/>
      <w:r w:rsidRPr="00EB3838">
        <w:t xml:space="preserve">: a grammar-based visualization toolkit. </w:t>
      </w:r>
      <w:proofErr w:type="spellStart"/>
      <w:r w:rsidRPr="00EB3838">
        <w:t>Gigascience</w:t>
      </w:r>
      <w:proofErr w:type="spellEnd"/>
      <w:r w:rsidRPr="00EB3838">
        <w:t xml:space="preserve">. 2024 Jan 2;13:giae040. </w:t>
      </w:r>
      <w:proofErr w:type="spellStart"/>
      <w:r w:rsidRPr="00EB3838">
        <w:t>doi</w:t>
      </w:r>
      <w:proofErr w:type="spellEnd"/>
      <w:r w:rsidRPr="00EB3838">
        <w:t>: 10.1093/</w:t>
      </w:r>
      <w:proofErr w:type="spellStart"/>
      <w:r w:rsidRPr="00EB3838">
        <w:t>gigascience</w:t>
      </w:r>
      <w:proofErr w:type="spellEnd"/>
      <w:r w:rsidRPr="00EB3838">
        <w:t>/giae040.</w:t>
      </w:r>
      <w:bookmarkEnd w:id="5"/>
      <w:r w:rsidRPr="00EB3838">
        <w:t xml:space="preserve"> </w:t>
      </w:r>
    </w:p>
    <w:p w14:paraId="14EFF33F" w14:textId="77777777" w:rsidR="00EB3838" w:rsidRPr="00EB3838" w:rsidRDefault="00EB3838" w:rsidP="00EB3838">
      <w:r w:rsidRPr="00EB3838">
        <w:rPr>
          <w:b/>
          <w:bCs/>
        </w:rPr>
        <w:lastRenderedPageBreak/>
        <w:t xml:space="preserve">Li </w:t>
      </w:r>
      <w:r w:rsidRPr="00EB3838">
        <w:t>H. Aligning sequence reads, clone sequences and assembly contigs with BWA-MEM. 2013 arXiv:1303.3997v2 [q-bio.GN].</w:t>
      </w:r>
    </w:p>
    <w:p w14:paraId="21168BC4" w14:textId="77777777" w:rsidR="00EB3838" w:rsidRPr="00EB3838" w:rsidRDefault="00EB3838" w:rsidP="00EB3838">
      <w:r w:rsidRPr="00EB3838">
        <w:rPr>
          <w:b/>
          <w:bCs/>
        </w:rPr>
        <w:t xml:space="preserve">Love </w:t>
      </w:r>
      <w:r w:rsidRPr="00EB3838">
        <w:t xml:space="preserve">MI, Huber W, Anders S. Moderated estimation of fold change and dispersion for RNA-seq data with DESeq2. Genome Biol. 2014;15(12):550. </w:t>
      </w:r>
      <w:proofErr w:type="spellStart"/>
      <w:r w:rsidRPr="00EB3838">
        <w:t>doi</w:t>
      </w:r>
      <w:proofErr w:type="spellEnd"/>
      <w:r w:rsidRPr="00EB3838">
        <w:t xml:space="preserve">: 10.1186/s13059-014-0550-8. </w:t>
      </w:r>
    </w:p>
    <w:p w14:paraId="78FCB065" w14:textId="77777777" w:rsidR="00EB3838" w:rsidRPr="00EB3838" w:rsidRDefault="00EB3838" w:rsidP="00EB3838">
      <w:r w:rsidRPr="00EB3838">
        <w:rPr>
          <w:b/>
          <w:bCs/>
        </w:rPr>
        <w:t xml:space="preserve">Ma </w:t>
      </w:r>
      <w:r w:rsidRPr="00EB3838">
        <w:t xml:space="preserve">C, Shao M, Kingsford C. SQUID: transcriptomic structural variation detection from RNA-seq. Genome Biol. 2018 Apr 12;19(1):52. </w:t>
      </w:r>
      <w:proofErr w:type="spellStart"/>
      <w:r w:rsidRPr="00EB3838">
        <w:t>doi</w:t>
      </w:r>
      <w:proofErr w:type="spellEnd"/>
      <w:r w:rsidRPr="00EB3838">
        <w:t xml:space="preserve">: 10.1186/s13059-018-1421-5. </w:t>
      </w:r>
    </w:p>
    <w:p w14:paraId="11081CDD" w14:textId="77777777" w:rsidR="00EB3838" w:rsidRPr="00EB3838" w:rsidRDefault="00EB3838" w:rsidP="00EB3838">
      <w:proofErr w:type="spellStart"/>
      <w:r w:rsidRPr="00EB3838">
        <w:rPr>
          <w:b/>
          <w:bCs/>
        </w:rPr>
        <w:t>Melsted</w:t>
      </w:r>
      <w:proofErr w:type="spellEnd"/>
      <w:r w:rsidRPr="00EB3838">
        <w:rPr>
          <w:b/>
          <w:bCs/>
        </w:rPr>
        <w:t xml:space="preserve"> </w:t>
      </w:r>
      <w:r w:rsidRPr="00EB3838">
        <w:t xml:space="preserve">P, </w:t>
      </w:r>
      <w:proofErr w:type="spellStart"/>
      <w:r w:rsidRPr="00EB3838">
        <w:t>Hateley</w:t>
      </w:r>
      <w:proofErr w:type="spellEnd"/>
      <w:r w:rsidRPr="00EB3838">
        <w:t xml:space="preserve"> S, Joseph IC, Pimentel H, Bray N, </w:t>
      </w:r>
      <w:proofErr w:type="spellStart"/>
      <w:r w:rsidRPr="00EB3838">
        <w:t>Pachter</w:t>
      </w:r>
      <w:proofErr w:type="spellEnd"/>
      <w:r w:rsidRPr="00EB3838">
        <w:t xml:space="preserve"> L. Fusion detection and quantification by pseudoalignment. </w:t>
      </w:r>
      <w:proofErr w:type="spellStart"/>
      <w:r w:rsidRPr="00EB3838">
        <w:t>BioRxiv</w:t>
      </w:r>
      <w:proofErr w:type="spellEnd"/>
      <w:r w:rsidRPr="00EB3838">
        <w:t>, 2017. 166322.</w:t>
      </w:r>
    </w:p>
    <w:p w14:paraId="7F47FBA9" w14:textId="77777777" w:rsidR="00EB3838" w:rsidRPr="00EB3838" w:rsidRDefault="00EB3838" w:rsidP="00EB3838">
      <w:proofErr w:type="spellStart"/>
      <w:r w:rsidRPr="00EB3838">
        <w:rPr>
          <w:b/>
          <w:bCs/>
        </w:rPr>
        <w:t>Micoli</w:t>
      </w:r>
      <w:proofErr w:type="spellEnd"/>
      <w:r w:rsidRPr="00EB3838">
        <w:rPr>
          <w:b/>
          <w:bCs/>
        </w:rPr>
        <w:t xml:space="preserve"> </w:t>
      </w:r>
      <w:r w:rsidRPr="00EB3838">
        <w:t xml:space="preserve">G, </w:t>
      </w:r>
      <w:proofErr w:type="spellStart"/>
      <w:r w:rsidRPr="00EB3838">
        <w:t>Lavikka</w:t>
      </w:r>
      <w:proofErr w:type="spellEnd"/>
      <w:r w:rsidRPr="00EB3838">
        <w:t xml:space="preserve"> K, Li Y, </w:t>
      </w:r>
      <w:proofErr w:type="spellStart"/>
      <w:r w:rsidRPr="00EB3838">
        <w:t>Pirttikoski</w:t>
      </w:r>
      <w:proofErr w:type="spellEnd"/>
      <w:r w:rsidRPr="00EB3838">
        <w:t xml:space="preserve"> A, </w:t>
      </w:r>
      <w:proofErr w:type="spellStart"/>
      <w:r w:rsidRPr="00EB3838">
        <w:t>Afenteva</w:t>
      </w:r>
      <w:proofErr w:type="spellEnd"/>
      <w:r w:rsidRPr="00EB3838">
        <w:t xml:space="preserve"> D, </w:t>
      </w:r>
      <w:proofErr w:type="spellStart"/>
      <w:r w:rsidRPr="00EB3838">
        <w:t>Senkowski</w:t>
      </w:r>
      <w:proofErr w:type="spellEnd"/>
      <w:r w:rsidRPr="00EB3838">
        <w:t xml:space="preserve"> W, </w:t>
      </w:r>
      <w:proofErr w:type="spellStart"/>
      <w:r w:rsidRPr="00EB3838">
        <w:t>Marchi</w:t>
      </w:r>
      <w:proofErr w:type="spellEnd"/>
      <w:r w:rsidRPr="00EB3838">
        <w:t xml:space="preserve"> G, </w:t>
      </w:r>
      <w:proofErr w:type="spellStart"/>
      <w:r w:rsidRPr="00EB3838">
        <w:t>Vaharautio</w:t>
      </w:r>
      <w:proofErr w:type="spellEnd"/>
      <w:r w:rsidRPr="00EB3838">
        <w:t xml:space="preserve"> A, </w:t>
      </w:r>
      <w:proofErr w:type="spellStart"/>
      <w:r w:rsidRPr="00EB3838">
        <w:t>Muranen</w:t>
      </w:r>
      <w:proofErr w:type="spellEnd"/>
      <w:r w:rsidRPr="00EB3838">
        <w:t xml:space="preserve"> TA, </w:t>
      </w:r>
      <w:proofErr w:type="spellStart"/>
      <w:r w:rsidRPr="00EB3838">
        <w:t>Joutsiniemi</w:t>
      </w:r>
      <w:proofErr w:type="spellEnd"/>
      <w:r w:rsidRPr="00EB3838">
        <w:t xml:space="preserve"> T, Hietanen S, Virtanen A, </w:t>
      </w:r>
      <w:proofErr w:type="spellStart"/>
      <w:r w:rsidRPr="00EB3838">
        <w:t>Wennerberg</w:t>
      </w:r>
      <w:proofErr w:type="spellEnd"/>
      <w:r w:rsidRPr="00EB3838">
        <w:t xml:space="preserve"> K, </w:t>
      </w:r>
      <w:proofErr w:type="spellStart"/>
      <w:r w:rsidRPr="00EB3838">
        <w:t>Hynninen</w:t>
      </w:r>
      <w:proofErr w:type="spellEnd"/>
      <w:r w:rsidRPr="00EB3838">
        <w:t xml:space="preserve"> J, </w:t>
      </w:r>
      <w:proofErr w:type="spellStart"/>
      <w:r w:rsidRPr="00EB3838">
        <w:t>Oikkonen</w:t>
      </w:r>
      <w:proofErr w:type="spellEnd"/>
      <w:r w:rsidRPr="00EB3838">
        <w:t xml:space="preserve"> J, </w:t>
      </w:r>
      <w:proofErr w:type="spellStart"/>
      <w:r w:rsidRPr="00EB3838">
        <w:t>Hautaniemi</w:t>
      </w:r>
      <w:proofErr w:type="spellEnd"/>
      <w:r w:rsidRPr="00EB3838">
        <w:t xml:space="preserve"> S. Decoding the Genomic and Functional Landscape of Emerging Subtypes in Ovarian Cancer. Cancer </w:t>
      </w:r>
      <w:proofErr w:type="spellStart"/>
      <w:r w:rsidRPr="00EB3838">
        <w:t>Discov</w:t>
      </w:r>
      <w:proofErr w:type="spellEnd"/>
      <w:r w:rsidRPr="00EB3838">
        <w:t xml:space="preserve">. 2025 Jul 31. </w:t>
      </w:r>
      <w:proofErr w:type="spellStart"/>
      <w:r w:rsidRPr="00EB3838">
        <w:t>doi</w:t>
      </w:r>
      <w:proofErr w:type="spellEnd"/>
      <w:r w:rsidRPr="00EB3838">
        <w:t xml:space="preserve">: 10.1158/2159-8290.CD-25-0652. </w:t>
      </w:r>
    </w:p>
    <w:p w14:paraId="078E7723" w14:textId="77777777" w:rsidR="00EB3838" w:rsidRPr="00EB3838" w:rsidRDefault="00EB3838" w:rsidP="00EB3838">
      <w:r w:rsidRPr="00EB3838">
        <w:rPr>
          <w:b/>
          <w:bCs/>
        </w:rPr>
        <w:t xml:space="preserve">Morales </w:t>
      </w:r>
      <w:r w:rsidRPr="00EB3838">
        <w:t xml:space="preserve">J, </w:t>
      </w:r>
      <w:proofErr w:type="spellStart"/>
      <w:r w:rsidRPr="00EB3838">
        <w:t>Pujar</w:t>
      </w:r>
      <w:proofErr w:type="spellEnd"/>
      <w:r w:rsidRPr="00EB3838">
        <w:t xml:space="preserve"> S, Loveland JE, </w:t>
      </w:r>
      <w:proofErr w:type="spellStart"/>
      <w:r w:rsidRPr="00EB3838">
        <w:t>Astashyn</w:t>
      </w:r>
      <w:proofErr w:type="spellEnd"/>
      <w:r w:rsidRPr="00EB3838">
        <w:t xml:space="preserve"> A, Bennett R, Berry A, Cox E, Davidson C, </w:t>
      </w:r>
      <w:proofErr w:type="spellStart"/>
      <w:r w:rsidRPr="00EB3838">
        <w:t>Ermolaeva</w:t>
      </w:r>
      <w:proofErr w:type="spellEnd"/>
      <w:r w:rsidRPr="00EB3838">
        <w:t xml:space="preserve"> O, Farrell CM, Fatima R, Gil L, Goldfarb T, Gonzalez JM, Haddad D, Hardy M, Hunt T, Jackson J, </w:t>
      </w:r>
      <w:proofErr w:type="spellStart"/>
      <w:r w:rsidRPr="00EB3838">
        <w:t>Joardar</w:t>
      </w:r>
      <w:proofErr w:type="spellEnd"/>
      <w:r w:rsidRPr="00EB3838">
        <w:t xml:space="preserve"> VS, Kay M, </w:t>
      </w:r>
      <w:proofErr w:type="spellStart"/>
      <w:r w:rsidRPr="00EB3838">
        <w:t>Kodali</w:t>
      </w:r>
      <w:proofErr w:type="spellEnd"/>
      <w:r w:rsidRPr="00EB3838">
        <w:t xml:space="preserve"> VK, McGarvey KM, McMahon A, </w:t>
      </w:r>
      <w:proofErr w:type="spellStart"/>
      <w:r w:rsidRPr="00EB3838">
        <w:t>Mudge</w:t>
      </w:r>
      <w:proofErr w:type="spellEnd"/>
      <w:r w:rsidRPr="00EB3838">
        <w:t xml:space="preserve"> JM, Murphy DN, Murphy MR, Rajput B, </w:t>
      </w:r>
      <w:proofErr w:type="spellStart"/>
      <w:r w:rsidRPr="00EB3838">
        <w:t>Rangwala</w:t>
      </w:r>
      <w:proofErr w:type="spellEnd"/>
      <w:r w:rsidRPr="00EB3838">
        <w:t xml:space="preserve"> SH, Riddick LD, </w:t>
      </w:r>
      <w:proofErr w:type="spellStart"/>
      <w:r w:rsidRPr="00EB3838">
        <w:t>Thibaud</w:t>
      </w:r>
      <w:proofErr w:type="spellEnd"/>
      <w:r w:rsidRPr="00EB3838">
        <w:t xml:space="preserve">-Nissen F, Threadgold G, </w:t>
      </w:r>
      <w:proofErr w:type="spellStart"/>
      <w:r w:rsidRPr="00EB3838">
        <w:t>Vatsan</w:t>
      </w:r>
      <w:proofErr w:type="spellEnd"/>
      <w:r w:rsidRPr="00EB3838">
        <w:t xml:space="preserve"> AR, </w:t>
      </w:r>
      <w:proofErr w:type="spellStart"/>
      <w:r w:rsidRPr="00EB3838">
        <w:t>Wallin</w:t>
      </w:r>
      <w:proofErr w:type="spellEnd"/>
      <w:r w:rsidRPr="00EB3838">
        <w:t xml:space="preserve"> C, Webb D, </w:t>
      </w:r>
      <w:proofErr w:type="spellStart"/>
      <w:r w:rsidRPr="00EB3838">
        <w:t>Flicek</w:t>
      </w:r>
      <w:proofErr w:type="spellEnd"/>
      <w:r w:rsidRPr="00EB3838">
        <w:t xml:space="preserve"> P, Birney E, Pruitt KD, Frankish A, Cunningham F, Murphy TD. A joint NCBI and EMBL-EBI transcript set for clinical genomics and research. Nature. 2022 Apr;604(7905):310-315. </w:t>
      </w:r>
      <w:proofErr w:type="spellStart"/>
      <w:r w:rsidRPr="00EB3838">
        <w:t>doi</w:t>
      </w:r>
      <w:proofErr w:type="spellEnd"/>
      <w:r w:rsidRPr="00EB3838">
        <w:t xml:space="preserve">: 10.1038/s41586-022-04558-8. </w:t>
      </w:r>
    </w:p>
    <w:p w14:paraId="7F7D2D30" w14:textId="77777777" w:rsidR="00EB3838" w:rsidRPr="00EB3838" w:rsidRDefault="00EB3838" w:rsidP="00EB3838">
      <w:proofErr w:type="spellStart"/>
      <w:r w:rsidRPr="00EB3838">
        <w:rPr>
          <w:b/>
          <w:bCs/>
        </w:rPr>
        <w:t>Muzellec</w:t>
      </w:r>
      <w:proofErr w:type="spellEnd"/>
      <w:r w:rsidRPr="00EB3838">
        <w:t xml:space="preserve"> B, </w:t>
      </w:r>
      <w:proofErr w:type="spellStart"/>
      <w:r w:rsidRPr="00EB3838">
        <w:t>Teleńczuk</w:t>
      </w:r>
      <w:proofErr w:type="spellEnd"/>
      <w:r w:rsidRPr="00EB3838">
        <w:t xml:space="preserve"> M, </w:t>
      </w:r>
      <w:proofErr w:type="spellStart"/>
      <w:r w:rsidRPr="00EB3838">
        <w:t>Cabeli</w:t>
      </w:r>
      <w:proofErr w:type="spellEnd"/>
      <w:r w:rsidRPr="00EB3838">
        <w:t xml:space="preserve"> V, </w:t>
      </w:r>
      <w:proofErr w:type="spellStart"/>
      <w:r w:rsidRPr="00EB3838">
        <w:t>Andreux</w:t>
      </w:r>
      <w:proofErr w:type="spellEnd"/>
      <w:r w:rsidRPr="00EB3838">
        <w:t xml:space="preserve"> M. PyDESeq2: a python package for bulk RNA-seq differential expression analysis. Bioinformatics. 2023 Sep 2;39(9):btad547. </w:t>
      </w:r>
      <w:proofErr w:type="spellStart"/>
      <w:r w:rsidRPr="00EB3838">
        <w:t>doi</w:t>
      </w:r>
      <w:proofErr w:type="spellEnd"/>
      <w:r w:rsidRPr="00EB3838">
        <w:t>: 10.1093/bioinformatics/btad547.</w:t>
      </w:r>
    </w:p>
    <w:p w14:paraId="003B827A" w14:textId="77777777" w:rsidR="00EB3838" w:rsidRPr="00EB3838" w:rsidRDefault="00EB3838" w:rsidP="00EB3838">
      <w:pPr>
        <w:rPr>
          <w:b/>
          <w:bCs/>
        </w:rPr>
      </w:pPr>
      <w:r w:rsidRPr="00EB3838">
        <w:rPr>
          <w:b/>
          <w:bCs/>
        </w:rPr>
        <w:lastRenderedPageBreak/>
        <w:t>Perez-</w:t>
      </w:r>
      <w:proofErr w:type="spellStart"/>
      <w:r w:rsidRPr="00EB3838">
        <w:rPr>
          <w:b/>
          <w:bCs/>
        </w:rPr>
        <w:t>Villatoro</w:t>
      </w:r>
      <w:proofErr w:type="spellEnd"/>
      <w:r w:rsidRPr="00EB3838">
        <w:t xml:space="preserve"> F, </w:t>
      </w:r>
      <w:proofErr w:type="spellStart"/>
      <w:r w:rsidRPr="00EB3838">
        <w:t>Oikkonen</w:t>
      </w:r>
      <w:proofErr w:type="spellEnd"/>
      <w:r w:rsidRPr="00EB3838">
        <w:t xml:space="preserve"> J, Casado J, Chernenko A, </w:t>
      </w:r>
      <w:proofErr w:type="spellStart"/>
      <w:r w:rsidRPr="00EB3838">
        <w:t>Gulhan</w:t>
      </w:r>
      <w:proofErr w:type="spellEnd"/>
      <w:r w:rsidRPr="00EB3838">
        <w:t xml:space="preserve"> DC, </w:t>
      </w:r>
      <w:proofErr w:type="spellStart"/>
      <w:r w:rsidRPr="00EB3838">
        <w:t>Tumiati</w:t>
      </w:r>
      <w:proofErr w:type="spellEnd"/>
      <w:r w:rsidRPr="00EB3838">
        <w:t xml:space="preserve"> M, Li Y, </w:t>
      </w:r>
      <w:proofErr w:type="spellStart"/>
      <w:r w:rsidRPr="00EB3838">
        <w:t>Lavikka</w:t>
      </w:r>
      <w:proofErr w:type="spellEnd"/>
      <w:r w:rsidRPr="00EB3838">
        <w:t xml:space="preserve"> K, Hietanen S, </w:t>
      </w:r>
      <w:proofErr w:type="spellStart"/>
      <w:r w:rsidRPr="00EB3838">
        <w:t>Hynninen</w:t>
      </w:r>
      <w:proofErr w:type="spellEnd"/>
      <w:r w:rsidRPr="00EB3838">
        <w:t xml:space="preserve"> J, </w:t>
      </w:r>
      <w:proofErr w:type="spellStart"/>
      <w:r w:rsidRPr="00EB3838">
        <w:t>Haltia</w:t>
      </w:r>
      <w:proofErr w:type="spellEnd"/>
      <w:r w:rsidRPr="00EB3838">
        <w:t xml:space="preserve"> UM, </w:t>
      </w:r>
      <w:proofErr w:type="spellStart"/>
      <w:r w:rsidRPr="00EB3838">
        <w:t>Tyrmi</w:t>
      </w:r>
      <w:proofErr w:type="spellEnd"/>
      <w:r w:rsidRPr="00EB3838">
        <w:t xml:space="preserve"> JS, </w:t>
      </w:r>
      <w:proofErr w:type="spellStart"/>
      <w:r w:rsidRPr="00EB3838">
        <w:t>Laivuori</w:t>
      </w:r>
      <w:proofErr w:type="spellEnd"/>
      <w:r w:rsidRPr="00EB3838">
        <w:t xml:space="preserve"> H, </w:t>
      </w:r>
      <w:proofErr w:type="spellStart"/>
      <w:r w:rsidRPr="00EB3838">
        <w:t>Konstantinopoulos</w:t>
      </w:r>
      <w:proofErr w:type="spellEnd"/>
      <w:r w:rsidRPr="00EB3838">
        <w:t xml:space="preserve"> PA, </w:t>
      </w:r>
      <w:proofErr w:type="spellStart"/>
      <w:r w:rsidRPr="00EB3838">
        <w:t>Hautaniemi</w:t>
      </w:r>
      <w:proofErr w:type="spellEnd"/>
      <w:r w:rsidRPr="00EB3838">
        <w:t xml:space="preserve"> S, Kauppi L, </w:t>
      </w:r>
      <w:proofErr w:type="spellStart"/>
      <w:r w:rsidRPr="00EB3838">
        <w:t>Färkkilä</w:t>
      </w:r>
      <w:proofErr w:type="spellEnd"/>
      <w:r w:rsidRPr="00EB3838">
        <w:t xml:space="preserve"> A. Optimized detection of homologous recombination deficiency improves the prediction of clinical outcomes in cancer. NPJ Precis Oncol. 2022 Dec 29;6(1):96. </w:t>
      </w:r>
      <w:proofErr w:type="spellStart"/>
      <w:r w:rsidRPr="00EB3838">
        <w:t>doi</w:t>
      </w:r>
      <w:proofErr w:type="spellEnd"/>
      <w:r w:rsidRPr="00EB3838">
        <w:t>: 10.1038/s41698-022-00339-8.</w:t>
      </w:r>
    </w:p>
    <w:p w14:paraId="06093580" w14:textId="77777777" w:rsidR="00EB3838" w:rsidRPr="00EB3838" w:rsidRDefault="00EB3838" w:rsidP="00EB3838">
      <w:r w:rsidRPr="00EB3838">
        <w:rPr>
          <w:b/>
          <w:bCs/>
        </w:rPr>
        <w:t xml:space="preserve">Priestley </w:t>
      </w:r>
      <w:r w:rsidRPr="00EB3838">
        <w:t xml:space="preserve">P, Baber J, </w:t>
      </w:r>
      <w:proofErr w:type="spellStart"/>
      <w:r w:rsidRPr="00EB3838">
        <w:t>Lolkema</w:t>
      </w:r>
      <w:proofErr w:type="spellEnd"/>
      <w:r w:rsidRPr="00EB3838">
        <w:t xml:space="preserve"> MP, </w:t>
      </w:r>
      <w:proofErr w:type="spellStart"/>
      <w:r w:rsidRPr="00EB3838">
        <w:t>Steeghs</w:t>
      </w:r>
      <w:proofErr w:type="spellEnd"/>
      <w:r w:rsidRPr="00EB3838">
        <w:t xml:space="preserve"> N, de Bruijn E, Shale C, </w:t>
      </w:r>
      <w:proofErr w:type="spellStart"/>
      <w:r w:rsidRPr="00EB3838">
        <w:t>Duyvesteyn</w:t>
      </w:r>
      <w:proofErr w:type="spellEnd"/>
      <w:r w:rsidRPr="00EB3838">
        <w:t xml:space="preserve"> K, Haidari S, van </w:t>
      </w:r>
      <w:proofErr w:type="spellStart"/>
      <w:r w:rsidRPr="00EB3838">
        <w:t>Hoeck</w:t>
      </w:r>
      <w:proofErr w:type="spellEnd"/>
      <w:r w:rsidRPr="00EB3838">
        <w:t xml:space="preserve"> A, </w:t>
      </w:r>
      <w:proofErr w:type="spellStart"/>
      <w:r w:rsidRPr="00EB3838">
        <w:t>Onstenk</w:t>
      </w:r>
      <w:proofErr w:type="spellEnd"/>
      <w:r w:rsidRPr="00EB3838">
        <w:t xml:space="preserve"> W, </w:t>
      </w:r>
      <w:proofErr w:type="spellStart"/>
      <w:r w:rsidRPr="00EB3838">
        <w:t>Roepman</w:t>
      </w:r>
      <w:proofErr w:type="spellEnd"/>
      <w:r w:rsidRPr="00EB3838">
        <w:t xml:space="preserve"> P, </w:t>
      </w:r>
      <w:proofErr w:type="spellStart"/>
      <w:r w:rsidRPr="00EB3838">
        <w:t>Voda</w:t>
      </w:r>
      <w:proofErr w:type="spellEnd"/>
      <w:r w:rsidRPr="00EB3838">
        <w:t xml:space="preserve"> M, </w:t>
      </w:r>
      <w:proofErr w:type="spellStart"/>
      <w:r w:rsidRPr="00EB3838">
        <w:t>Bloemendal</w:t>
      </w:r>
      <w:proofErr w:type="spellEnd"/>
      <w:r w:rsidRPr="00EB3838">
        <w:t xml:space="preserve"> HJ, </w:t>
      </w:r>
      <w:proofErr w:type="spellStart"/>
      <w:r w:rsidRPr="00EB3838">
        <w:t>Tjan-Heijnen</w:t>
      </w:r>
      <w:proofErr w:type="spellEnd"/>
      <w:r w:rsidRPr="00EB3838">
        <w:t xml:space="preserve"> VCG, van </w:t>
      </w:r>
      <w:proofErr w:type="spellStart"/>
      <w:r w:rsidRPr="00EB3838">
        <w:t>Herpen</w:t>
      </w:r>
      <w:proofErr w:type="spellEnd"/>
      <w:r w:rsidRPr="00EB3838">
        <w:t xml:space="preserve"> CML, </w:t>
      </w:r>
      <w:proofErr w:type="spellStart"/>
      <w:r w:rsidRPr="00EB3838">
        <w:t>Labots</w:t>
      </w:r>
      <w:proofErr w:type="spellEnd"/>
      <w:r w:rsidRPr="00EB3838">
        <w:t xml:space="preserve"> M, </w:t>
      </w:r>
      <w:proofErr w:type="spellStart"/>
      <w:r w:rsidRPr="00EB3838">
        <w:t>Witteveen</w:t>
      </w:r>
      <w:proofErr w:type="spellEnd"/>
      <w:r w:rsidRPr="00EB3838">
        <w:t xml:space="preserve"> PO, Smit EF, </w:t>
      </w:r>
      <w:proofErr w:type="spellStart"/>
      <w:r w:rsidRPr="00EB3838">
        <w:t>Sleijfer</w:t>
      </w:r>
      <w:proofErr w:type="spellEnd"/>
      <w:r w:rsidRPr="00EB3838">
        <w:t xml:space="preserve"> S, </w:t>
      </w:r>
      <w:proofErr w:type="spellStart"/>
      <w:r w:rsidRPr="00EB3838">
        <w:t>Voest</w:t>
      </w:r>
      <w:proofErr w:type="spellEnd"/>
      <w:r w:rsidRPr="00EB3838">
        <w:t xml:space="preserve"> EE, </w:t>
      </w:r>
      <w:proofErr w:type="spellStart"/>
      <w:r w:rsidRPr="00EB3838">
        <w:t>Cuppen</w:t>
      </w:r>
      <w:proofErr w:type="spellEnd"/>
      <w:r w:rsidRPr="00EB3838">
        <w:t xml:space="preserve"> E. Pan-cancer whole-genome analyses of metastatic solid </w:t>
      </w:r>
      <w:proofErr w:type="spellStart"/>
      <w:r w:rsidRPr="00EB3838">
        <w:t>tumours</w:t>
      </w:r>
      <w:proofErr w:type="spellEnd"/>
      <w:r w:rsidRPr="00EB3838">
        <w:t xml:space="preserve">. Nature. 2019 Nov;575(7781):210-216. </w:t>
      </w:r>
      <w:proofErr w:type="spellStart"/>
      <w:r w:rsidRPr="00EB3838">
        <w:t>doi</w:t>
      </w:r>
      <w:proofErr w:type="spellEnd"/>
      <w:r w:rsidRPr="00EB3838">
        <w:t xml:space="preserve">: 10.1038/s41586-019-1689-y. </w:t>
      </w:r>
    </w:p>
    <w:p w14:paraId="2A56254D" w14:textId="77777777" w:rsidR="00EB3838" w:rsidRPr="00EB3838" w:rsidRDefault="00EB3838" w:rsidP="00EB3838">
      <w:r w:rsidRPr="00EB3838">
        <w:rPr>
          <w:b/>
          <w:bCs/>
        </w:rPr>
        <w:t xml:space="preserve">Roberts </w:t>
      </w:r>
      <w:r w:rsidRPr="00EB3838">
        <w:t xml:space="preserve">A, </w:t>
      </w:r>
      <w:proofErr w:type="spellStart"/>
      <w:r w:rsidRPr="00EB3838">
        <w:t>Pachter</w:t>
      </w:r>
      <w:proofErr w:type="spellEnd"/>
      <w:r w:rsidRPr="00EB3838">
        <w:t xml:space="preserve"> L. Streaming fragment assignment for real-time analysis of sequencing experiments. Nat Methods. 2013 Jan;10(1):71-3. </w:t>
      </w:r>
      <w:proofErr w:type="spellStart"/>
      <w:r w:rsidRPr="00EB3838">
        <w:t>doi</w:t>
      </w:r>
      <w:proofErr w:type="spellEnd"/>
      <w:r w:rsidRPr="00EB3838">
        <w:t xml:space="preserve">: 10.1038/nmeth.2251. </w:t>
      </w:r>
    </w:p>
    <w:p w14:paraId="079CF9F9" w14:textId="77777777" w:rsidR="00EB3838" w:rsidRPr="000A1554" w:rsidRDefault="00EB3838" w:rsidP="00EB3838">
      <w:proofErr w:type="spellStart"/>
      <w:r w:rsidRPr="00EB3838">
        <w:rPr>
          <w:b/>
          <w:bCs/>
        </w:rPr>
        <w:t>Uhrig</w:t>
      </w:r>
      <w:proofErr w:type="spellEnd"/>
      <w:r w:rsidRPr="00EB3838">
        <w:rPr>
          <w:b/>
          <w:bCs/>
        </w:rPr>
        <w:t xml:space="preserve"> </w:t>
      </w:r>
      <w:r w:rsidRPr="00EB3838">
        <w:t xml:space="preserve">S, </w:t>
      </w:r>
      <w:proofErr w:type="spellStart"/>
      <w:r w:rsidRPr="00EB3838">
        <w:t>Ellermann</w:t>
      </w:r>
      <w:proofErr w:type="spellEnd"/>
      <w:r w:rsidRPr="00EB3838">
        <w:t xml:space="preserve"> J, Walther T, Burkhardt P, Fröhlich M, </w:t>
      </w:r>
      <w:proofErr w:type="spellStart"/>
      <w:r w:rsidRPr="00EB3838">
        <w:t>Hutter</w:t>
      </w:r>
      <w:proofErr w:type="spellEnd"/>
      <w:r w:rsidRPr="00EB3838">
        <w:t xml:space="preserve"> B, </w:t>
      </w:r>
      <w:proofErr w:type="spellStart"/>
      <w:r w:rsidRPr="00EB3838">
        <w:t>Toprak</w:t>
      </w:r>
      <w:proofErr w:type="spellEnd"/>
      <w:r w:rsidRPr="00EB3838">
        <w:t xml:space="preserve"> UH, Neumann O, </w:t>
      </w:r>
      <w:proofErr w:type="spellStart"/>
      <w:r w:rsidRPr="00EB3838">
        <w:t>Stenzinger</w:t>
      </w:r>
      <w:proofErr w:type="spellEnd"/>
      <w:r w:rsidRPr="00EB3838">
        <w:t xml:space="preserve"> A, Scholl C, </w:t>
      </w:r>
      <w:proofErr w:type="spellStart"/>
      <w:r w:rsidRPr="00EB3838">
        <w:t>Fröhling</w:t>
      </w:r>
      <w:proofErr w:type="spellEnd"/>
      <w:r w:rsidRPr="00EB3838">
        <w:t xml:space="preserve"> S, </w:t>
      </w:r>
      <w:proofErr w:type="spellStart"/>
      <w:r w:rsidRPr="00EB3838">
        <w:t>Brors</w:t>
      </w:r>
      <w:proofErr w:type="spellEnd"/>
      <w:r w:rsidRPr="00EB3838">
        <w:t xml:space="preserve"> B. Accurate and efficient detection of gene fusions from RNA sequencing data. </w:t>
      </w:r>
      <w:r w:rsidRPr="000A1554">
        <w:t xml:space="preserve">Genome Res. 2021 Mar;31(3):448-460. </w:t>
      </w:r>
      <w:proofErr w:type="spellStart"/>
      <w:r w:rsidRPr="000A1554">
        <w:t>doi</w:t>
      </w:r>
      <w:proofErr w:type="spellEnd"/>
      <w:r w:rsidRPr="000A1554">
        <w:t xml:space="preserve">: 10.1101/gr.257246.119. </w:t>
      </w:r>
    </w:p>
    <w:p w14:paraId="0B69EDF2" w14:textId="77777777" w:rsidR="00EB3838" w:rsidRPr="00EB3838" w:rsidRDefault="00EB3838" w:rsidP="00EB3838">
      <w:bookmarkStart w:id="6" w:name="_Hlk220422594"/>
      <w:r w:rsidRPr="00EB3838">
        <w:rPr>
          <w:b/>
          <w:bCs/>
        </w:rPr>
        <w:t>Van Loo</w:t>
      </w:r>
      <w:r w:rsidRPr="00EB3838">
        <w:t xml:space="preserve"> P, </w:t>
      </w:r>
      <w:proofErr w:type="spellStart"/>
      <w:r w:rsidRPr="00EB3838">
        <w:t>Nordgard</w:t>
      </w:r>
      <w:proofErr w:type="spellEnd"/>
      <w:r w:rsidRPr="00EB3838">
        <w:t xml:space="preserve"> SH, </w:t>
      </w:r>
      <w:proofErr w:type="spellStart"/>
      <w:r w:rsidRPr="00EB3838">
        <w:t>Lingjærde</w:t>
      </w:r>
      <w:proofErr w:type="spellEnd"/>
      <w:r w:rsidRPr="00EB3838">
        <w:t xml:space="preserve"> OC, </w:t>
      </w:r>
      <w:proofErr w:type="spellStart"/>
      <w:r w:rsidRPr="00EB3838">
        <w:t>Russnes</w:t>
      </w:r>
      <w:proofErr w:type="spellEnd"/>
      <w:r w:rsidRPr="00EB3838">
        <w:t xml:space="preserve"> HG, Rye IH, Sun W, </w:t>
      </w:r>
      <w:proofErr w:type="spellStart"/>
      <w:r w:rsidRPr="00EB3838">
        <w:t>Weigman</w:t>
      </w:r>
      <w:proofErr w:type="spellEnd"/>
      <w:r w:rsidRPr="00EB3838">
        <w:t xml:space="preserve"> VJ, </w:t>
      </w:r>
      <w:proofErr w:type="spellStart"/>
      <w:r w:rsidRPr="00EB3838">
        <w:t>Marynen</w:t>
      </w:r>
      <w:proofErr w:type="spellEnd"/>
      <w:r w:rsidRPr="00EB3838">
        <w:t xml:space="preserve"> P, Zetterberg A, </w:t>
      </w:r>
      <w:proofErr w:type="spellStart"/>
      <w:r w:rsidRPr="00EB3838">
        <w:t>Naume</w:t>
      </w:r>
      <w:proofErr w:type="spellEnd"/>
      <w:r w:rsidRPr="00EB3838">
        <w:t xml:space="preserve"> B, </w:t>
      </w:r>
      <w:proofErr w:type="spellStart"/>
      <w:r w:rsidRPr="00EB3838">
        <w:t>Perou</w:t>
      </w:r>
      <w:proofErr w:type="spellEnd"/>
      <w:r w:rsidRPr="00EB3838">
        <w:t xml:space="preserve"> CM, </w:t>
      </w:r>
      <w:proofErr w:type="spellStart"/>
      <w:r w:rsidRPr="00EB3838">
        <w:t>Børresen</w:t>
      </w:r>
      <w:proofErr w:type="spellEnd"/>
      <w:r w:rsidRPr="00EB3838">
        <w:t xml:space="preserve">-Dale AL, Kristensen VN. Allele-specific copy number analysis of tumors. Proc Natl </w:t>
      </w:r>
      <w:proofErr w:type="spellStart"/>
      <w:r w:rsidRPr="00EB3838">
        <w:t>Acad</w:t>
      </w:r>
      <w:proofErr w:type="spellEnd"/>
      <w:r w:rsidRPr="00EB3838">
        <w:t xml:space="preserve"> Sci U S A. 2010 Sep 28;107(39):16910-5. </w:t>
      </w:r>
      <w:proofErr w:type="spellStart"/>
      <w:r w:rsidRPr="00EB3838">
        <w:t>doi</w:t>
      </w:r>
      <w:proofErr w:type="spellEnd"/>
      <w:r w:rsidRPr="00EB3838">
        <w:t>: 10.1073/pnas.1009843107.</w:t>
      </w:r>
    </w:p>
    <w:p w14:paraId="3DA0EED7" w14:textId="77777777" w:rsidR="00EB3838" w:rsidRPr="00EB3838" w:rsidRDefault="00EB3838" w:rsidP="00EB3838">
      <w:bookmarkStart w:id="7" w:name="_Hlk220422082"/>
      <w:bookmarkEnd w:id="6"/>
      <w:r w:rsidRPr="00EB3838">
        <w:rPr>
          <w:b/>
          <w:bCs/>
        </w:rPr>
        <w:t xml:space="preserve">Wang </w:t>
      </w:r>
      <w:r w:rsidRPr="00EB3838">
        <w:t xml:space="preserve">K, Li M, </w:t>
      </w:r>
      <w:proofErr w:type="spellStart"/>
      <w:r w:rsidRPr="00EB3838">
        <w:t>Hakonarson</w:t>
      </w:r>
      <w:proofErr w:type="spellEnd"/>
      <w:r w:rsidRPr="00EB3838">
        <w:t xml:space="preserve"> H. ANNOVAR: functional annotation of genetic variants from high-throughput sequencing data. Nucleic Acids Res. 2010 Sep;38(16):e164. </w:t>
      </w:r>
      <w:proofErr w:type="spellStart"/>
      <w:r w:rsidRPr="00EB3838">
        <w:t>doi</w:t>
      </w:r>
      <w:proofErr w:type="spellEnd"/>
      <w:r w:rsidRPr="00EB3838">
        <w:t>: 10.1093/</w:t>
      </w:r>
      <w:proofErr w:type="spellStart"/>
      <w:r w:rsidRPr="00EB3838">
        <w:t>nar</w:t>
      </w:r>
      <w:proofErr w:type="spellEnd"/>
      <w:r w:rsidRPr="00EB3838">
        <w:t>/gkq603.</w:t>
      </w:r>
    </w:p>
    <w:bookmarkEnd w:id="7"/>
    <w:p w14:paraId="05AC8FA3" w14:textId="7619B39C" w:rsidR="004B3364" w:rsidRDefault="00EB3838" w:rsidP="00EB3838">
      <w:r w:rsidRPr="00EB3838">
        <w:rPr>
          <w:b/>
          <w:bCs/>
        </w:rPr>
        <w:lastRenderedPageBreak/>
        <w:t xml:space="preserve">Zhang </w:t>
      </w:r>
      <w:r w:rsidRPr="00EB3838">
        <w:t xml:space="preserve">F, Flickinger M, </w:t>
      </w:r>
      <w:proofErr w:type="spellStart"/>
      <w:r w:rsidRPr="00EB3838">
        <w:t>Taliun</w:t>
      </w:r>
      <w:proofErr w:type="spellEnd"/>
      <w:r w:rsidRPr="00EB3838">
        <w:t xml:space="preserve"> SAG; </w:t>
      </w:r>
      <w:proofErr w:type="spellStart"/>
      <w:r w:rsidRPr="00EB3838">
        <w:t>InPSYght</w:t>
      </w:r>
      <w:proofErr w:type="spellEnd"/>
      <w:r w:rsidRPr="00EB3838">
        <w:t xml:space="preserve"> Psychiatric Genetics Consortium; </w:t>
      </w:r>
      <w:proofErr w:type="spellStart"/>
      <w:r w:rsidRPr="00EB3838">
        <w:t>Abecasis</w:t>
      </w:r>
      <w:proofErr w:type="spellEnd"/>
      <w:r w:rsidRPr="00EB3838">
        <w:t xml:space="preserve"> GR, Scott LJ, </w:t>
      </w:r>
      <w:proofErr w:type="spellStart"/>
      <w:r w:rsidRPr="00EB3838">
        <w:t>McCaroll</w:t>
      </w:r>
      <w:proofErr w:type="spellEnd"/>
      <w:r w:rsidRPr="00EB3838">
        <w:t xml:space="preserve"> SA, </w:t>
      </w:r>
      <w:proofErr w:type="spellStart"/>
      <w:r w:rsidRPr="00EB3838">
        <w:t>Pato</w:t>
      </w:r>
      <w:proofErr w:type="spellEnd"/>
      <w:r w:rsidRPr="00EB3838">
        <w:t xml:space="preserve"> CN, </w:t>
      </w:r>
      <w:proofErr w:type="spellStart"/>
      <w:r w:rsidRPr="00EB3838">
        <w:t>Boehnke</w:t>
      </w:r>
      <w:proofErr w:type="spellEnd"/>
      <w:r w:rsidRPr="00EB3838">
        <w:t xml:space="preserve"> M, Kang HM. Ancestry-agnostic estimation of DNA sample contamination from sequence reads. Genome Res. 2020 Feb;30(2):185-194. </w:t>
      </w:r>
      <w:proofErr w:type="spellStart"/>
      <w:r w:rsidRPr="00EB3838">
        <w:t>doi</w:t>
      </w:r>
      <w:proofErr w:type="spellEnd"/>
      <w:r w:rsidRPr="00EB3838">
        <w:t xml:space="preserve">: 10.1101/gr.246934.118. </w:t>
      </w:r>
    </w:p>
    <w:p w14:paraId="530C7104" w14:textId="77777777" w:rsidR="004B3364" w:rsidRDefault="004B3364">
      <w:pPr>
        <w:spacing w:line="259" w:lineRule="auto"/>
        <w:jc w:val="left"/>
      </w:pPr>
      <w:r>
        <w:br w:type="page"/>
      </w:r>
    </w:p>
    <w:p w14:paraId="663062AE" w14:textId="3F028B71" w:rsidR="004B3364" w:rsidRPr="006277A3" w:rsidRDefault="004B3364" w:rsidP="004B3364">
      <w:pPr>
        <w:rPr>
          <w:color w:val="000000" w:themeColor="text1"/>
        </w:rPr>
      </w:pPr>
      <w:r>
        <w:rPr>
          <w:b/>
          <w:bCs/>
          <w:color w:val="000000" w:themeColor="text1"/>
        </w:rPr>
        <w:lastRenderedPageBreak/>
        <w:t>Table S</w:t>
      </w:r>
      <w:r w:rsidRPr="78C7B083">
        <w:rPr>
          <w:b/>
          <w:bCs/>
          <w:color w:val="000000" w:themeColor="text1"/>
        </w:rPr>
        <w:t>1. Clinical characteristics of the 33</w:t>
      </w:r>
      <w:r>
        <w:rPr>
          <w:b/>
          <w:bCs/>
          <w:color w:val="000000" w:themeColor="text1"/>
        </w:rPr>
        <w:t>5</w:t>
      </w:r>
      <w:r w:rsidRPr="78C7B083">
        <w:rPr>
          <w:b/>
          <w:bCs/>
          <w:color w:val="000000" w:themeColor="text1"/>
        </w:rPr>
        <w:t xml:space="preserve"> study patients.</w:t>
      </w:r>
    </w:p>
    <w:tbl>
      <w:tblPr>
        <w:tblStyle w:val="TableGrid"/>
        <w:tblW w:w="0" w:type="auto"/>
        <w:tblLook w:val="04A0" w:firstRow="1" w:lastRow="0" w:firstColumn="1" w:lastColumn="0" w:noHBand="0" w:noVBand="1"/>
      </w:tblPr>
      <w:tblGrid>
        <w:gridCol w:w="4810"/>
        <w:gridCol w:w="2011"/>
        <w:gridCol w:w="1069"/>
        <w:gridCol w:w="1069"/>
      </w:tblGrid>
      <w:tr w:rsidR="004B3364" w:rsidRPr="002A0823" w14:paraId="704E877E" w14:textId="77777777" w:rsidTr="00D14A33">
        <w:trPr>
          <w:trHeight w:val="309"/>
        </w:trPr>
        <w:tc>
          <w:tcPr>
            <w:tcW w:w="4810" w:type="dxa"/>
            <w:noWrap/>
            <w:vAlign w:val="center"/>
            <w:hideMark/>
          </w:tcPr>
          <w:p w14:paraId="69469F40" w14:textId="77777777" w:rsidR="004B3364" w:rsidRPr="002A0823" w:rsidRDefault="004B3364" w:rsidP="00D14A33">
            <w:pPr>
              <w:jc w:val="left"/>
              <w:rPr>
                <w:sz w:val="20"/>
                <w:szCs w:val="20"/>
              </w:rPr>
            </w:pPr>
          </w:p>
        </w:tc>
        <w:tc>
          <w:tcPr>
            <w:tcW w:w="2011" w:type="dxa"/>
            <w:noWrap/>
            <w:vAlign w:val="center"/>
            <w:hideMark/>
          </w:tcPr>
          <w:p w14:paraId="5558459F" w14:textId="77777777" w:rsidR="004B3364" w:rsidRPr="006277A3" w:rsidRDefault="004B3364" w:rsidP="00D14A33">
            <w:pPr>
              <w:jc w:val="left"/>
              <w:rPr>
                <w:b/>
                <w:bCs/>
                <w:sz w:val="20"/>
                <w:szCs w:val="20"/>
              </w:rPr>
            </w:pPr>
            <w:r w:rsidRPr="006277A3">
              <w:rPr>
                <w:b/>
                <w:bCs/>
                <w:sz w:val="20"/>
                <w:szCs w:val="20"/>
              </w:rPr>
              <w:t>Category</w:t>
            </w:r>
          </w:p>
        </w:tc>
        <w:tc>
          <w:tcPr>
            <w:tcW w:w="1069" w:type="dxa"/>
            <w:noWrap/>
            <w:vAlign w:val="center"/>
            <w:hideMark/>
          </w:tcPr>
          <w:p w14:paraId="3673C9C4" w14:textId="77777777" w:rsidR="004B3364" w:rsidRPr="006277A3" w:rsidRDefault="004B3364" w:rsidP="00D14A33">
            <w:pPr>
              <w:jc w:val="center"/>
              <w:rPr>
                <w:b/>
                <w:bCs/>
                <w:i/>
                <w:iCs/>
                <w:sz w:val="20"/>
                <w:szCs w:val="20"/>
              </w:rPr>
            </w:pPr>
            <w:r w:rsidRPr="006277A3">
              <w:rPr>
                <w:b/>
                <w:bCs/>
                <w:i/>
                <w:iCs/>
                <w:sz w:val="20"/>
                <w:szCs w:val="20"/>
              </w:rPr>
              <w:t>n</w:t>
            </w:r>
          </w:p>
        </w:tc>
        <w:tc>
          <w:tcPr>
            <w:tcW w:w="1069" w:type="dxa"/>
            <w:tcBorders>
              <w:bottom w:val="single" w:sz="4" w:space="0" w:color="auto"/>
            </w:tcBorders>
            <w:noWrap/>
            <w:vAlign w:val="center"/>
            <w:hideMark/>
          </w:tcPr>
          <w:p w14:paraId="1310385A" w14:textId="77777777" w:rsidR="004B3364" w:rsidRPr="006277A3" w:rsidRDefault="004B3364" w:rsidP="00D14A33">
            <w:pPr>
              <w:jc w:val="center"/>
              <w:rPr>
                <w:b/>
                <w:bCs/>
                <w:sz w:val="20"/>
                <w:szCs w:val="20"/>
              </w:rPr>
            </w:pPr>
            <w:r w:rsidRPr="006277A3">
              <w:rPr>
                <w:b/>
                <w:bCs/>
                <w:sz w:val="20"/>
                <w:szCs w:val="20"/>
              </w:rPr>
              <w:t>%</w:t>
            </w:r>
          </w:p>
        </w:tc>
      </w:tr>
      <w:tr w:rsidR="004B3364" w:rsidRPr="002A0823" w14:paraId="33AC4BC9" w14:textId="77777777" w:rsidTr="00D14A33">
        <w:trPr>
          <w:trHeight w:val="309"/>
        </w:trPr>
        <w:tc>
          <w:tcPr>
            <w:tcW w:w="4810" w:type="dxa"/>
            <w:vMerge w:val="restart"/>
            <w:noWrap/>
            <w:vAlign w:val="center"/>
            <w:hideMark/>
          </w:tcPr>
          <w:p w14:paraId="0FB0F2D3" w14:textId="77777777" w:rsidR="004B3364" w:rsidRPr="002A0823" w:rsidRDefault="004B3364" w:rsidP="00D14A33">
            <w:pPr>
              <w:jc w:val="left"/>
              <w:rPr>
                <w:b/>
                <w:bCs/>
                <w:sz w:val="20"/>
                <w:szCs w:val="20"/>
              </w:rPr>
            </w:pPr>
            <w:r w:rsidRPr="002A0823">
              <w:rPr>
                <w:b/>
                <w:bCs/>
                <w:sz w:val="20"/>
                <w:szCs w:val="20"/>
              </w:rPr>
              <w:t>Diagnosis year</w:t>
            </w:r>
          </w:p>
        </w:tc>
        <w:tc>
          <w:tcPr>
            <w:tcW w:w="2011" w:type="dxa"/>
            <w:noWrap/>
            <w:vAlign w:val="center"/>
            <w:hideMark/>
          </w:tcPr>
          <w:p w14:paraId="12603A7C" w14:textId="77777777" w:rsidR="004B3364" w:rsidRPr="002A0823" w:rsidRDefault="004B3364" w:rsidP="00D14A33">
            <w:pPr>
              <w:jc w:val="left"/>
              <w:rPr>
                <w:sz w:val="20"/>
                <w:szCs w:val="20"/>
              </w:rPr>
            </w:pPr>
            <w:r w:rsidRPr="002A0823">
              <w:rPr>
                <w:sz w:val="20"/>
                <w:szCs w:val="20"/>
              </w:rPr>
              <w:t>2009-2014</w:t>
            </w:r>
          </w:p>
        </w:tc>
        <w:tc>
          <w:tcPr>
            <w:tcW w:w="1069" w:type="dxa"/>
            <w:tcBorders>
              <w:right w:val="single" w:sz="4" w:space="0" w:color="auto"/>
            </w:tcBorders>
            <w:noWrap/>
            <w:vAlign w:val="center"/>
            <w:hideMark/>
          </w:tcPr>
          <w:p w14:paraId="10B05282" w14:textId="77777777" w:rsidR="004B3364" w:rsidRPr="002F12AD" w:rsidRDefault="004B3364" w:rsidP="00D14A33">
            <w:pPr>
              <w:jc w:val="center"/>
              <w:rPr>
                <w:sz w:val="20"/>
                <w:szCs w:val="20"/>
              </w:rPr>
            </w:pPr>
            <w:r w:rsidRPr="002F12AD">
              <w:t>40</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A0630" w14:textId="77777777" w:rsidR="004B3364" w:rsidRPr="002F12AD" w:rsidRDefault="004B3364" w:rsidP="00D14A33">
            <w:pPr>
              <w:jc w:val="center"/>
              <w:rPr>
                <w:sz w:val="20"/>
                <w:szCs w:val="20"/>
              </w:rPr>
            </w:pPr>
            <w:r w:rsidRPr="002F12AD">
              <w:rPr>
                <w:color w:val="000000"/>
                <w:sz w:val="22"/>
                <w:szCs w:val="22"/>
              </w:rPr>
              <w:t>11.9 %</w:t>
            </w:r>
          </w:p>
        </w:tc>
      </w:tr>
      <w:tr w:rsidR="004B3364" w:rsidRPr="002A0823" w14:paraId="7DC9AD9F" w14:textId="77777777" w:rsidTr="00D14A33">
        <w:trPr>
          <w:trHeight w:val="309"/>
        </w:trPr>
        <w:tc>
          <w:tcPr>
            <w:tcW w:w="4810" w:type="dxa"/>
            <w:vMerge/>
            <w:noWrap/>
            <w:vAlign w:val="center"/>
            <w:hideMark/>
          </w:tcPr>
          <w:p w14:paraId="73E42A85" w14:textId="77777777" w:rsidR="004B3364" w:rsidRPr="002A0823" w:rsidRDefault="004B3364" w:rsidP="00D14A33">
            <w:pPr>
              <w:jc w:val="left"/>
              <w:rPr>
                <w:b/>
                <w:bCs/>
                <w:sz w:val="20"/>
                <w:szCs w:val="20"/>
              </w:rPr>
            </w:pPr>
          </w:p>
        </w:tc>
        <w:tc>
          <w:tcPr>
            <w:tcW w:w="2011" w:type="dxa"/>
            <w:noWrap/>
            <w:vAlign w:val="center"/>
            <w:hideMark/>
          </w:tcPr>
          <w:p w14:paraId="13401B9E" w14:textId="77777777" w:rsidR="004B3364" w:rsidRPr="002A0823" w:rsidRDefault="004B3364" w:rsidP="00D14A33">
            <w:pPr>
              <w:jc w:val="left"/>
              <w:rPr>
                <w:sz w:val="20"/>
                <w:szCs w:val="20"/>
              </w:rPr>
            </w:pPr>
            <w:r w:rsidRPr="002A0823">
              <w:rPr>
                <w:sz w:val="20"/>
                <w:szCs w:val="20"/>
              </w:rPr>
              <w:t>2015-2019</w:t>
            </w:r>
          </w:p>
        </w:tc>
        <w:tc>
          <w:tcPr>
            <w:tcW w:w="1069" w:type="dxa"/>
            <w:tcBorders>
              <w:right w:val="single" w:sz="4" w:space="0" w:color="auto"/>
            </w:tcBorders>
            <w:noWrap/>
            <w:vAlign w:val="center"/>
            <w:hideMark/>
          </w:tcPr>
          <w:p w14:paraId="1D703413" w14:textId="77777777" w:rsidR="004B3364" w:rsidRPr="002F12AD" w:rsidRDefault="004B3364" w:rsidP="00D14A33">
            <w:pPr>
              <w:jc w:val="center"/>
              <w:rPr>
                <w:sz w:val="20"/>
                <w:szCs w:val="20"/>
              </w:rPr>
            </w:pPr>
            <w:r w:rsidRPr="002F12AD">
              <w:t>141</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A6ECD" w14:textId="77777777" w:rsidR="004B3364" w:rsidRPr="002F12AD" w:rsidRDefault="004B3364" w:rsidP="00D14A33">
            <w:pPr>
              <w:jc w:val="center"/>
              <w:rPr>
                <w:sz w:val="20"/>
                <w:szCs w:val="20"/>
              </w:rPr>
            </w:pPr>
            <w:r w:rsidRPr="002F12AD">
              <w:rPr>
                <w:color w:val="000000"/>
                <w:sz w:val="22"/>
                <w:szCs w:val="22"/>
              </w:rPr>
              <w:t>42.1 %</w:t>
            </w:r>
          </w:p>
        </w:tc>
      </w:tr>
      <w:tr w:rsidR="004B3364" w:rsidRPr="002A0823" w14:paraId="2845360C" w14:textId="77777777" w:rsidTr="00D14A33">
        <w:trPr>
          <w:trHeight w:val="309"/>
        </w:trPr>
        <w:tc>
          <w:tcPr>
            <w:tcW w:w="4810" w:type="dxa"/>
            <w:vMerge/>
            <w:noWrap/>
            <w:vAlign w:val="center"/>
            <w:hideMark/>
          </w:tcPr>
          <w:p w14:paraId="3D16B668" w14:textId="77777777" w:rsidR="004B3364" w:rsidRPr="002A0823" w:rsidRDefault="004B3364" w:rsidP="00D14A33">
            <w:pPr>
              <w:jc w:val="left"/>
              <w:rPr>
                <w:b/>
                <w:bCs/>
                <w:sz w:val="20"/>
                <w:szCs w:val="20"/>
              </w:rPr>
            </w:pPr>
          </w:p>
        </w:tc>
        <w:tc>
          <w:tcPr>
            <w:tcW w:w="2011" w:type="dxa"/>
            <w:noWrap/>
            <w:vAlign w:val="center"/>
            <w:hideMark/>
          </w:tcPr>
          <w:p w14:paraId="2B60812F" w14:textId="77777777" w:rsidR="004B3364" w:rsidRPr="002A0823" w:rsidRDefault="004B3364" w:rsidP="00D14A33">
            <w:pPr>
              <w:jc w:val="left"/>
              <w:rPr>
                <w:sz w:val="20"/>
                <w:szCs w:val="20"/>
              </w:rPr>
            </w:pPr>
            <w:r w:rsidRPr="002A0823">
              <w:rPr>
                <w:sz w:val="20"/>
                <w:szCs w:val="20"/>
              </w:rPr>
              <w:t>2020-2024</w:t>
            </w:r>
          </w:p>
        </w:tc>
        <w:tc>
          <w:tcPr>
            <w:tcW w:w="1069" w:type="dxa"/>
            <w:tcBorders>
              <w:right w:val="single" w:sz="4" w:space="0" w:color="auto"/>
            </w:tcBorders>
            <w:noWrap/>
            <w:vAlign w:val="center"/>
            <w:hideMark/>
          </w:tcPr>
          <w:p w14:paraId="3048B3E7" w14:textId="77777777" w:rsidR="004B3364" w:rsidRPr="002F12AD" w:rsidRDefault="004B3364" w:rsidP="00D14A33">
            <w:pPr>
              <w:jc w:val="center"/>
              <w:rPr>
                <w:sz w:val="20"/>
                <w:szCs w:val="20"/>
              </w:rPr>
            </w:pPr>
            <w:r w:rsidRPr="002F12AD">
              <w:t>154</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A77DC" w14:textId="77777777" w:rsidR="004B3364" w:rsidRPr="002F12AD" w:rsidRDefault="004B3364" w:rsidP="00D14A33">
            <w:pPr>
              <w:jc w:val="center"/>
              <w:rPr>
                <w:sz w:val="20"/>
                <w:szCs w:val="20"/>
              </w:rPr>
            </w:pPr>
            <w:r w:rsidRPr="002F12AD">
              <w:rPr>
                <w:color w:val="000000"/>
                <w:sz w:val="22"/>
                <w:szCs w:val="22"/>
              </w:rPr>
              <w:t>46</w:t>
            </w:r>
            <w:r>
              <w:rPr>
                <w:color w:val="000000"/>
                <w:sz w:val="22"/>
                <w:szCs w:val="22"/>
              </w:rPr>
              <w:t>.0</w:t>
            </w:r>
            <w:r w:rsidRPr="002F12AD">
              <w:rPr>
                <w:color w:val="000000"/>
                <w:sz w:val="22"/>
                <w:szCs w:val="22"/>
              </w:rPr>
              <w:t xml:space="preserve"> %</w:t>
            </w:r>
          </w:p>
        </w:tc>
      </w:tr>
      <w:tr w:rsidR="004B3364" w:rsidRPr="002A0823" w14:paraId="6F002203" w14:textId="77777777" w:rsidTr="00D14A33">
        <w:trPr>
          <w:trHeight w:val="309"/>
        </w:trPr>
        <w:tc>
          <w:tcPr>
            <w:tcW w:w="4810" w:type="dxa"/>
            <w:vMerge w:val="restart"/>
            <w:noWrap/>
            <w:vAlign w:val="center"/>
            <w:hideMark/>
          </w:tcPr>
          <w:p w14:paraId="02373F68" w14:textId="77777777" w:rsidR="004B3364" w:rsidRPr="002A0823" w:rsidRDefault="004B3364" w:rsidP="00D14A33">
            <w:pPr>
              <w:jc w:val="left"/>
              <w:rPr>
                <w:b/>
                <w:bCs/>
                <w:sz w:val="20"/>
                <w:szCs w:val="20"/>
              </w:rPr>
            </w:pPr>
            <w:r w:rsidRPr="002A0823">
              <w:rPr>
                <w:b/>
                <w:bCs/>
                <w:sz w:val="20"/>
                <w:szCs w:val="20"/>
              </w:rPr>
              <w:t>Age at diagnosis</w:t>
            </w:r>
          </w:p>
        </w:tc>
        <w:tc>
          <w:tcPr>
            <w:tcW w:w="2011" w:type="dxa"/>
            <w:noWrap/>
            <w:vAlign w:val="center"/>
            <w:hideMark/>
          </w:tcPr>
          <w:p w14:paraId="1C88327B" w14:textId="77777777" w:rsidR="004B3364" w:rsidRPr="002A0823" w:rsidRDefault="004B3364" w:rsidP="00D14A33">
            <w:pPr>
              <w:jc w:val="left"/>
              <w:rPr>
                <w:sz w:val="20"/>
                <w:szCs w:val="20"/>
              </w:rPr>
            </w:pPr>
            <w:r w:rsidRPr="002A0823">
              <w:rPr>
                <w:sz w:val="20"/>
                <w:szCs w:val="20"/>
              </w:rPr>
              <w:t>35-59</w:t>
            </w:r>
          </w:p>
        </w:tc>
        <w:tc>
          <w:tcPr>
            <w:tcW w:w="1069" w:type="dxa"/>
            <w:tcBorders>
              <w:right w:val="single" w:sz="4" w:space="0" w:color="auto"/>
            </w:tcBorders>
            <w:noWrap/>
            <w:vAlign w:val="center"/>
            <w:hideMark/>
          </w:tcPr>
          <w:p w14:paraId="300546EB" w14:textId="77777777" w:rsidR="004B3364" w:rsidRPr="002F12AD" w:rsidRDefault="004B3364" w:rsidP="00D14A33">
            <w:pPr>
              <w:jc w:val="center"/>
              <w:rPr>
                <w:sz w:val="20"/>
                <w:szCs w:val="20"/>
              </w:rPr>
            </w:pPr>
            <w:r w:rsidRPr="002F12AD">
              <w:t>47</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E729F" w14:textId="77777777" w:rsidR="004B3364" w:rsidRPr="002F12AD" w:rsidRDefault="004B3364" w:rsidP="00D14A33">
            <w:pPr>
              <w:jc w:val="center"/>
              <w:rPr>
                <w:sz w:val="20"/>
                <w:szCs w:val="20"/>
              </w:rPr>
            </w:pPr>
            <w:r w:rsidRPr="002F12AD">
              <w:rPr>
                <w:color w:val="000000"/>
                <w:sz w:val="22"/>
                <w:szCs w:val="22"/>
              </w:rPr>
              <w:t>14</w:t>
            </w:r>
            <w:r>
              <w:rPr>
                <w:color w:val="000000"/>
                <w:sz w:val="22"/>
                <w:szCs w:val="22"/>
              </w:rPr>
              <w:t>.0</w:t>
            </w:r>
            <w:r w:rsidRPr="002F12AD">
              <w:rPr>
                <w:color w:val="000000"/>
                <w:sz w:val="22"/>
                <w:szCs w:val="22"/>
              </w:rPr>
              <w:t xml:space="preserve"> %</w:t>
            </w:r>
          </w:p>
        </w:tc>
      </w:tr>
      <w:tr w:rsidR="004B3364" w:rsidRPr="002A0823" w14:paraId="178BF4AB" w14:textId="77777777" w:rsidTr="00D14A33">
        <w:trPr>
          <w:trHeight w:val="309"/>
        </w:trPr>
        <w:tc>
          <w:tcPr>
            <w:tcW w:w="4810" w:type="dxa"/>
            <w:vMerge/>
            <w:noWrap/>
            <w:vAlign w:val="center"/>
            <w:hideMark/>
          </w:tcPr>
          <w:p w14:paraId="7325CEA3" w14:textId="77777777" w:rsidR="004B3364" w:rsidRPr="002A0823" w:rsidRDefault="004B3364" w:rsidP="00D14A33">
            <w:pPr>
              <w:jc w:val="left"/>
              <w:rPr>
                <w:b/>
                <w:bCs/>
                <w:sz w:val="20"/>
                <w:szCs w:val="20"/>
              </w:rPr>
            </w:pPr>
          </w:p>
        </w:tc>
        <w:tc>
          <w:tcPr>
            <w:tcW w:w="2011" w:type="dxa"/>
            <w:noWrap/>
            <w:vAlign w:val="center"/>
            <w:hideMark/>
          </w:tcPr>
          <w:p w14:paraId="0C7545AB" w14:textId="77777777" w:rsidR="004B3364" w:rsidRPr="002A0823" w:rsidRDefault="004B3364" w:rsidP="00D14A33">
            <w:pPr>
              <w:jc w:val="left"/>
              <w:rPr>
                <w:sz w:val="20"/>
                <w:szCs w:val="20"/>
              </w:rPr>
            </w:pPr>
            <w:r w:rsidRPr="002A0823">
              <w:rPr>
                <w:sz w:val="20"/>
                <w:szCs w:val="20"/>
              </w:rPr>
              <w:t>60-69</w:t>
            </w:r>
          </w:p>
        </w:tc>
        <w:tc>
          <w:tcPr>
            <w:tcW w:w="1069" w:type="dxa"/>
            <w:tcBorders>
              <w:right w:val="single" w:sz="4" w:space="0" w:color="auto"/>
            </w:tcBorders>
            <w:noWrap/>
            <w:vAlign w:val="center"/>
            <w:hideMark/>
          </w:tcPr>
          <w:p w14:paraId="09FE6DBE" w14:textId="77777777" w:rsidR="004B3364" w:rsidRPr="002F12AD" w:rsidRDefault="004B3364" w:rsidP="00D14A33">
            <w:pPr>
              <w:jc w:val="center"/>
              <w:rPr>
                <w:sz w:val="20"/>
                <w:szCs w:val="20"/>
              </w:rPr>
            </w:pPr>
            <w:r w:rsidRPr="002F12AD">
              <w:t>117</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4C37B" w14:textId="77777777" w:rsidR="004B3364" w:rsidRPr="002F12AD" w:rsidRDefault="004B3364" w:rsidP="00D14A33">
            <w:pPr>
              <w:jc w:val="center"/>
              <w:rPr>
                <w:sz w:val="20"/>
                <w:szCs w:val="20"/>
              </w:rPr>
            </w:pPr>
            <w:r w:rsidRPr="002F12AD">
              <w:rPr>
                <w:color w:val="000000"/>
                <w:sz w:val="22"/>
                <w:szCs w:val="22"/>
              </w:rPr>
              <w:t>34.9 %</w:t>
            </w:r>
          </w:p>
        </w:tc>
      </w:tr>
      <w:tr w:rsidR="004B3364" w:rsidRPr="002A0823" w14:paraId="1F7DC38A" w14:textId="77777777" w:rsidTr="00D14A33">
        <w:trPr>
          <w:trHeight w:val="309"/>
        </w:trPr>
        <w:tc>
          <w:tcPr>
            <w:tcW w:w="4810" w:type="dxa"/>
            <w:vMerge/>
            <w:noWrap/>
            <w:vAlign w:val="center"/>
            <w:hideMark/>
          </w:tcPr>
          <w:p w14:paraId="6F35F353" w14:textId="77777777" w:rsidR="004B3364" w:rsidRPr="002A0823" w:rsidRDefault="004B3364" w:rsidP="00D14A33">
            <w:pPr>
              <w:jc w:val="left"/>
              <w:rPr>
                <w:b/>
                <w:bCs/>
                <w:sz w:val="20"/>
                <w:szCs w:val="20"/>
              </w:rPr>
            </w:pPr>
          </w:p>
        </w:tc>
        <w:tc>
          <w:tcPr>
            <w:tcW w:w="2011" w:type="dxa"/>
            <w:noWrap/>
            <w:vAlign w:val="center"/>
            <w:hideMark/>
          </w:tcPr>
          <w:p w14:paraId="03C4AD22" w14:textId="77777777" w:rsidR="004B3364" w:rsidRPr="002A0823" w:rsidRDefault="004B3364" w:rsidP="00D14A33">
            <w:pPr>
              <w:jc w:val="left"/>
              <w:rPr>
                <w:sz w:val="20"/>
                <w:szCs w:val="20"/>
              </w:rPr>
            </w:pPr>
            <w:r w:rsidRPr="002A0823">
              <w:rPr>
                <w:sz w:val="20"/>
                <w:szCs w:val="20"/>
              </w:rPr>
              <w:t>70-79</w:t>
            </w:r>
          </w:p>
        </w:tc>
        <w:tc>
          <w:tcPr>
            <w:tcW w:w="1069" w:type="dxa"/>
            <w:tcBorders>
              <w:right w:val="single" w:sz="4" w:space="0" w:color="auto"/>
            </w:tcBorders>
            <w:noWrap/>
            <w:vAlign w:val="center"/>
            <w:hideMark/>
          </w:tcPr>
          <w:p w14:paraId="2B32917F" w14:textId="77777777" w:rsidR="004B3364" w:rsidRPr="002F12AD" w:rsidRDefault="004B3364" w:rsidP="00D14A33">
            <w:pPr>
              <w:jc w:val="center"/>
              <w:rPr>
                <w:sz w:val="20"/>
                <w:szCs w:val="20"/>
              </w:rPr>
            </w:pPr>
            <w:r w:rsidRPr="002F12AD">
              <w:t>145</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8C0E" w14:textId="77777777" w:rsidR="004B3364" w:rsidRPr="002F12AD" w:rsidRDefault="004B3364" w:rsidP="00D14A33">
            <w:pPr>
              <w:jc w:val="center"/>
              <w:rPr>
                <w:sz w:val="20"/>
                <w:szCs w:val="20"/>
              </w:rPr>
            </w:pPr>
            <w:r w:rsidRPr="002F12AD">
              <w:rPr>
                <w:color w:val="000000"/>
                <w:sz w:val="22"/>
                <w:szCs w:val="22"/>
              </w:rPr>
              <w:t>43.3 %</w:t>
            </w:r>
          </w:p>
        </w:tc>
      </w:tr>
      <w:tr w:rsidR="004B3364" w:rsidRPr="002A0823" w14:paraId="3E28D8B6" w14:textId="77777777" w:rsidTr="00D14A33">
        <w:trPr>
          <w:trHeight w:val="309"/>
        </w:trPr>
        <w:tc>
          <w:tcPr>
            <w:tcW w:w="4810" w:type="dxa"/>
            <w:vMerge/>
            <w:noWrap/>
            <w:vAlign w:val="center"/>
            <w:hideMark/>
          </w:tcPr>
          <w:p w14:paraId="36C33F6E" w14:textId="77777777" w:rsidR="004B3364" w:rsidRPr="002A0823" w:rsidRDefault="004B3364" w:rsidP="00D14A33">
            <w:pPr>
              <w:jc w:val="left"/>
              <w:rPr>
                <w:b/>
                <w:bCs/>
                <w:sz w:val="20"/>
                <w:szCs w:val="20"/>
              </w:rPr>
            </w:pPr>
          </w:p>
        </w:tc>
        <w:tc>
          <w:tcPr>
            <w:tcW w:w="2011" w:type="dxa"/>
            <w:noWrap/>
            <w:vAlign w:val="center"/>
            <w:hideMark/>
          </w:tcPr>
          <w:p w14:paraId="7B651E92" w14:textId="77777777" w:rsidR="004B3364" w:rsidRPr="002A0823" w:rsidRDefault="004B3364" w:rsidP="00D14A33">
            <w:pPr>
              <w:jc w:val="left"/>
              <w:rPr>
                <w:sz w:val="20"/>
                <w:szCs w:val="20"/>
              </w:rPr>
            </w:pPr>
            <w:r w:rsidRPr="002A0823">
              <w:rPr>
                <w:sz w:val="20"/>
                <w:szCs w:val="20"/>
              </w:rPr>
              <w:t>80-89</w:t>
            </w:r>
          </w:p>
        </w:tc>
        <w:tc>
          <w:tcPr>
            <w:tcW w:w="1069" w:type="dxa"/>
            <w:tcBorders>
              <w:right w:val="single" w:sz="4" w:space="0" w:color="auto"/>
            </w:tcBorders>
            <w:noWrap/>
            <w:vAlign w:val="center"/>
            <w:hideMark/>
          </w:tcPr>
          <w:p w14:paraId="7152CF68" w14:textId="77777777" w:rsidR="004B3364" w:rsidRPr="002F12AD" w:rsidRDefault="004B3364" w:rsidP="00D14A33">
            <w:pPr>
              <w:jc w:val="center"/>
              <w:rPr>
                <w:sz w:val="20"/>
                <w:szCs w:val="20"/>
              </w:rPr>
            </w:pPr>
            <w:r w:rsidRPr="002F12AD">
              <w:t>26</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B91A" w14:textId="77777777" w:rsidR="004B3364" w:rsidRPr="002F12AD" w:rsidRDefault="004B3364" w:rsidP="00D14A33">
            <w:pPr>
              <w:jc w:val="center"/>
              <w:rPr>
                <w:sz w:val="20"/>
                <w:szCs w:val="20"/>
              </w:rPr>
            </w:pPr>
            <w:r w:rsidRPr="002F12AD">
              <w:rPr>
                <w:color w:val="000000"/>
                <w:sz w:val="22"/>
                <w:szCs w:val="22"/>
              </w:rPr>
              <w:t>7.8 %</w:t>
            </w:r>
          </w:p>
        </w:tc>
      </w:tr>
      <w:tr w:rsidR="004B3364" w:rsidRPr="002A0823" w14:paraId="7C498B03" w14:textId="77777777" w:rsidTr="00D14A33">
        <w:trPr>
          <w:trHeight w:val="309"/>
        </w:trPr>
        <w:tc>
          <w:tcPr>
            <w:tcW w:w="4810" w:type="dxa"/>
            <w:vMerge w:val="restart"/>
            <w:noWrap/>
            <w:vAlign w:val="center"/>
            <w:hideMark/>
          </w:tcPr>
          <w:p w14:paraId="400E95C9" w14:textId="77777777" w:rsidR="004B3364" w:rsidRPr="002A0823" w:rsidRDefault="004B3364" w:rsidP="00D14A33">
            <w:pPr>
              <w:jc w:val="left"/>
              <w:rPr>
                <w:b/>
                <w:bCs/>
                <w:sz w:val="20"/>
                <w:szCs w:val="20"/>
              </w:rPr>
            </w:pPr>
            <w:r w:rsidRPr="002A0823">
              <w:rPr>
                <w:b/>
                <w:bCs/>
                <w:sz w:val="20"/>
                <w:szCs w:val="20"/>
              </w:rPr>
              <w:t>Stage (FIGO 20141)</w:t>
            </w:r>
          </w:p>
        </w:tc>
        <w:tc>
          <w:tcPr>
            <w:tcW w:w="2011" w:type="dxa"/>
            <w:noWrap/>
            <w:vAlign w:val="center"/>
            <w:hideMark/>
          </w:tcPr>
          <w:p w14:paraId="0A95076E" w14:textId="77777777" w:rsidR="004B3364" w:rsidRPr="002A0823" w:rsidRDefault="004B3364" w:rsidP="00D14A33">
            <w:pPr>
              <w:jc w:val="left"/>
              <w:rPr>
                <w:sz w:val="20"/>
                <w:szCs w:val="20"/>
              </w:rPr>
            </w:pPr>
            <w:r w:rsidRPr="002A0823">
              <w:rPr>
                <w:sz w:val="20"/>
                <w:szCs w:val="20"/>
              </w:rPr>
              <w:t>IA-IIIB</w:t>
            </w:r>
          </w:p>
        </w:tc>
        <w:tc>
          <w:tcPr>
            <w:tcW w:w="1069" w:type="dxa"/>
            <w:tcBorders>
              <w:right w:val="single" w:sz="4" w:space="0" w:color="auto"/>
            </w:tcBorders>
            <w:noWrap/>
            <w:vAlign w:val="center"/>
            <w:hideMark/>
          </w:tcPr>
          <w:p w14:paraId="124ABE69" w14:textId="77777777" w:rsidR="004B3364" w:rsidRPr="002F12AD" w:rsidRDefault="004B3364" w:rsidP="00D14A33">
            <w:pPr>
              <w:jc w:val="center"/>
              <w:rPr>
                <w:sz w:val="20"/>
                <w:szCs w:val="20"/>
              </w:rPr>
            </w:pPr>
            <w:r w:rsidRPr="002F12AD">
              <w:t>34</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78581" w14:textId="77777777" w:rsidR="004B3364" w:rsidRPr="002F12AD" w:rsidRDefault="004B3364" w:rsidP="00D14A33">
            <w:pPr>
              <w:jc w:val="center"/>
              <w:rPr>
                <w:sz w:val="20"/>
                <w:szCs w:val="20"/>
              </w:rPr>
            </w:pPr>
            <w:r w:rsidRPr="002F12AD">
              <w:rPr>
                <w:color w:val="000000"/>
                <w:sz w:val="22"/>
                <w:szCs w:val="22"/>
              </w:rPr>
              <w:t>10.1 %</w:t>
            </w:r>
          </w:p>
        </w:tc>
      </w:tr>
      <w:tr w:rsidR="004B3364" w:rsidRPr="002A0823" w14:paraId="1F2525B9" w14:textId="77777777" w:rsidTr="00D14A33">
        <w:trPr>
          <w:trHeight w:val="309"/>
        </w:trPr>
        <w:tc>
          <w:tcPr>
            <w:tcW w:w="4810" w:type="dxa"/>
            <w:vMerge/>
            <w:noWrap/>
            <w:vAlign w:val="center"/>
            <w:hideMark/>
          </w:tcPr>
          <w:p w14:paraId="2C66FA89" w14:textId="77777777" w:rsidR="004B3364" w:rsidRPr="002A0823" w:rsidRDefault="004B3364" w:rsidP="00D14A33">
            <w:pPr>
              <w:jc w:val="left"/>
              <w:rPr>
                <w:b/>
                <w:bCs/>
                <w:sz w:val="20"/>
                <w:szCs w:val="20"/>
              </w:rPr>
            </w:pPr>
          </w:p>
        </w:tc>
        <w:tc>
          <w:tcPr>
            <w:tcW w:w="2011" w:type="dxa"/>
            <w:noWrap/>
            <w:vAlign w:val="center"/>
            <w:hideMark/>
          </w:tcPr>
          <w:p w14:paraId="05A62AC5" w14:textId="77777777" w:rsidR="004B3364" w:rsidRPr="002A0823" w:rsidRDefault="004B3364" w:rsidP="00D14A33">
            <w:pPr>
              <w:jc w:val="left"/>
              <w:rPr>
                <w:sz w:val="20"/>
                <w:szCs w:val="20"/>
              </w:rPr>
            </w:pPr>
            <w:r w:rsidRPr="002A0823">
              <w:rPr>
                <w:sz w:val="20"/>
                <w:szCs w:val="20"/>
              </w:rPr>
              <w:t>IIIC</w:t>
            </w:r>
          </w:p>
        </w:tc>
        <w:tc>
          <w:tcPr>
            <w:tcW w:w="1069" w:type="dxa"/>
            <w:tcBorders>
              <w:right w:val="single" w:sz="4" w:space="0" w:color="auto"/>
            </w:tcBorders>
            <w:noWrap/>
            <w:vAlign w:val="center"/>
            <w:hideMark/>
          </w:tcPr>
          <w:p w14:paraId="52C3889A" w14:textId="77777777" w:rsidR="004B3364" w:rsidRPr="002F12AD" w:rsidRDefault="004B3364" w:rsidP="00D14A33">
            <w:pPr>
              <w:jc w:val="center"/>
              <w:rPr>
                <w:sz w:val="20"/>
                <w:szCs w:val="20"/>
              </w:rPr>
            </w:pPr>
            <w:r w:rsidRPr="002F12AD">
              <w:t>203</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C6F43" w14:textId="77777777" w:rsidR="004B3364" w:rsidRPr="002F12AD" w:rsidRDefault="004B3364" w:rsidP="00D14A33">
            <w:pPr>
              <w:jc w:val="center"/>
              <w:rPr>
                <w:sz w:val="20"/>
                <w:szCs w:val="20"/>
              </w:rPr>
            </w:pPr>
            <w:r w:rsidRPr="002F12AD">
              <w:rPr>
                <w:color w:val="000000"/>
                <w:sz w:val="22"/>
                <w:szCs w:val="22"/>
              </w:rPr>
              <w:t>60.6 %</w:t>
            </w:r>
          </w:p>
        </w:tc>
      </w:tr>
      <w:tr w:rsidR="004B3364" w:rsidRPr="002A0823" w14:paraId="5189CD43" w14:textId="77777777" w:rsidTr="00D14A33">
        <w:trPr>
          <w:trHeight w:val="309"/>
        </w:trPr>
        <w:tc>
          <w:tcPr>
            <w:tcW w:w="4810" w:type="dxa"/>
            <w:vMerge/>
            <w:noWrap/>
            <w:vAlign w:val="center"/>
            <w:hideMark/>
          </w:tcPr>
          <w:p w14:paraId="6F24EF83" w14:textId="77777777" w:rsidR="004B3364" w:rsidRPr="002A0823" w:rsidRDefault="004B3364" w:rsidP="00D14A33">
            <w:pPr>
              <w:jc w:val="left"/>
              <w:rPr>
                <w:b/>
                <w:bCs/>
                <w:sz w:val="20"/>
                <w:szCs w:val="20"/>
              </w:rPr>
            </w:pPr>
          </w:p>
        </w:tc>
        <w:tc>
          <w:tcPr>
            <w:tcW w:w="2011" w:type="dxa"/>
            <w:noWrap/>
            <w:vAlign w:val="center"/>
            <w:hideMark/>
          </w:tcPr>
          <w:p w14:paraId="77057577" w14:textId="77777777" w:rsidR="004B3364" w:rsidRPr="002A0823" w:rsidRDefault="004B3364" w:rsidP="00D14A33">
            <w:pPr>
              <w:jc w:val="left"/>
              <w:rPr>
                <w:sz w:val="20"/>
                <w:szCs w:val="20"/>
              </w:rPr>
            </w:pPr>
            <w:r w:rsidRPr="002A0823">
              <w:rPr>
                <w:sz w:val="20"/>
                <w:szCs w:val="20"/>
              </w:rPr>
              <w:t>IVA-B</w:t>
            </w:r>
          </w:p>
        </w:tc>
        <w:tc>
          <w:tcPr>
            <w:tcW w:w="1069" w:type="dxa"/>
            <w:tcBorders>
              <w:right w:val="single" w:sz="4" w:space="0" w:color="auto"/>
            </w:tcBorders>
            <w:noWrap/>
            <w:vAlign w:val="center"/>
            <w:hideMark/>
          </w:tcPr>
          <w:p w14:paraId="27784041" w14:textId="77777777" w:rsidR="004B3364" w:rsidRPr="002F12AD" w:rsidRDefault="004B3364" w:rsidP="00D14A33">
            <w:pPr>
              <w:jc w:val="center"/>
              <w:rPr>
                <w:sz w:val="20"/>
                <w:szCs w:val="20"/>
              </w:rPr>
            </w:pPr>
            <w:r w:rsidRPr="002F12AD">
              <w:t>98</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5D85A" w14:textId="77777777" w:rsidR="004B3364" w:rsidRPr="002F12AD" w:rsidRDefault="004B3364" w:rsidP="00D14A33">
            <w:pPr>
              <w:jc w:val="center"/>
              <w:rPr>
                <w:sz w:val="20"/>
                <w:szCs w:val="20"/>
              </w:rPr>
            </w:pPr>
            <w:r w:rsidRPr="002F12AD">
              <w:rPr>
                <w:color w:val="000000"/>
                <w:sz w:val="22"/>
                <w:szCs w:val="22"/>
              </w:rPr>
              <w:t>29.3 %</w:t>
            </w:r>
          </w:p>
        </w:tc>
      </w:tr>
      <w:tr w:rsidR="004B3364" w:rsidRPr="002A0823" w14:paraId="68F0546D" w14:textId="77777777" w:rsidTr="00D14A33">
        <w:trPr>
          <w:trHeight w:val="309"/>
        </w:trPr>
        <w:tc>
          <w:tcPr>
            <w:tcW w:w="4810" w:type="dxa"/>
            <w:vMerge w:val="restart"/>
            <w:noWrap/>
            <w:vAlign w:val="center"/>
            <w:hideMark/>
          </w:tcPr>
          <w:p w14:paraId="2E9451A4" w14:textId="77777777" w:rsidR="004B3364" w:rsidRPr="002A0823" w:rsidRDefault="004B3364" w:rsidP="00D14A33">
            <w:pPr>
              <w:jc w:val="left"/>
              <w:rPr>
                <w:b/>
                <w:bCs/>
                <w:sz w:val="20"/>
                <w:szCs w:val="20"/>
              </w:rPr>
            </w:pPr>
            <w:r w:rsidRPr="002A0823">
              <w:rPr>
                <w:b/>
                <w:bCs/>
                <w:sz w:val="20"/>
                <w:szCs w:val="20"/>
              </w:rPr>
              <w:t>Treatment strategy</w:t>
            </w:r>
          </w:p>
        </w:tc>
        <w:tc>
          <w:tcPr>
            <w:tcW w:w="2011" w:type="dxa"/>
            <w:noWrap/>
            <w:vAlign w:val="center"/>
            <w:hideMark/>
          </w:tcPr>
          <w:p w14:paraId="0B0CD34D" w14:textId="77777777" w:rsidR="004B3364" w:rsidRPr="002A0823" w:rsidRDefault="004B3364" w:rsidP="00D14A33">
            <w:pPr>
              <w:jc w:val="left"/>
              <w:rPr>
                <w:sz w:val="20"/>
                <w:szCs w:val="20"/>
              </w:rPr>
            </w:pPr>
            <w:r w:rsidRPr="002A0823">
              <w:rPr>
                <w:sz w:val="20"/>
                <w:szCs w:val="20"/>
              </w:rPr>
              <w:t>PDS</w:t>
            </w:r>
          </w:p>
        </w:tc>
        <w:tc>
          <w:tcPr>
            <w:tcW w:w="1069" w:type="dxa"/>
            <w:tcBorders>
              <w:right w:val="single" w:sz="4" w:space="0" w:color="auto"/>
            </w:tcBorders>
            <w:noWrap/>
            <w:vAlign w:val="center"/>
            <w:hideMark/>
          </w:tcPr>
          <w:p w14:paraId="0612F8D5" w14:textId="77777777" w:rsidR="004B3364" w:rsidRPr="002F12AD" w:rsidRDefault="004B3364" w:rsidP="00D14A33">
            <w:pPr>
              <w:jc w:val="center"/>
              <w:rPr>
                <w:sz w:val="20"/>
                <w:szCs w:val="20"/>
              </w:rPr>
            </w:pPr>
            <w:r w:rsidRPr="002F12AD">
              <w:t>183</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0BE46" w14:textId="77777777" w:rsidR="004B3364" w:rsidRPr="002F12AD" w:rsidRDefault="004B3364" w:rsidP="00D14A33">
            <w:pPr>
              <w:jc w:val="center"/>
              <w:rPr>
                <w:sz w:val="20"/>
                <w:szCs w:val="20"/>
              </w:rPr>
            </w:pPr>
            <w:r w:rsidRPr="002F12AD">
              <w:rPr>
                <w:color w:val="000000"/>
                <w:sz w:val="22"/>
                <w:szCs w:val="22"/>
              </w:rPr>
              <w:t>54.6 %</w:t>
            </w:r>
          </w:p>
        </w:tc>
      </w:tr>
      <w:tr w:rsidR="004B3364" w:rsidRPr="002A0823" w14:paraId="132422ED" w14:textId="77777777" w:rsidTr="00D14A33">
        <w:trPr>
          <w:trHeight w:val="309"/>
        </w:trPr>
        <w:tc>
          <w:tcPr>
            <w:tcW w:w="4810" w:type="dxa"/>
            <w:vMerge/>
            <w:noWrap/>
            <w:vAlign w:val="center"/>
            <w:hideMark/>
          </w:tcPr>
          <w:p w14:paraId="66E3C0FF" w14:textId="77777777" w:rsidR="004B3364" w:rsidRPr="002A0823" w:rsidRDefault="004B3364" w:rsidP="00D14A33">
            <w:pPr>
              <w:jc w:val="left"/>
              <w:rPr>
                <w:b/>
                <w:bCs/>
                <w:sz w:val="20"/>
                <w:szCs w:val="20"/>
              </w:rPr>
            </w:pPr>
          </w:p>
        </w:tc>
        <w:tc>
          <w:tcPr>
            <w:tcW w:w="2011" w:type="dxa"/>
            <w:noWrap/>
            <w:vAlign w:val="center"/>
            <w:hideMark/>
          </w:tcPr>
          <w:p w14:paraId="4A6FE9F3" w14:textId="77777777" w:rsidR="004B3364" w:rsidRPr="002A0823" w:rsidRDefault="004B3364" w:rsidP="00D14A33">
            <w:pPr>
              <w:jc w:val="left"/>
              <w:rPr>
                <w:sz w:val="20"/>
                <w:szCs w:val="20"/>
              </w:rPr>
            </w:pPr>
            <w:r w:rsidRPr="002A0823">
              <w:rPr>
                <w:sz w:val="20"/>
                <w:szCs w:val="20"/>
              </w:rPr>
              <w:t>NACT</w:t>
            </w:r>
          </w:p>
        </w:tc>
        <w:tc>
          <w:tcPr>
            <w:tcW w:w="1069" w:type="dxa"/>
            <w:tcBorders>
              <w:right w:val="single" w:sz="4" w:space="0" w:color="auto"/>
            </w:tcBorders>
            <w:noWrap/>
            <w:vAlign w:val="center"/>
            <w:hideMark/>
          </w:tcPr>
          <w:p w14:paraId="426EFE06" w14:textId="77777777" w:rsidR="004B3364" w:rsidRPr="002F12AD" w:rsidRDefault="004B3364" w:rsidP="00D14A33">
            <w:pPr>
              <w:jc w:val="center"/>
              <w:rPr>
                <w:sz w:val="20"/>
                <w:szCs w:val="20"/>
              </w:rPr>
            </w:pPr>
            <w:r w:rsidRPr="002F12AD">
              <w:t>152</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3F17D" w14:textId="77777777" w:rsidR="004B3364" w:rsidRPr="002F12AD" w:rsidRDefault="004B3364" w:rsidP="00D14A33">
            <w:pPr>
              <w:jc w:val="center"/>
              <w:rPr>
                <w:sz w:val="20"/>
                <w:szCs w:val="20"/>
              </w:rPr>
            </w:pPr>
            <w:r w:rsidRPr="002F12AD">
              <w:rPr>
                <w:color w:val="000000"/>
                <w:sz w:val="22"/>
                <w:szCs w:val="22"/>
              </w:rPr>
              <w:t>45.4 %</w:t>
            </w:r>
          </w:p>
        </w:tc>
      </w:tr>
      <w:tr w:rsidR="004B3364" w:rsidRPr="002A0823" w14:paraId="0E9BD833" w14:textId="77777777" w:rsidTr="00D14A33">
        <w:trPr>
          <w:trHeight w:val="309"/>
        </w:trPr>
        <w:tc>
          <w:tcPr>
            <w:tcW w:w="4810" w:type="dxa"/>
            <w:vMerge w:val="restart"/>
            <w:noWrap/>
            <w:vAlign w:val="center"/>
            <w:hideMark/>
          </w:tcPr>
          <w:p w14:paraId="6C5CA1C1" w14:textId="77777777" w:rsidR="004B3364" w:rsidRPr="002A0823" w:rsidRDefault="004B3364" w:rsidP="00D14A33">
            <w:pPr>
              <w:jc w:val="left"/>
              <w:rPr>
                <w:b/>
                <w:bCs/>
                <w:sz w:val="20"/>
                <w:szCs w:val="20"/>
              </w:rPr>
            </w:pPr>
            <w:r w:rsidRPr="002A0823">
              <w:rPr>
                <w:b/>
                <w:bCs/>
                <w:sz w:val="20"/>
                <w:szCs w:val="20"/>
              </w:rPr>
              <w:t>Outcome from primary therapy (RECIST 1.12)</w:t>
            </w:r>
          </w:p>
        </w:tc>
        <w:tc>
          <w:tcPr>
            <w:tcW w:w="2011" w:type="dxa"/>
            <w:noWrap/>
            <w:vAlign w:val="center"/>
            <w:hideMark/>
          </w:tcPr>
          <w:p w14:paraId="38B66A24" w14:textId="77777777" w:rsidR="004B3364" w:rsidRPr="002A0823" w:rsidRDefault="004B3364" w:rsidP="00D14A33">
            <w:pPr>
              <w:jc w:val="left"/>
              <w:rPr>
                <w:sz w:val="20"/>
                <w:szCs w:val="20"/>
              </w:rPr>
            </w:pPr>
            <w:r w:rsidRPr="002A0823">
              <w:rPr>
                <w:sz w:val="20"/>
                <w:szCs w:val="20"/>
              </w:rPr>
              <w:t>Complete Response</w:t>
            </w:r>
          </w:p>
        </w:tc>
        <w:tc>
          <w:tcPr>
            <w:tcW w:w="1069" w:type="dxa"/>
            <w:tcBorders>
              <w:right w:val="single" w:sz="4" w:space="0" w:color="auto"/>
            </w:tcBorders>
            <w:noWrap/>
            <w:vAlign w:val="center"/>
            <w:hideMark/>
          </w:tcPr>
          <w:p w14:paraId="4912B8D3" w14:textId="77777777" w:rsidR="004B3364" w:rsidRPr="002F12AD" w:rsidRDefault="004B3364" w:rsidP="00D14A33">
            <w:pPr>
              <w:jc w:val="center"/>
              <w:rPr>
                <w:sz w:val="20"/>
                <w:szCs w:val="20"/>
              </w:rPr>
            </w:pPr>
            <w:r w:rsidRPr="002F12AD">
              <w:t>175</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95702" w14:textId="77777777" w:rsidR="004B3364" w:rsidRPr="002F12AD" w:rsidRDefault="004B3364" w:rsidP="00D14A33">
            <w:pPr>
              <w:jc w:val="center"/>
              <w:rPr>
                <w:sz w:val="20"/>
                <w:szCs w:val="20"/>
              </w:rPr>
            </w:pPr>
            <w:r w:rsidRPr="002F12AD">
              <w:rPr>
                <w:color w:val="000000"/>
                <w:sz w:val="22"/>
                <w:szCs w:val="22"/>
              </w:rPr>
              <w:t>52.2 %</w:t>
            </w:r>
          </w:p>
        </w:tc>
      </w:tr>
      <w:tr w:rsidR="004B3364" w:rsidRPr="002A0823" w14:paraId="16866982" w14:textId="77777777" w:rsidTr="00D14A33">
        <w:trPr>
          <w:trHeight w:val="309"/>
        </w:trPr>
        <w:tc>
          <w:tcPr>
            <w:tcW w:w="4810" w:type="dxa"/>
            <w:vMerge/>
            <w:noWrap/>
            <w:vAlign w:val="center"/>
            <w:hideMark/>
          </w:tcPr>
          <w:p w14:paraId="0BC1C25F" w14:textId="77777777" w:rsidR="004B3364" w:rsidRPr="002A0823" w:rsidRDefault="004B3364" w:rsidP="00D14A33">
            <w:pPr>
              <w:jc w:val="left"/>
              <w:rPr>
                <w:b/>
                <w:bCs/>
                <w:sz w:val="20"/>
                <w:szCs w:val="20"/>
              </w:rPr>
            </w:pPr>
          </w:p>
        </w:tc>
        <w:tc>
          <w:tcPr>
            <w:tcW w:w="2011" w:type="dxa"/>
            <w:noWrap/>
            <w:vAlign w:val="center"/>
            <w:hideMark/>
          </w:tcPr>
          <w:p w14:paraId="234A5F93" w14:textId="77777777" w:rsidR="004B3364" w:rsidRPr="002A0823" w:rsidRDefault="004B3364" w:rsidP="00D14A33">
            <w:pPr>
              <w:jc w:val="left"/>
              <w:rPr>
                <w:sz w:val="20"/>
                <w:szCs w:val="20"/>
              </w:rPr>
            </w:pPr>
            <w:r w:rsidRPr="002A0823">
              <w:rPr>
                <w:sz w:val="20"/>
                <w:szCs w:val="20"/>
              </w:rPr>
              <w:t>Partial Response</w:t>
            </w:r>
          </w:p>
        </w:tc>
        <w:tc>
          <w:tcPr>
            <w:tcW w:w="1069" w:type="dxa"/>
            <w:tcBorders>
              <w:right w:val="single" w:sz="4" w:space="0" w:color="auto"/>
            </w:tcBorders>
            <w:noWrap/>
            <w:vAlign w:val="center"/>
            <w:hideMark/>
          </w:tcPr>
          <w:p w14:paraId="7741528E" w14:textId="77777777" w:rsidR="004B3364" w:rsidRPr="002F12AD" w:rsidRDefault="004B3364" w:rsidP="00D14A33">
            <w:pPr>
              <w:jc w:val="center"/>
              <w:rPr>
                <w:sz w:val="20"/>
                <w:szCs w:val="20"/>
              </w:rPr>
            </w:pPr>
            <w:r w:rsidRPr="002F12AD">
              <w:t>108</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90EB8" w14:textId="77777777" w:rsidR="004B3364" w:rsidRPr="002F12AD" w:rsidRDefault="004B3364" w:rsidP="00D14A33">
            <w:pPr>
              <w:jc w:val="center"/>
              <w:rPr>
                <w:sz w:val="20"/>
                <w:szCs w:val="20"/>
              </w:rPr>
            </w:pPr>
            <w:r w:rsidRPr="002F12AD">
              <w:rPr>
                <w:color w:val="000000"/>
                <w:sz w:val="22"/>
                <w:szCs w:val="22"/>
              </w:rPr>
              <w:t>32.2 %</w:t>
            </w:r>
          </w:p>
        </w:tc>
      </w:tr>
      <w:tr w:rsidR="004B3364" w:rsidRPr="002A0823" w14:paraId="3B95BB75" w14:textId="77777777" w:rsidTr="00D14A33">
        <w:trPr>
          <w:trHeight w:val="309"/>
        </w:trPr>
        <w:tc>
          <w:tcPr>
            <w:tcW w:w="4810" w:type="dxa"/>
            <w:vMerge/>
            <w:noWrap/>
            <w:vAlign w:val="center"/>
            <w:hideMark/>
          </w:tcPr>
          <w:p w14:paraId="3D8A70B3" w14:textId="77777777" w:rsidR="004B3364" w:rsidRPr="002A0823" w:rsidRDefault="004B3364" w:rsidP="00D14A33">
            <w:pPr>
              <w:jc w:val="left"/>
              <w:rPr>
                <w:b/>
                <w:bCs/>
                <w:sz w:val="20"/>
                <w:szCs w:val="20"/>
              </w:rPr>
            </w:pPr>
          </w:p>
        </w:tc>
        <w:tc>
          <w:tcPr>
            <w:tcW w:w="2011" w:type="dxa"/>
            <w:noWrap/>
            <w:vAlign w:val="center"/>
            <w:hideMark/>
          </w:tcPr>
          <w:p w14:paraId="03126004" w14:textId="77777777" w:rsidR="004B3364" w:rsidRPr="002A0823" w:rsidRDefault="004B3364" w:rsidP="00D14A33">
            <w:pPr>
              <w:jc w:val="left"/>
              <w:rPr>
                <w:sz w:val="20"/>
                <w:szCs w:val="20"/>
              </w:rPr>
            </w:pPr>
            <w:r w:rsidRPr="002A0823">
              <w:rPr>
                <w:sz w:val="20"/>
                <w:szCs w:val="20"/>
              </w:rPr>
              <w:t>Stable Disease</w:t>
            </w:r>
          </w:p>
        </w:tc>
        <w:tc>
          <w:tcPr>
            <w:tcW w:w="1069" w:type="dxa"/>
            <w:tcBorders>
              <w:right w:val="single" w:sz="4" w:space="0" w:color="auto"/>
            </w:tcBorders>
            <w:noWrap/>
            <w:vAlign w:val="center"/>
            <w:hideMark/>
          </w:tcPr>
          <w:p w14:paraId="72FA3CE3" w14:textId="77777777" w:rsidR="004B3364" w:rsidRPr="002F12AD" w:rsidRDefault="004B3364" w:rsidP="00D14A33">
            <w:pPr>
              <w:jc w:val="center"/>
              <w:rPr>
                <w:sz w:val="20"/>
                <w:szCs w:val="20"/>
              </w:rPr>
            </w:pPr>
            <w:r w:rsidRPr="002F12AD">
              <w:t>12</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EBC98" w14:textId="77777777" w:rsidR="004B3364" w:rsidRPr="002F12AD" w:rsidRDefault="004B3364" w:rsidP="00D14A33">
            <w:pPr>
              <w:jc w:val="center"/>
              <w:rPr>
                <w:sz w:val="20"/>
                <w:szCs w:val="20"/>
              </w:rPr>
            </w:pPr>
            <w:r w:rsidRPr="002F12AD">
              <w:rPr>
                <w:color w:val="000000"/>
                <w:sz w:val="22"/>
                <w:szCs w:val="22"/>
              </w:rPr>
              <w:t>3.6 %</w:t>
            </w:r>
          </w:p>
        </w:tc>
      </w:tr>
      <w:tr w:rsidR="004B3364" w:rsidRPr="002A0823" w14:paraId="4646D5B8" w14:textId="77777777" w:rsidTr="00D14A33">
        <w:trPr>
          <w:trHeight w:val="309"/>
        </w:trPr>
        <w:tc>
          <w:tcPr>
            <w:tcW w:w="4810" w:type="dxa"/>
            <w:vMerge/>
            <w:noWrap/>
            <w:vAlign w:val="center"/>
            <w:hideMark/>
          </w:tcPr>
          <w:p w14:paraId="7A453FBB" w14:textId="77777777" w:rsidR="004B3364" w:rsidRPr="002A0823" w:rsidRDefault="004B3364" w:rsidP="00D14A33">
            <w:pPr>
              <w:jc w:val="left"/>
              <w:rPr>
                <w:b/>
                <w:bCs/>
                <w:sz w:val="20"/>
                <w:szCs w:val="20"/>
              </w:rPr>
            </w:pPr>
          </w:p>
        </w:tc>
        <w:tc>
          <w:tcPr>
            <w:tcW w:w="2011" w:type="dxa"/>
            <w:noWrap/>
            <w:vAlign w:val="center"/>
            <w:hideMark/>
          </w:tcPr>
          <w:p w14:paraId="4DAAED08" w14:textId="77777777" w:rsidR="004B3364" w:rsidRPr="002A0823" w:rsidRDefault="004B3364" w:rsidP="00D14A33">
            <w:pPr>
              <w:jc w:val="left"/>
              <w:rPr>
                <w:sz w:val="20"/>
                <w:szCs w:val="20"/>
              </w:rPr>
            </w:pPr>
            <w:r w:rsidRPr="002A0823">
              <w:rPr>
                <w:sz w:val="20"/>
                <w:szCs w:val="20"/>
              </w:rPr>
              <w:t>Progressive Disease</w:t>
            </w:r>
          </w:p>
        </w:tc>
        <w:tc>
          <w:tcPr>
            <w:tcW w:w="1069" w:type="dxa"/>
            <w:tcBorders>
              <w:right w:val="single" w:sz="4" w:space="0" w:color="auto"/>
            </w:tcBorders>
            <w:noWrap/>
            <w:vAlign w:val="center"/>
            <w:hideMark/>
          </w:tcPr>
          <w:p w14:paraId="31542EBD" w14:textId="77777777" w:rsidR="004B3364" w:rsidRPr="002F12AD" w:rsidRDefault="004B3364" w:rsidP="00D14A33">
            <w:pPr>
              <w:jc w:val="center"/>
              <w:rPr>
                <w:sz w:val="20"/>
                <w:szCs w:val="20"/>
              </w:rPr>
            </w:pPr>
            <w:r w:rsidRPr="002F12AD">
              <w:t>23</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1D28B" w14:textId="77777777" w:rsidR="004B3364" w:rsidRPr="002F12AD" w:rsidRDefault="004B3364" w:rsidP="00D14A33">
            <w:pPr>
              <w:jc w:val="center"/>
              <w:rPr>
                <w:sz w:val="20"/>
                <w:szCs w:val="20"/>
              </w:rPr>
            </w:pPr>
            <w:r w:rsidRPr="002F12AD">
              <w:rPr>
                <w:color w:val="000000"/>
                <w:sz w:val="22"/>
                <w:szCs w:val="22"/>
              </w:rPr>
              <w:t>6.9 %</w:t>
            </w:r>
          </w:p>
        </w:tc>
      </w:tr>
      <w:tr w:rsidR="004B3364" w:rsidRPr="002A0823" w14:paraId="035645DA" w14:textId="77777777" w:rsidTr="00D14A33">
        <w:trPr>
          <w:trHeight w:val="309"/>
        </w:trPr>
        <w:tc>
          <w:tcPr>
            <w:tcW w:w="4810" w:type="dxa"/>
            <w:vMerge/>
            <w:noWrap/>
            <w:vAlign w:val="center"/>
            <w:hideMark/>
          </w:tcPr>
          <w:p w14:paraId="2681C8AA" w14:textId="77777777" w:rsidR="004B3364" w:rsidRPr="002A0823" w:rsidRDefault="004B3364" w:rsidP="00D14A33">
            <w:pPr>
              <w:jc w:val="left"/>
              <w:rPr>
                <w:b/>
                <w:bCs/>
                <w:sz w:val="20"/>
                <w:szCs w:val="20"/>
              </w:rPr>
            </w:pPr>
          </w:p>
        </w:tc>
        <w:tc>
          <w:tcPr>
            <w:tcW w:w="2011" w:type="dxa"/>
            <w:noWrap/>
            <w:vAlign w:val="center"/>
            <w:hideMark/>
          </w:tcPr>
          <w:p w14:paraId="5BFBECE9" w14:textId="77777777" w:rsidR="004B3364" w:rsidRPr="002A0823" w:rsidRDefault="004B3364" w:rsidP="00D14A33">
            <w:pPr>
              <w:jc w:val="left"/>
              <w:rPr>
                <w:sz w:val="20"/>
                <w:szCs w:val="20"/>
              </w:rPr>
            </w:pPr>
            <w:r w:rsidRPr="002A0823">
              <w:rPr>
                <w:sz w:val="20"/>
                <w:szCs w:val="20"/>
              </w:rPr>
              <w:t>ND</w:t>
            </w:r>
          </w:p>
        </w:tc>
        <w:tc>
          <w:tcPr>
            <w:tcW w:w="1069" w:type="dxa"/>
            <w:tcBorders>
              <w:right w:val="single" w:sz="4" w:space="0" w:color="auto"/>
            </w:tcBorders>
            <w:noWrap/>
            <w:vAlign w:val="center"/>
            <w:hideMark/>
          </w:tcPr>
          <w:p w14:paraId="6ABC8799" w14:textId="77777777" w:rsidR="004B3364" w:rsidRPr="002F12AD" w:rsidRDefault="004B3364" w:rsidP="00D14A33">
            <w:pPr>
              <w:jc w:val="center"/>
              <w:rPr>
                <w:sz w:val="20"/>
                <w:szCs w:val="20"/>
              </w:rPr>
            </w:pPr>
            <w:r w:rsidRPr="002F12AD">
              <w:t>17</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AFA6E" w14:textId="77777777" w:rsidR="004B3364" w:rsidRPr="002F12AD" w:rsidRDefault="004B3364" w:rsidP="00D14A33">
            <w:pPr>
              <w:jc w:val="center"/>
              <w:rPr>
                <w:sz w:val="20"/>
                <w:szCs w:val="20"/>
              </w:rPr>
            </w:pPr>
            <w:r w:rsidRPr="002F12AD">
              <w:rPr>
                <w:color w:val="000000"/>
                <w:sz w:val="22"/>
                <w:szCs w:val="22"/>
              </w:rPr>
              <w:t>5.1 %</w:t>
            </w:r>
          </w:p>
        </w:tc>
      </w:tr>
      <w:tr w:rsidR="004B3364" w:rsidRPr="002A0823" w14:paraId="4A74CBEA" w14:textId="77777777" w:rsidTr="00D14A33">
        <w:trPr>
          <w:trHeight w:val="309"/>
        </w:trPr>
        <w:tc>
          <w:tcPr>
            <w:tcW w:w="4810" w:type="dxa"/>
            <w:noWrap/>
            <w:vAlign w:val="center"/>
          </w:tcPr>
          <w:p w14:paraId="1FC2614A" w14:textId="77777777" w:rsidR="004B3364" w:rsidRPr="002A0823" w:rsidRDefault="004B3364" w:rsidP="00D14A33">
            <w:pPr>
              <w:jc w:val="left"/>
              <w:rPr>
                <w:b/>
                <w:bCs/>
                <w:sz w:val="20"/>
                <w:szCs w:val="20"/>
              </w:rPr>
            </w:pPr>
            <w:r w:rsidRPr="002A0823">
              <w:rPr>
                <w:b/>
                <w:bCs/>
                <w:sz w:val="20"/>
                <w:szCs w:val="20"/>
              </w:rPr>
              <w:t>PFI (IQR)</w:t>
            </w:r>
          </w:p>
        </w:tc>
        <w:tc>
          <w:tcPr>
            <w:tcW w:w="4149" w:type="dxa"/>
            <w:gridSpan w:val="3"/>
            <w:noWrap/>
            <w:vAlign w:val="center"/>
          </w:tcPr>
          <w:p w14:paraId="7F1B03FC" w14:textId="77777777" w:rsidR="004B3364" w:rsidRPr="002A0823" w:rsidRDefault="004B3364" w:rsidP="00D14A33">
            <w:pPr>
              <w:jc w:val="left"/>
              <w:rPr>
                <w:sz w:val="20"/>
                <w:szCs w:val="20"/>
              </w:rPr>
            </w:pPr>
            <w:r w:rsidRPr="002A0823">
              <w:rPr>
                <w:sz w:val="20"/>
                <w:szCs w:val="20"/>
              </w:rPr>
              <w:t>8.</w:t>
            </w:r>
            <w:r>
              <w:rPr>
                <w:sz w:val="20"/>
                <w:szCs w:val="20"/>
              </w:rPr>
              <w:t>6</w:t>
            </w:r>
            <w:r w:rsidRPr="002A0823">
              <w:rPr>
                <w:sz w:val="20"/>
                <w:szCs w:val="20"/>
              </w:rPr>
              <w:t xml:space="preserve"> months (3.9 months - 17.3 months)</w:t>
            </w:r>
          </w:p>
        </w:tc>
      </w:tr>
      <w:tr w:rsidR="004B3364" w:rsidRPr="002A0823" w14:paraId="42DBE318" w14:textId="77777777" w:rsidTr="00D14A33">
        <w:trPr>
          <w:trHeight w:val="309"/>
        </w:trPr>
        <w:tc>
          <w:tcPr>
            <w:tcW w:w="4810" w:type="dxa"/>
            <w:noWrap/>
            <w:vAlign w:val="center"/>
          </w:tcPr>
          <w:p w14:paraId="7DBFA31A" w14:textId="77777777" w:rsidR="004B3364" w:rsidRPr="002A0823" w:rsidRDefault="004B3364" w:rsidP="00D14A33">
            <w:pPr>
              <w:jc w:val="left"/>
              <w:rPr>
                <w:b/>
                <w:bCs/>
                <w:sz w:val="20"/>
                <w:szCs w:val="20"/>
              </w:rPr>
            </w:pPr>
            <w:r w:rsidRPr="002A0823">
              <w:rPr>
                <w:b/>
                <w:bCs/>
                <w:sz w:val="20"/>
                <w:szCs w:val="20"/>
              </w:rPr>
              <w:t>5-year OS (95% CI)</w:t>
            </w:r>
          </w:p>
        </w:tc>
        <w:tc>
          <w:tcPr>
            <w:tcW w:w="4149" w:type="dxa"/>
            <w:gridSpan w:val="3"/>
            <w:noWrap/>
            <w:vAlign w:val="center"/>
          </w:tcPr>
          <w:p w14:paraId="3BE10725" w14:textId="77777777" w:rsidR="004B3364" w:rsidRPr="002A0823" w:rsidRDefault="004B3364" w:rsidP="00D14A33">
            <w:pPr>
              <w:jc w:val="left"/>
              <w:rPr>
                <w:sz w:val="20"/>
                <w:szCs w:val="20"/>
              </w:rPr>
            </w:pPr>
            <w:r w:rsidRPr="002A0823">
              <w:rPr>
                <w:sz w:val="20"/>
                <w:szCs w:val="20"/>
              </w:rPr>
              <w:t>33.</w:t>
            </w:r>
            <w:r>
              <w:rPr>
                <w:sz w:val="20"/>
                <w:szCs w:val="20"/>
              </w:rPr>
              <w:t>7</w:t>
            </w:r>
            <w:r w:rsidRPr="002A0823">
              <w:rPr>
                <w:sz w:val="20"/>
                <w:szCs w:val="20"/>
              </w:rPr>
              <w:t>% (28.</w:t>
            </w:r>
            <w:r>
              <w:rPr>
                <w:sz w:val="20"/>
                <w:szCs w:val="20"/>
              </w:rPr>
              <w:t>2</w:t>
            </w:r>
            <w:r w:rsidRPr="002A0823">
              <w:rPr>
                <w:sz w:val="20"/>
                <w:szCs w:val="20"/>
              </w:rPr>
              <w:t>% - 40.</w:t>
            </w:r>
            <w:r>
              <w:rPr>
                <w:sz w:val="20"/>
                <w:szCs w:val="20"/>
              </w:rPr>
              <w:t>4</w:t>
            </w:r>
            <w:r w:rsidRPr="002A0823">
              <w:rPr>
                <w:sz w:val="20"/>
                <w:szCs w:val="20"/>
              </w:rPr>
              <w:t>%)</w:t>
            </w:r>
          </w:p>
        </w:tc>
      </w:tr>
    </w:tbl>
    <w:p w14:paraId="08A3E298" w14:textId="77777777" w:rsidR="004B3364" w:rsidRDefault="004B3364" w:rsidP="004B3364">
      <w:pPr>
        <w:rPr>
          <w:sz w:val="20"/>
          <w:szCs w:val="20"/>
        </w:rPr>
      </w:pPr>
    </w:p>
    <w:p w14:paraId="123890A7" w14:textId="77777777" w:rsidR="004B3364" w:rsidRDefault="004B3364" w:rsidP="004B3364">
      <w:r w:rsidRPr="0C5AEBDD">
        <w:rPr>
          <w:sz w:val="20"/>
          <w:szCs w:val="20"/>
        </w:rPr>
        <w:t>PDS: Primary debulking surgery, NACT: Neoadjuvant chemotherapy, PFI: Platinum-free interval, IQR: Interquartile range, OS: Overall survival, CI: Confidence interval</w:t>
      </w:r>
    </w:p>
    <w:p w14:paraId="1F120952" w14:textId="77777777" w:rsidR="004B3364" w:rsidRDefault="004B3364" w:rsidP="004B3364">
      <w:pPr>
        <w:pStyle w:val="ListParagraph"/>
        <w:numPr>
          <w:ilvl w:val="0"/>
          <w:numId w:val="1"/>
        </w:numPr>
        <w:rPr>
          <w:sz w:val="20"/>
          <w:szCs w:val="20"/>
        </w:rPr>
      </w:pPr>
      <w:r w:rsidRPr="6539FB9C">
        <w:rPr>
          <w:sz w:val="20"/>
          <w:szCs w:val="20"/>
        </w:rPr>
        <w:lastRenderedPageBreak/>
        <w:t xml:space="preserve">Prat J; FIGO Committee on Gynecologic Oncology. Staging classification for cancer of the ovary, fallopian tube, and peritoneum. Int J </w:t>
      </w:r>
      <w:proofErr w:type="spellStart"/>
      <w:r w:rsidRPr="6539FB9C">
        <w:rPr>
          <w:sz w:val="20"/>
          <w:szCs w:val="20"/>
        </w:rPr>
        <w:t>Gynaecol</w:t>
      </w:r>
      <w:proofErr w:type="spellEnd"/>
      <w:r w:rsidRPr="6539FB9C">
        <w:rPr>
          <w:sz w:val="20"/>
          <w:szCs w:val="20"/>
        </w:rPr>
        <w:t xml:space="preserve"> Obstet. 2014 Jan;124(1):1-5. </w:t>
      </w:r>
      <w:proofErr w:type="spellStart"/>
      <w:r w:rsidRPr="6539FB9C">
        <w:rPr>
          <w:sz w:val="20"/>
          <w:szCs w:val="20"/>
        </w:rPr>
        <w:t>doi</w:t>
      </w:r>
      <w:proofErr w:type="spellEnd"/>
      <w:r w:rsidRPr="6539FB9C">
        <w:rPr>
          <w:sz w:val="20"/>
          <w:szCs w:val="20"/>
        </w:rPr>
        <w:t xml:space="preserve">: 10.1016/j.ijgo.2013.10.001. </w:t>
      </w:r>
    </w:p>
    <w:p w14:paraId="11FC608A" w14:textId="77777777" w:rsidR="004B3364" w:rsidRPr="00FA7D90" w:rsidRDefault="004B3364" w:rsidP="004B3364">
      <w:pPr>
        <w:pStyle w:val="ListParagraph"/>
        <w:numPr>
          <w:ilvl w:val="0"/>
          <w:numId w:val="1"/>
        </w:numPr>
      </w:pPr>
      <w:r w:rsidRPr="5BA059C5">
        <w:rPr>
          <w:sz w:val="20"/>
          <w:szCs w:val="20"/>
        </w:rPr>
        <w:t xml:space="preserve">Eisenhauer EA, </w:t>
      </w:r>
      <w:proofErr w:type="spellStart"/>
      <w:r w:rsidRPr="5BA059C5">
        <w:rPr>
          <w:sz w:val="20"/>
          <w:szCs w:val="20"/>
        </w:rPr>
        <w:t>Therasse</w:t>
      </w:r>
      <w:proofErr w:type="spellEnd"/>
      <w:r w:rsidRPr="5BA059C5">
        <w:rPr>
          <w:sz w:val="20"/>
          <w:szCs w:val="20"/>
        </w:rPr>
        <w:t xml:space="preserve"> P, Bogaerts J, Schwartz LH, Sargent D, Ford R, </w:t>
      </w:r>
      <w:proofErr w:type="spellStart"/>
      <w:r w:rsidRPr="5BA059C5">
        <w:rPr>
          <w:sz w:val="20"/>
          <w:szCs w:val="20"/>
        </w:rPr>
        <w:t>Dancey</w:t>
      </w:r>
      <w:proofErr w:type="spellEnd"/>
      <w:r w:rsidRPr="5BA059C5">
        <w:rPr>
          <w:sz w:val="20"/>
          <w:szCs w:val="20"/>
        </w:rPr>
        <w:t xml:space="preserve"> J, </w:t>
      </w:r>
      <w:proofErr w:type="spellStart"/>
      <w:r w:rsidRPr="5BA059C5">
        <w:rPr>
          <w:sz w:val="20"/>
          <w:szCs w:val="20"/>
        </w:rPr>
        <w:t>Arbuck</w:t>
      </w:r>
      <w:proofErr w:type="spellEnd"/>
      <w:r w:rsidRPr="5BA059C5">
        <w:rPr>
          <w:sz w:val="20"/>
          <w:szCs w:val="20"/>
        </w:rPr>
        <w:t xml:space="preserve"> S, </w:t>
      </w:r>
      <w:proofErr w:type="spellStart"/>
      <w:r w:rsidRPr="5BA059C5">
        <w:rPr>
          <w:sz w:val="20"/>
          <w:szCs w:val="20"/>
        </w:rPr>
        <w:t>Gwyther</w:t>
      </w:r>
      <w:proofErr w:type="spellEnd"/>
      <w:r w:rsidRPr="5BA059C5">
        <w:rPr>
          <w:sz w:val="20"/>
          <w:szCs w:val="20"/>
        </w:rPr>
        <w:t xml:space="preserve"> S, Mooney M, Rubinstein L, Shankar L, Dodd L, Kaplan R, Lacombe D, Verweij J. New response evaluation criteria in solid </w:t>
      </w:r>
      <w:proofErr w:type="spellStart"/>
      <w:r w:rsidRPr="5BA059C5">
        <w:rPr>
          <w:sz w:val="20"/>
          <w:szCs w:val="20"/>
        </w:rPr>
        <w:t>tumours</w:t>
      </w:r>
      <w:proofErr w:type="spellEnd"/>
      <w:r w:rsidRPr="5BA059C5">
        <w:rPr>
          <w:sz w:val="20"/>
          <w:szCs w:val="20"/>
        </w:rPr>
        <w:t xml:space="preserve">: revised RECIST guideline (version 1.1). Eur J Cancer. 2009 Jan;45(2):228-47. </w:t>
      </w:r>
      <w:proofErr w:type="spellStart"/>
      <w:r w:rsidRPr="5BA059C5">
        <w:rPr>
          <w:sz w:val="20"/>
          <w:szCs w:val="20"/>
        </w:rPr>
        <w:t>doi</w:t>
      </w:r>
      <w:proofErr w:type="spellEnd"/>
      <w:r w:rsidRPr="5BA059C5">
        <w:rPr>
          <w:sz w:val="20"/>
          <w:szCs w:val="20"/>
        </w:rPr>
        <w:t xml:space="preserve">: 10.1016/j.ejca.2008.10.026. </w:t>
      </w:r>
      <w:r w:rsidRPr="00FA7D90">
        <w:rPr>
          <w:b/>
          <w:bCs/>
        </w:rPr>
        <w:br w:type="page"/>
      </w:r>
    </w:p>
    <w:p w14:paraId="1A104821" w14:textId="5667EED6" w:rsidR="004B3364" w:rsidRDefault="004B3364" w:rsidP="004B3364">
      <w:pPr>
        <w:rPr>
          <w:b/>
          <w:bCs/>
        </w:rPr>
      </w:pPr>
      <w:r>
        <w:rPr>
          <w:b/>
          <w:bCs/>
        </w:rPr>
        <w:lastRenderedPageBreak/>
        <w:t>Table S</w:t>
      </w:r>
      <w:r w:rsidRPr="5BA059C5">
        <w:rPr>
          <w:b/>
          <w:bCs/>
        </w:rPr>
        <w:t>2. Drug concentrations</w:t>
      </w:r>
    </w:p>
    <w:tbl>
      <w:tblPr>
        <w:tblW w:w="0" w:type="auto"/>
        <w:tblLayout w:type="fixed"/>
        <w:tblLook w:val="06A0" w:firstRow="1" w:lastRow="0" w:firstColumn="1" w:lastColumn="0" w:noHBand="1" w:noVBand="1"/>
      </w:tblPr>
      <w:tblGrid>
        <w:gridCol w:w="1887"/>
        <w:gridCol w:w="1566"/>
        <w:gridCol w:w="2060"/>
      </w:tblGrid>
      <w:tr w:rsidR="004B3364" w14:paraId="5428D429"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ABE417" w14:textId="77777777" w:rsidR="004B3364" w:rsidRPr="006277A3" w:rsidRDefault="004B3364" w:rsidP="00D14A33">
            <w:pPr>
              <w:spacing w:after="0"/>
            </w:pPr>
            <w:r w:rsidRPr="006277A3">
              <w:rPr>
                <w:rFonts w:eastAsia="Helvetica"/>
                <w:b/>
                <w:bCs/>
                <w:color w:val="000000" w:themeColor="text1"/>
              </w:rPr>
              <w:t>Target</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5A38D9" w14:textId="77777777" w:rsidR="004B3364" w:rsidRPr="006277A3" w:rsidRDefault="004B3364" w:rsidP="00D14A33">
            <w:pPr>
              <w:spacing w:after="0"/>
            </w:pPr>
            <w:r w:rsidRPr="006277A3">
              <w:rPr>
                <w:rFonts w:eastAsia="Helvetica"/>
                <w:b/>
                <w:bCs/>
                <w:color w:val="000000" w:themeColor="text1"/>
              </w:rPr>
              <w:t>Compound</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E43A54B" w14:textId="77777777" w:rsidR="004B3364" w:rsidRPr="006277A3" w:rsidRDefault="004B3364" w:rsidP="00D14A33">
            <w:pPr>
              <w:spacing w:after="0"/>
            </w:pPr>
            <w:r w:rsidRPr="006277A3">
              <w:rPr>
                <w:rFonts w:eastAsia="Helvetica"/>
                <w:b/>
                <w:bCs/>
                <w:color w:val="000000" w:themeColor="text1"/>
              </w:rPr>
              <w:t>Concentrations</w:t>
            </w:r>
          </w:p>
        </w:tc>
      </w:tr>
      <w:tr w:rsidR="004B3364" w14:paraId="046DBFF3"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5FFF4A" w14:textId="77777777" w:rsidR="004B3364" w:rsidRPr="006277A3" w:rsidRDefault="004B3364" w:rsidP="00D14A33">
            <w:pPr>
              <w:spacing w:after="0"/>
            </w:pPr>
            <w:r w:rsidRPr="006277A3">
              <w:rPr>
                <w:rFonts w:eastAsia="Helvetica"/>
                <w:color w:val="1D1C1D"/>
              </w:rPr>
              <w:t>SHP2</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D17DEB" w14:textId="77777777" w:rsidR="004B3364" w:rsidRPr="006277A3" w:rsidRDefault="004B3364" w:rsidP="00D14A33">
            <w:pPr>
              <w:spacing w:after="0"/>
            </w:pPr>
            <w:r w:rsidRPr="006277A3">
              <w:rPr>
                <w:rFonts w:eastAsia="Helvetica"/>
                <w:color w:val="000000" w:themeColor="text1"/>
              </w:rPr>
              <w:t>RMC-4550</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D87783" w14:textId="77777777" w:rsidR="004B3364" w:rsidRPr="006277A3" w:rsidRDefault="004B3364" w:rsidP="00D14A33">
            <w:pPr>
              <w:spacing w:after="0"/>
            </w:pPr>
            <w:r w:rsidRPr="006277A3">
              <w:rPr>
                <w:rFonts w:eastAsia="Helvetica"/>
                <w:color w:val="000000" w:themeColor="text1"/>
              </w:rPr>
              <w:t xml:space="preserve">100, 500 </w:t>
            </w:r>
            <w:proofErr w:type="spellStart"/>
            <w:r w:rsidRPr="006277A3">
              <w:rPr>
                <w:rFonts w:eastAsia="Helvetica"/>
                <w:color w:val="000000" w:themeColor="text1"/>
              </w:rPr>
              <w:t>nM</w:t>
            </w:r>
            <w:proofErr w:type="spellEnd"/>
          </w:p>
        </w:tc>
      </w:tr>
      <w:tr w:rsidR="004B3364" w14:paraId="00D763D5"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697B36" w14:textId="77777777" w:rsidR="004B3364" w:rsidRPr="006277A3" w:rsidRDefault="004B3364" w:rsidP="00D14A33">
            <w:pPr>
              <w:spacing w:after="0"/>
            </w:pPr>
            <w:r w:rsidRPr="006277A3">
              <w:rPr>
                <w:rFonts w:eastAsia="Helvetica"/>
                <w:color w:val="1D1C1D"/>
              </w:rPr>
              <w:t>SOS1</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A8875B" w14:textId="77777777" w:rsidR="004B3364" w:rsidRPr="006277A3" w:rsidRDefault="004B3364" w:rsidP="00D14A33">
            <w:pPr>
              <w:spacing w:after="0"/>
            </w:pPr>
            <w:r w:rsidRPr="006277A3">
              <w:rPr>
                <w:rFonts w:eastAsia="Helvetica"/>
                <w:color w:val="000000" w:themeColor="text1"/>
              </w:rPr>
              <w:t>BI-3406</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A5D8580" w14:textId="77777777" w:rsidR="004B3364" w:rsidRPr="006277A3" w:rsidRDefault="004B3364" w:rsidP="00D14A33">
            <w:pPr>
              <w:spacing w:after="0"/>
            </w:pPr>
            <w:r w:rsidRPr="006277A3">
              <w:rPr>
                <w:rFonts w:eastAsia="Helvetica"/>
                <w:color w:val="000000" w:themeColor="text1"/>
              </w:rPr>
              <w:t xml:space="preserve">100, 500 </w:t>
            </w:r>
            <w:proofErr w:type="spellStart"/>
            <w:r w:rsidRPr="006277A3">
              <w:rPr>
                <w:rFonts w:eastAsia="Helvetica"/>
                <w:color w:val="000000" w:themeColor="text1"/>
              </w:rPr>
              <w:t>nM</w:t>
            </w:r>
            <w:proofErr w:type="spellEnd"/>
          </w:p>
        </w:tc>
      </w:tr>
      <w:tr w:rsidR="004B3364" w14:paraId="1523D39A"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1D9E2C" w14:textId="77777777" w:rsidR="004B3364" w:rsidRPr="006277A3" w:rsidRDefault="004B3364" w:rsidP="00D14A33">
            <w:pPr>
              <w:spacing w:after="0"/>
            </w:pPr>
            <w:r w:rsidRPr="006277A3">
              <w:rPr>
                <w:rFonts w:eastAsia="Helvetica"/>
                <w:color w:val="1D1C1D"/>
              </w:rPr>
              <w:t>KRAS</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49D5E1" w14:textId="77777777" w:rsidR="004B3364" w:rsidRPr="006277A3" w:rsidRDefault="004B3364" w:rsidP="00D14A33">
            <w:pPr>
              <w:spacing w:after="0"/>
            </w:pPr>
            <w:r w:rsidRPr="006277A3">
              <w:rPr>
                <w:rFonts w:eastAsia="Helvetica"/>
                <w:color w:val="000000" w:themeColor="text1"/>
              </w:rPr>
              <w:t>RMC-7977</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9EDA27" w14:textId="77777777" w:rsidR="004B3364" w:rsidRPr="006277A3" w:rsidRDefault="004B3364" w:rsidP="00D14A33">
            <w:pPr>
              <w:spacing w:after="0"/>
            </w:pPr>
            <w:r w:rsidRPr="006277A3">
              <w:rPr>
                <w:rFonts w:eastAsia="Helvetica"/>
                <w:color w:val="000000" w:themeColor="text1"/>
              </w:rPr>
              <w:t xml:space="preserve">40, 200 </w:t>
            </w:r>
            <w:proofErr w:type="spellStart"/>
            <w:r w:rsidRPr="006277A3">
              <w:rPr>
                <w:rFonts w:eastAsia="Helvetica"/>
                <w:color w:val="000000" w:themeColor="text1"/>
              </w:rPr>
              <w:t>nM</w:t>
            </w:r>
            <w:proofErr w:type="spellEnd"/>
          </w:p>
        </w:tc>
      </w:tr>
      <w:tr w:rsidR="004B3364" w14:paraId="59060485"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A796EB9" w14:textId="77777777" w:rsidR="004B3364" w:rsidRPr="006277A3" w:rsidRDefault="004B3364" w:rsidP="00D14A33">
            <w:pPr>
              <w:spacing w:after="0"/>
            </w:pPr>
            <w:r w:rsidRPr="006277A3">
              <w:rPr>
                <w:rFonts w:eastAsia="Helvetica"/>
                <w:color w:val="1D1C1D"/>
              </w:rPr>
              <w:t>MEK</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F997664" w14:textId="77777777" w:rsidR="004B3364" w:rsidRPr="006277A3" w:rsidRDefault="004B3364" w:rsidP="00D14A33">
            <w:pPr>
              <w:spacing w:after="0"/>
            </w:pPr>
            <w:proofErr w:type="spellStart"/>
            <w:r w:rsidRPr="006277A3">
              <w:rPr>
                <w:rFonts w:eastAsia="Helvetica"/>
                <w:color w:val="000000" w:themeColor="text1"/>
              </w:rPr>
              <w:t>cobimetinib</w:t>
            </w:r>
            <w:proofErr w:type="spellEnd"/>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5FA33B" w14:textId="77777777" w:rsidR="004B3364" w:rsidRPr="006277A3" w:rsidRDefault="004B3364" w:rsidP="00D14A33">
            <w:pPr>
              <w:spacing w:after="0"/>
            </w:pPr>
            <w:r w:rsidRPr="006277A3">
              <w:rPr>
                <w:rFonts w:eastAsia="Helvetica"/>
                <w:color w:val="000000" w:themeColor="text1"/>
              </w:rPr>
              <w:t xml:space="preserve">100, 500 </w:t>
            </w:r>
            <w:proofErr w:type="spellStart"/>
            <w:r w:rsidRPr="006277A3">
              <w:rPr>
                <w:rFonts w:eastAsia="Helvetica"/>
                <w:color w:val="000000" w:themeColor="text1"/>
              </w:rPr>
              <w:t>nM</w:t>
            </w:r>
            <w:proofErr w:type="spellEnd"/>
          </w:p>
        </w:tc>
      </w:tr>
      <w:tr w:rsidR="004B3364" w14:paraId="2D3843F6"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E84658" w14:textId="77777777" w:rsidR="004B3364" w:rsidRPr="006277A3" w:rsidRDefault="004B3364" w:rsidP="00D14A33">
            <w:pPr>
              <w:spacing w:after="0"/>
            </w:pPr>
            <w:r w:rsidRPr="006277A3">
              <w:rPr>
                <w:rFonts w:eastAsia="Helvetica"/>
                <w:color w:val="1D1C1D"/>
              </w:rPr>
              <w:t>ERK</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DF8A9E" w14:textId="77777777" w:rsidR="004B3364" w:rsidRPr="006277A3" w:rsidRDefault="004B3364" w:rsidP="00D14A33">
            <w:pPr>
              <w:spacing w:after="0"/>
            </w:pPr>
            <w:r w:rsidRPr="006277A3">
              <w:rPr>
                <w:rFonts w:eastAsia="Helvetica"/>
                <w:color w:val="000000" w:themeColor="text1"/>
              </w:rPr>
              <w:t>MK-8353</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5D59169" w14:textId="77777777" w:rsidR="004B3364" w:rsidRPr="006277A3" w:rsidRDefault="004B3364" w:rsidP="00D14A33">
            <w:pPr>
              <w:spacing w:after="0"/>
            </w:pPr>
            <w:r w:rsidRPr="006277A3">
              <w:rPr>
                <w:rFonts w:eastAsia="Helvetica"/>
                <w:color w:val="000000" w:themeColor="text1"/>
              </w:rPr>
              <w:t xml:space="preserve">100, 500 </w:t>
            </w:r>
            <w:proofErr w:type="spellStart"/>
            <w:r w:rsidRPr="006277A3">
              <w:rPr>
                <w:rFonts w:eastAsia="Helvetica"/>
                <w:color w:val="000000" w:themeColor="text1"/>
              </w:rPr>
              <w:t>nM</w:t>
            </w:r>
            <w:proofErr w:type="spellEnd"/>
          </w:p>
        </w:tc>
      </w:tr>
      <w:tr w:rsidR="004B3364" w14:paraId="01E1523C"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93ED89" w14:textId="77777777" w:rsidR="004B3364" w:rsidRPr="006277A3" w:rsidRDefault="004B3364" w:rsidP="00D14A33">
            <w:pPr>
              <w:spacing w:after="0"/>
            </w:pPr>
            <w:r w:rsidRPr="006277A3">
              <w:rPr>
                <w:rFonts w:eastAsia="Helvetica"/>
                <w:color w:val="1D1C1D"/>
              </w:rPr>
              <w:t>-</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00C914F" w14:textId="77777777" w:rsidR="004B3364" w:rsidRPr="006277A3" w:rsidRDefault="004B3364" w:rsidP="00D14A33">
            <w:pPr>
              <w:spacing w:after="0"/>
            </w:pPr>
            <w:r w:rsidRPr="006277A3">
              <w:rPr>
                <w:rFonts w:eastAsia="Helvetica"/>
                <w:color w:val="000000" w:themeColor="text1"/>
              </w:rPr>
              <w:t>carboplatin</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D2F7D28" w14:textId="77777777" w:rsidR="004B3364" w:rsidRPr="006277A3" w:rsidRDefault="004B3364" w:rsidP="00D14A33">
            <w:pPr>
              <w:spacing w:after="0"/>
            </w:pPr>
            <w:r w:rsidRPr="006277A3">
              <w:rPr>
                <w:rFonts w:eastAsia="Helvetica"/>
                <w:color w:val="000000" w:themeColor="text1"/>
              </w:rPr>
              <w:t>Sample-specific</w:t>
            </w:r>
          </w:p>
        </w:tc>
      </w:tr>
      <w:tr w:rsidR="004B3364" w14:paraId="64B7A893"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C1C6E16" w14:textId="77777777" w:rsidR="004B3364" w:rsidRPr="006277A3" w:rsidRDefault="004B3364" w:rsidP="00D14A33">
            <w:pPr>
              <w:spacing w:after="0"/>
            </w:pPr>
            <w:r w:rsidRPr="006277A3">
              <w:rPr>
                <w:rFonts w:eastAsia="Helvetica"/>
                <w:color w:val="1D1C1D"/>
              </w:rPr>
              <w:t>PARP</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B814DE" w14:textId="77777777" w:rsidR="004B3364" w:rsidRPr="006277A3" w:rsidRDefault="004B3364" w:rsidP="00D14A33">
            <w:pPr>
              <w:spacing w:after="0"/>
            </w:pPr>
            <w:proofErr w:type="spellStart"/>
            <w:r w:rsidRPr="006277A3">
              <w:rPr>
                <w:rFonts w:eastAsia="Helvetica"/>
                <w:color w:val="000000" w:themeColor="text1"/>
              </w:rPr>
              <w:t>saruparib</w:t>
            </w:r>
            <w:proofErr w:type="spellEnd"/>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054F15" w14:textId="77777777" w:rsidR="004B3364" w:rsidRPr="006277A3" w:rsidRDefault="004B3364" w:rsidP="00D14A33">
            <w:pPr>
              <w:spacing w:after="0"/>
            </w:pPr>
            <w:r w:rsidRPr="006277A3">
              <w:rPr>
                <w:rFonts w:eastAsia="Helvetica"/>
                <w:color w:val="000000" w:themeColor="text1"/>
              </w:rPr>
              <w:t xml:space="preserve">50, 250 </w:t>
            </w:r>
            <w:proofErr w:type="spellStart"/>
            <w:r w:rsidRPr="006277A3">
              <w:rPr>
                <w:rFonts w:eastAsia="Helvetica"/>
                <w:color w:val="000000" w:themeColor="text1"/>
              </w:rPr>
              <w:t>nM</w:t>
            </w:r>
            <w:proofErr w:type="spellEnd"/>
          </w:p>
        </w:tc>
      </w:tr>
      <w:tr w:rsidR="004B3364" w14:paraId="232F1DD5"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CB0855" w14:textId="77777777" w:rsidR="004B3364" w:rsidRPr="006277A3" w:rsidRDefault="004B3364" w:rsidP="00D14A33">
            <w:pPr>
              <w:spacing w:after="0"/>
            </w:pPr>
            <w:r w:rsidRPr="006277A3">
              <w:rPr>
                <w:rFonts w:eastAsia="Helvetica"/>
                <w:color w:val="1D1C1D"/>
              </w:rPr>
              <w:t>BCL-2/BCL-XL</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0BAB87" w14:textId="77777777" w:rsidR="004B3364" w:rsidRPr="006277A3" w:rsidRDefault="004B3364" w:rsidP="00D14A33">
            <w:pPr>
              <w:spacing w:after="0"/>
            </w:pPr>
            <w:r w:rsidRPr="006277A3">
              <w:rPr>
                <w:rFonts w:eastAsia="Helvetica"/>
                <w:color w:val="000000" w:themeColor="text1"/>
              </w:rPr>
              <w:t>navitoclax</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C01D41" w14:textId="77777777" w:rsidR="004B3364" w:rsidRPr="006277A3" w:rsidRDefault="004B3364" w:rsidP="00D14A33">
            <w:pPr>
              <w:spacing w:after="0"/>
            </w:pPr>
            <w:r w:rsidRPr="006277A3">
              <w:rPr>
                <w:rFonts w:eastAsia="Helvetica"/>
                <w:color w:val="000000" w:themeColor="text1"/>
              </w:rPr>
              <w:t xml:space="preserve">100, 500 </w:t>
            </w:r>
            <w:proofErr w:type="spellStart"/>
            <w:r w:rsidRPr="006277A3">
              <w:rPr>
                <w:rFonts w:eastAsia="Helvetica"/>
                <w:color w:val="000000" w:themeColor="text1"/>
              </w:rPr>
              <w:t>nM</w:t>
            </w:r>
            <w:proofErr w:type="spellEnd"/>
          </w:p>
        </w:tc>
      </w:tr>
      <w:tr w:rsidR="004B3364" w14:paraId="105F077D"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983856" w14:textId="77777777" w:rsidR="004B3364" w:rsidRPr="006277A3" w:rsidRDefault="004B3364" w:rsidP="00D14A33">
            <w:pPr>
              <w:spacing w:after="0"/>
            </w:pPr>
            <w:r w:rsidRPr="006277A3">
              <w:rPr>
                <w:rFonts w:eastAsia="Helvetica"/>
                <w:color w:val="1D1C1D"/>
              </w:rPr>
              <w:t>CDK4/6</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B631C8" w14:textId="77777777" w:rsidR="004B3364" w:rsidRPr="006277A3" w:rsidRDefault="004B3364" w:rsidP="00D14A33">
            <w:pPr>
              <w:spacing w:after="0"/>
            </w:pPr>
            <w:proofErr w:type="spellStart"/>
            <w:r w:rsidRPr="006277A3">
              <w:rPr>
                <w:rFonts w:eastAsia="Helvetica"/>
                <w:color w:val="000000" w:themeColor="text1"/>
              </w:rPr>
              <w:t>palbociclib</w:t>
            </w:r>
            <w:proofErr w:type="spellEnd"/>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A086C6" w14:textId="77777777" w:rsidR="004B3364" w:rsidRPr="006277A3" w:rsidRDefault="004B3364" w:rsidP="00D14A33">
            <w:pPr>
              <w:spacing w:after="0"/>
            </w:pPr>
            <w:r w:rsidRPr="006277A3">
              <w:rPr>
                <w:rFonts w:eastAsia="Helvetica"/>
                <w:color w:val="000000" w:themeColor="text1"/>
              </w:rPr>
              <w:t xml:space="preserve">100, 500 </w:t>
            </w:r>
            <w:proofErr w:type="spellStart"/>
            <w:r w:rsidRPr="006277A3">
              <w:rPr>
                <w:rFonts w:eastAsia="Helvetica"/>
                <w:color w:val="000000" w:themeColor="text1"/>
              </w:rPr>
              <w:t>nM</w:t>
            </w:r>
            <w:proofErr w:type="spellEnd"/>
          </w:p>
        </w:tc>
      </w:tr>
      <w:tr w:rsidR="004B3364" w14:paraId="51B0A274"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AF0AAC" w14:textId="77777777" w:rsidR="004B3364" w:rsidRPr="006277A3" w:rsidRDefault="004B3364" w:rsidP="00D14A33">
            <w:pPr>
              <w:spacing w:after="0"/>
            </w:pPr>
            <w:r w:rsidRPr="006277A3">
              <w:rPr>
                <w:rFonts w:eastAsia="Helvetica"/>
                <w:color w:val="1D1C1D"/>
              </w:rPr>
              <w:t>PKMYT-1</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E392E2B" w14:textId="77777777" w:rsidR="004B3364" w:rsidRPr="006277A3" w:rsidRDefault="004B3364" w:rsidP="00D14A33">
            <w:pPr>
              <w:spacing w:after="0"/>
            </w:pPr>
            <w:r w:rsidRPr="006277A3">
              <w:rPr>
                <w:rFonts w:eastAsia="Helvetica"/>
                <w:color w:val="000000" w:themeColor="text1"/>
              </w:rPr>
              <w:t>RP6306</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2ACFE9D" w14:textId="77777777" w:rsidR="004B3364" w:rsidRPr="006277A3" w:rsidRDefault="004B3364" w:rsidP="00D14A33">
            <w:pPr>
              <w:spacing w:after="0"/>
            </w:pPr>
            <w:r w:rsidRPr="006277A3">
              <w:rPr>
                <w:rFonts w:eastAsia="Helvetica"/>
                <w:color w:val="000000" w:themeColor="text1"/>
              </w:rPr>
              <w:t xml:space="preserve">50, 250 </w:t>
            </w:r>
            <w:proofErr w:type="spellStart"/>
            <w:r w:rsidRPr="006277A3">
              <w:rPr>
                <w:rFonts w:eastAsia="Helvetica"/>
                <w:color w:val="000000" w:themeColor="text1"/>
              </w:rPr>
              <w:t>nM</w:t>
            </w:r>
            <w:proofErr w:type="spellEnd"/>
          </w:p>
        </w:tc>
      </w:tr>
      <w:tr w:rsidR="004B3364" w14:paraId="299F1731"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05518AE" w14:textId="77777777" w:rsidR="004B3364" w:rsidRPr="006277A3" w:rsidRDefault="004B3364" w:rsidP="00D14A33">
            <w:pPr>
              <w:spacing w:after="0"/>
            </w:pPr>
            <w:r w:rsidRPr="006277A3">
              <w:rPr>
                <w:rFonts w:eastAsia="Helvetica"/>
                <w:color w:val="1D1C1D"/>
              </w:rPr>
              <w:t>WEE1</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BA08B33" w14:textId="77777777" w:rsidR="004B3364" w:rsidRPr="006277A3" w:rsidRDefault="004B3364" w:rsidP="00D14A33">
            <w:pPr>
              <w:spacing w:after="0"/>
            </w:pPr>
            <w:proofErr w:type="spellStart"/>
            <w:r w:rsidRPr="006277A3">
              <w:rPr>
                <w:rFonts w:eastAsia="Helvetica"/>
                <w:color w:val="000000" w:themeColor="text1"/>
              </w:rPr>
              <w:t>adavosertib</w:t>
            </w:r>
            <w:proofErr w:type="spellEnd"/>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090204" w14:textId="77777777" w:rsidR="004B3364" w:rsidRPr="006277A3" w:rsidRDefault="004B3364" w:rsidP="00D14A33">
            <w:pPr>
              <w:spacing w:after="0"/>
            </w:pPr>
            <w:r w:rsidRPr="006277A3">
              <w:rPr>
                <w:rFonts w:eastAsia="Helvetica"/>
                <w:color w:val="000000" w:themeColor="text1"/>
              </w:rPr>
              <w:t xml:space="preserve">30, 150 </w:t>
            </w:r>
            <w:proofErr w:type="spellStart"/>
            <w:r w:rsidRPr="006277A3">
              <w:rPr>
                <w:rFonts w:eastAsia="Helvetica"/>
                <w:color w:val="000000" w:themeColor="text1"/>
              </w:rPr>
              <w:t>nM</w:t>
            </w:r>
            <w:proofErr w:type="spellEnd"/>
          </w:p>
        </w:tc>
      </w:tr>
      <w:tr w:rsidR="004B3364" w14:paraId="5A094813"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7496E11" w14:textId="77777777" w:rsidR="004B3364" w:rsidRPr="006277A3" w:rsidRDefault="004B3364" w:rsidP="00D14A33">
            <w:pPr>
              <w:spacing w:after="0"/>
            </w:pPr>
            <w:r w:rsidRPr="006277A3">
              <w:rPr>
                <w:rFonts w:eastAsia="Helvetica"/>
                <w:color w:val="1D1C1D"/>
              </w:rPr>
              <w:t>ATR</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107604" w14:textId="77777777" w:rsidR="004B3364" w:rsidRPr="006277A3" w:rsidRDefault="004B3364" w:rsidP="00D14A33">
            <w:pPr>
              <w:spacing w:after="0"/>
            </w:pPr>
            <w:proofErr w:type="spellStart"/>
            <w:r w:rsidRPr="006277A3">
              <w:rPr>
                <w:rFonts w:eastAsia="Helvetica"/>
                <w:color w:val="000000" w:themeColor="text1"/>
              </w:rPr>
              <w:t>ceralasertib</w:t>
            </w:r>
            <w:proofErr w:type="spellEnd"/>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D8C4A41" w14:textId="77777777" w:rsidR="004B3364" w:rsidRPr="006277A3" w:rsidRDefault="004B3364" w:rsidP="00D14A33">
            <w:pPr>
              <w:spacing w:after="0"/>
            </w:pPr>
            <w:r w:rsidRPr="006277A3">
              <w:rPr>
                <w:rFonts w:eastAsia="Helvetica"/>
                <w:color w:val="000000" w:themeColor="text1"/>
              </w:rPr>
              <w:t xml:space="preserve">200, 1000 </w:t>
            </w:r>
            <w:proofErr w:type="spellStart"/>
            <w:r w:rsidRPr="006277A3">
              <w:rPr>
                <w:rFonts w:eastAsia="Helvetica"/>
                <w:color w:val="000000" w:themeColor="text1"/>
              </w:rPr>
              <w:t>nM</w:t>
            </w:r>
            <w:proofErr w:type="spellEnd"/>
          </w:p>
        </w:tc>
      </w:tr>
      <w:tr w:rsidR="004B3364" w14:paraId="2A63BA3C" w14:textId="77777777" w:rsidTr="00D14A33">
        <w:trPr>
          <w:trHeight w:val="315"/>
        </w:trPr>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1EDE0A" w14:textId="77777777" w:rsidR="004B3364" w:rsidRPr="006277A3" w:rsidRDefault="004B3364" w:rsidP="00D14A33">
            <w:pPr>
              <w:spacing w:after="0"/>
            </w:pPr>
            <w:r w:rsidRPr="006277A3">
              <w:rPr>
                <w:rFonts w:eastAsia="Helvetica"/>
                <w:color w:val="1D1C1D"/>
              </w:rPr>
              <w:t>CHEK1</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38F702" w14:textId="77777777" w:rsidR="004B3364" w:rsidRPr="006277A3" w:rsidRDefault="004B3364" w:rsidP="00D14A33">
            <w:pPr>
              <w:spacing w:after="0"/>
            </w:pPr>
            <w:proofErr w:type="spellStart"/>
            <w:r w:rsidRPr="006277A3">
              <w:rPr>
                <w:rFonts w:eastAsia="Helvetica"/>
                <w:color w:val="000000" w:themeColor="text1"/>
              </w:rPr>
              <w:t>prexasertib</w:t>
            </w:r>
            <w:proofErr w:type="spellEnd"/>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C68C53F" w14:textId="77777777" w:rsidR="004B3364" w:rsidRPr="006277A3" w:rsidRDefault="004B3364" w:rsidP="00D14A33">
            <w:pPr>
              <w:spacing w:after="0"/>
            </w:pPr>
            <w:r w:rsidRPr="006277A3">
              <w:rPr>
                <w:rFonts w:eastAsia="Helvetica"/>
                <w:color w:val="000000" w:themeColor="text1"/>
              </w:rPr>
              <w:t xml:space="preserve">10, 50 </w:t>
            </w:r>
            <w:proofErr w:type="spellStart"/>
            <w:r w:rsidRPr="006277A3">
              <w:rPr>
                <w:rFonts w:eastAsia="Helvetica"/>
                <w:color w:val="000000" w:themeColor="text1"/>
              </w:rPr>
              <w:t>nM</w:t>
            </w:r>
            <w:proofErr w:type="spellEnd"/>
          </w:p>
        </w:tc>
      </w:tr>
    </w:tbl>
    <w:p w14:paraId="4EEC5A0D" w14:textId="77777777" w:rsidR="004B3364" w:rsidRDefault="004B3364" w:rsidP="004B3364">
      <w:r>
        <w:br w:type="page"/>
      </w:r>
    </w:p>
    <w:p w14:paraId="5C477EC9" w14:textId="2B0C3C19" w:rsidR="004B3364" w:rsidRDefault="004B3364" w:rsidP="004B3364">
      <w:r>
        <w:rPr>
          <w:b/>
          <w:bCs/>
        </w:rPr>
        <w:lastRenderedPageBreak/>
        <w:t>Figure S</w:t>
      </w:r>
      <w:r w:rsidRPr="5BA059C5">
        <w:rPr>
          <w:b/>
          <w:bCs/>
        </w:rPr>
        <w:t>1.</w:t>
      </w:r>
      <w:r>
        <w:t xml:space="preserve"> Baseline expression of specific drug target genes in fallopian tube tissue as in the </w:t>
      </w:r>
      <w:proofErr w:type="spellStart"/>
      <w:r>
        <w:t>GTEx</w:t>
      </w:r>
      <w:proofErr w:type="spellEnd"/>
      <w:r>
        <w:t xml:space="preserve"> data.</w:t>
      </w:r>
    </w:p>
    <w:p w14:paraId="3DD7CB99" w14:textId="1A0747BD" w:rsidR="004B3364" w:rsidRDefault="004B3364" w:rsidP="004B3364">
      <w:r>
        <w:rPr>
          <w:noProof/>
        </w:rPr>
        <w:drawing>
          <wp:inline distT="0" distB="0" distL="0" distR="0" wp14:anchorId="19082506" wp14:editId="6881185D">
            <wp:extent cx="5724524" cy="2895600"/>
            <wp:effectExtent l="0" t="0" r="0" b="0"/>
            <wp:docPr id="2674780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4524" cy="2895600"/>
                    </a:xfrm>
                    <a:prstGeom prst="rect">
                      <a:avLst/>
                    </a:prstGeom>
                  </pic:spPr>
                </pic:pic>
              </a:graphicData>
            </a:graphic>
          </wp:inline>
        </w:drawing>
      </w:r>
      <w:r>
        <w:rPr>
          <w:b/>
          <w:bCs/>
        </w:rPr>
        <w:t>Figure S</w:t>
      </w:r>
      <w:r w:rsidRPr="2AF84697">
        <w:rPr>
          <w:b/>
          <w:bCs/>
        </w:rPr>
        <w:t>2.</w:t>
      </w:r>
      <w:r>
        <w:t xml:space="preserve"> Results from the CORNETO analysis of differential gene expression.</w:t>
      </w:r>
    </w:p>
    <w:p w14:paraId="1AAA799C" w14:textId="77777777" w:rsidR="004B3364" w:rsidRDefault="004B3364" w:rsidP="004B3364">
      <w:r>
        <w:rPr>
          <w:noProof/>
        </w:rPr>
        <w:drawing>
          <wp:inline distT="0" distB="0" distL="0" distR="0" wp14:anchorId="3B90A909" wp14:editId="37B1A4C6">
            <wp:extent cx="5724525" cy="2914650"/>
            <wp:effectExtent l="0" t="0" r="0" b="0"/>
            <wp:docPr id="6078316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3167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4525" cy="2914650"/>
                    </a:xfrm>
                    <a:prstGeom prst="rect">
                      <a:avLst/>
                    </a:prstGeom>
                  </pic:spPr>
                </pic:pic>
              </a:graphicData>
            </a:graphic>
          </wp:inline>
        </w:drawing>
      </w:r>
    </w:p>
    <w:p w14:paraId="74753BD6" w14:textId="131372F7" w:rsidR="00EB3838" w:rsidRDefault="00EB3838" w:rsidP="00EB3838"/>
    <w:p w14:paraId="55913E2A" w14:textId="77777777" w:rsidR="00592110" w:rsidRDefault="00592110" w:rsidP="00701157">
      <w:pPr>
        <w:rPr>
          <w:lang w:val="en-NZ"/>
        </w:rPr>
      </w:pPr>
    </w:p>
    <w:sectPr w:rsidR="00592110" w:rsidSect="00592110">
      <w:pgSz w:w="11906" w:h="16838"/>
      <w:pgMar w:top="1440" w:right="1440" w:bottom="1440" w:left="1440"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45CF5"/>
    <w:multiLevelType w:val="hybridMultilevel"/>
    <w:tmpl w:val="73502E1E"/>
    <w:lvl w:ilvl="0" w:tplc="BA8AE5D2">
      <w:start w:val="1"/>
      <w:numFmt w:val="decimal"/>
      <w:lvlText w:val="%1."/>
      <w:lvlJc w:val="left"/>
      <w:pPr>
        <w:ind w:left="720" w:hanging="360"/>
      </w:pPr>
    </w:lvl>
    <w:lvl w:ilvl="1" w:tplc="6ECAD10E">
      <w:start w:val="1"/>
      <w:numFmt w:val="lowerLetter"/>
      <w:lvlText w:val="%2."/>
      <w:lvlJc w:val="left"/>
      <w:pPr>
        <w:ind w:left="1440" w:hanging="360"/>
      </w:pPr>
    </w:lvl>
    <w:lvl w:ilvl="2" w:tplc="BE2081A2">
      <w:start w:val="1"/>
      <w:numFmt w:val="lowerRoman"/>
      <w:lvlText w:val="%3."/>
      <w:lvlJc w:val="right"/>
      <w:pPr>
        <w:ind w:left="2160" w:hanging="180"/>
      </w:pPr>
    </w:lvl>
    <w:lvl w:ilvl="3" w:tplc="92D4372C">
      <w:start w:val="1"/>
      <w:numFmt w:val="decimal"/>
      <w:lvlText w:val="%4."/>
      <w:lvlJc w:val="left"/>
      <w:pPr>
        <w:ind w:left="2880" w:hanging="360"/>
      </w:pPr>
    </w:lvl>
    <w:lvl w:ilvl="4" w:tplc="F8545F36">
      <w:start w:val="1"/>
      <w:numFmt w:val="lowerLetter"/>
      <w:lvlText w:val="%5."/>
      <w:lvlJc w:val="left"/>
      <w:pPr>
        <w:ind w:left="3600" w:hanging="360"/>
      </w:pPr>
    </w:lvl>
    <w:lvl w:ilvl="5" w:tplc="14B60E18">
      <w:start w:val="1"/>
      <w:numFmt w:val="lowerRoman"/>
      <w:lvlText w:val="%6."/>
      <w:lvlJc w:val="right"/>
      <w:pPr>
        <w:ind w:left="4320" w:hanging="180"/>
      </w:pPr>
    </w:lvl>
    <w:lvl w:ilvl="6" w:tplc="F9D0604E">
      <w:start w:val="1"/>
      <w:numFmt w:val="decimal"/>
      <w:lvlText w:val="%7."/>
      <w:lvlJc w:val="left"/>
      <w:pPr>
        <w:ind w:left="5040" w:hanging="360"/>
      </w:pPr>
    </w:lvl>
    <w:lvl w:ilvl="7" w:tplc="27A43ECE">
      <w:start w:val="1"/>
      <w:numFmt w:val="lowerLetter"/>
      <w:lvlText w:val="%8."/>
      <w:lvlJc w:val="left"/>
      <w:pPr>
        <w:ind w:left="5760" w:hanging="360"/>
      </w:pPr>
    </w:lvl>
    <w:lvl w:ilvl="8" w:tplc="F036D04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30"/>
    <w:rsid w:val="000A1554"/>
    <w:rsid w:val="004B3364"/>
    <w:rsid w:val="00592110"/>
    <w:rsid w:val="006E6D68"/>
    <w:rsid w:val="00701157"/>
    <w:rsid w:val="007C5C31"/>
    <w:rsid w:val="00951D46"/>
    <w:rsid w:val="00B66F50"/>
    <w:rsid w:val="00BE6B0A"/>
    <w:rsid w:val="00C47B30"/>
    <w:rsid w:val="00CC509D"/>
    <w:rsid w:val="00D855DD"/>
    <w:rsid w:val="00EB3838"/>
    <w:rsid w:val="00ED5A8C"/>
    <w:rsid w:val="00FE06BA"/>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F9FF"/>
  <w15:chartTrackingRefBased/>
  <w15:docId w15:val="{8A0CAAA1-6017-4DAE-A0B0-D42D1939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110"/>
    <w:pPr>
      <w:spacing w:line="480" w:lineRule="auto"/>
      <w:jc w:val="both"/>
    </w:pPr>
    <w:rPr>
      <w:rFonts w:ascii="Times New Roman" w:eastAsia="Times New Roman" w:hAnsi="Times New Roman" w:cs="Times New Roman"/>
      <w:sz w:val="24"/>
      <w:szCs w:val="24"/>
      <w:lang w:val="en-US" w:eastAsia="ja-JP"/>
    </w:rPr>
  </w:style>
  <w:style w:type="paragraph" w:styleId="Heading1">
    <w:name w:val="heading 1"/>
    <w:basedOn w:val="Normal"/>
    <w:next w:val="Normal"/>
    <w:link w:val="Heading1Char"/>
    <w:uiPriority w:val="9"/>
    <w:qFormat/>
    <w:rsid w:val="00592110"/>
    <w:pPr>
      <w:spacing w:before="360" w:after="80"/>
      <w:outlineLvl w:val="0"/>
    </w:pPr>
    <w:rPr>
      <w:color w:val="000000" w:themeColor="text1"/>
      <w:sz w:val="40"/>
      <w:szCs w:val="40"/>
    </w:rPr>
  </w:style>
  <w:style w:type="paragraph" w:styleId="Heading2">
    <w:name w:val="heading 2"/>
    <w:basedOn w:val="Normal"/>
    <w:next w:val="Normal"/>
    <w:link w:val="Heading2Char"/>
    <w:uiPriority w:val="9"/>
    <w:unhideWhenUsed/>
    <w:qFormat/>
    <w:rsid w:val="00592110"/>
    <w:pPr>
      <w:spacing w:after="80"/>
      <w:jc w:val="left"/>
      <w:outlineLvl w:val="1"/>
    </w:pPr>
    <w:rPr>
      <w:color w:val="000000" w:themeColor="text1"/>
      <w:sz w:val="28"/>
      <w:szCs w:val="28"/>
    </w:rPr>
  </w:style>
  <w:style w:type="paragraph" w:styleId="Heading3">
    <w:name w:val="heading 3"/>
    <w:basedOn w:val="Normal"/>
    <w:next w:val="Normal"/>
    <w:link w:val="Heading3Char"/>
    <w:uiPriority w:val="9"/>
    <w:unhideWhenUsed/>
    <w:qFormat/>
    <w:rsid w:val="00592110"/>
    <w:pPr>
      <w:spacing w:before="160" w:after="8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110"/>
    <w:rPr>
      <w:rFonts w:ascii="Times New Roman" w:eastAsia="Times New Roman" w:hAnsi="Times New Roman" w:cs="Times New Roman"/>
      <w:color w:val="000000" w:themeColor="text1"/>
      <w:sz w:val="40"/>
      <w:szCs w:val="40"/>
      <w:lang w:val="en-US" w:eastAsia="ja-JP"/>
    </w:rPr>
  </w:style>
  <w:style w:type="character" w:customStyle="1" w:styleId="Heading2Char">
    <w:name w:val="Heading 2 Char"/>
    <w:basedOn w:val="DefaultParagraphFont"/>
    <w:link w:val="Heading2"/>
    <w:uiPriority w:val="9"/>
    <w:rsid w:val="00592110"/>
    <w:rPr>
      <w:rFonts w:ascii="Times New Roman" w:eastAsia="Times New Roman" w:hAnsi="Times New Roman" w:cs="Times New Roman"/>
      <w:color w:val="000000" w:themeColor="text1"/>
      <w:sz w:val="28"/>
      <w:szCs w:val="28"/>
      <w:lang w:val="en-US" w:eastAsia="ja-JP"/>
    </w:rPr>
  </w:style>
  <w:style w:type="character" w:customStyle="1" w:styleId="Heading3Char">
    <w:name w:val="Heading 3 Char"/>
    <w:basedOn w:val="DefaultParagraphFont"/>
    <w:link w:val="Heading3"/>
    <w:uiPriority w:val="9"/>
    <w:rsid w:val="00592110"/>
    <w:rPr>
      <w:rFonts w:ascii="Times New Roman" w:eastAsiaTheme="majorEastAsia" w:hAnsi="Times New Roman" w:cstheme="majorBidi"/>
      <w:b/>
      <w:bCs/>
      <w:sz w:val="24"/>
      <w:szCs w:val="24"/>
      <w:lang w:val="en-US" w:eastAsia="ja-JP"/>
    </w:rPr>
  </w:style>
  <w:style w:type="character" w:styleId="Hyperlink">
    <w:name w:val="Hyperlink"/>
    <w:basedOn w:val="DefaultParagraphFont"/>
    <w:uiPriority w:val="99"/>
    <w:unhideWhenUsed/>
    <w:rsid w:val="00592110"/>
    <w:rPr>
      <w:color w:val="467886"/>
      <w:u w:val="single"/>
    </w:rPr>
  </w:style>
  <w:style w:type="character" w:styleId="LineNumber">
    <w:name w:val="line number"/>
    <w:basedOn w:val="DefaultParagraphFont"/>
    <w:uiPriority w:val="99"/>
    <w:semiHidden/>
    <w:unhideWhenUsed/>
    <w:rsid w:val="00592110"/>
  </w:style>
  <w:style w:type="paragraph" w:styleId="ListParagraph">
    <w:name w:val="List Paragraph"/>
    <w:basedOn w:val="Normal"/>
    <w:uiPriority w:val="34"/>
    <w:qFormat/>
    <w:rsid w:val="004B3364"/>
    <w:pPr>
      <w:ind w:left="720"/>
      <w:contextualSpacing/>
    </w:pPr>
  </w:style>
  <w:style w:type="table" w:styleId="TableGrid">
    <w:name w:val="Table Grid"/>
    <w:basedOn w:val="TableNormal"/>
    <w:uiPriority w:val="59"/>
    <w:rsid w:val="004B3364"/>
    <w:pPr>
      <w:spacing w:after="0" w:line="240" w:lineRule="auto"/>
    </w:pPr>
    <w:rPr>
      <w:rFonts w:eastAsiaTheme="minorEastAsia"/>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15</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Muranen, Taru A</dc:creator>
  <cp:keywords/>
  <dc:description/>
  <cp:lastModifiedBy>Muranen, Taru A</cp:lastModifiedBy>
  <cp:revision>9</cp:revision>
  <cp:lastPrinted>2026-01-27T13:54:00Z</cp:lastPrinted>
  <dcterms:created xsi:type="dcterms:W3CDTF">2026-01-27T09:15:00Z</dcterms:created>
  <dcterms:modified xsi:type="dcterms:W3CDTF">2026-02-11T08:24:00Z</dcterms:modified>
</cp:coreProperties>
</file>