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C3919" w14:textId="27BC62FE" w:rsidR="000C5FE2" w:rsidRPr="000C5FE2" w:rsidRDefault="000C5FE2" w:rsidP="00BB29FC">
      <w:pPr>
        <w:pStyle w:val="Title"/>
        <w:rPr>
          <w:rFonts w:cstheme="majorHAnsi"/>
          <w:sz w:val="22"/>
          <w:szCs w:val="22"/>
        </w:rPr>
      </w:pPr>
      <w:r w:rsidRPr="000C5FE2">
        <w:rPr>
          <w:rFonts w:cstheme="majorHAnsi"/>
          <w:sz w:val="22"/>
          <w:szCs w:val="22"/>
        </w:rPr>
        <w:t>Supplementary</w:t>
      </w:r>
    </w:p>
    <w:p w14:paraId="355A1FEF" w14:textId="77777777" w:rsidR="000C5FE2" w:rsidRPr="000C5FE2" w:rsidRDefault="000C5FE2" w:rsidP="00BB29FC">
      <w:pPr>
        <w:keepNext/>
        <w:spacing w:before="0" w:beforeAutospacing="0" w:after="0" w:afterAutospacing="0" w:line="240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5D87D5D6" w14:textId="270E888A" w:rsidR="000C5FE2" w:rsidRPr="000C5FE2" w:rsidRDefault="000C5FE2" w:rsidP="00BB29FC">
      <w:pPr>
        <w:pStyle w:val="Caption"/>
        <w:spacing w:line="240" w:lineRule="auto"/>
        <w:jc w:val="left"/>
        <w:rPr>
          <w:rFonts w:asciiTheme="majorHAnsi" w:hAnsiTheme="majorHAnsi" w:cstheme="majorHAnsi"/>
          <w:sz w:val="22"/>
          <w:szCs w:val="22"/>
        </w:rPr>
      </w:pPr>
      <w:r w:rsidRPr="000C5FE2">
        <w:rPr>
          <w:rFonts w:asciiTheme="majorHAnsi" w:hAnsiTheme="majorHAnsi" w:cstheme="majorHAnsi"/>
          <w:sz w:val="22"/>
          <w:szCs w:val="22"/>
        </w:rPr>
        <w:t>Supplementary Table 1 Demographic and clinical variables</w:t>
      </w:r>
    </w:p>
    <w:tbl>
      <w:tblPr>
        <w:tblStyle w:val="PlainTable5"/>
        <w:tblW w:w="5388" w:type="pct"/>
        <w:tblLook w:val="04A0" w:firstRow="1" w:lastRow="0" w:firstColumn="1" w:lastColumn="0" w:noHBand="0" w:noVBand="1"/>
      </w:tblPr>
      <w:tblGrid>
        <w:gridCol w:w="2834"/>
        <w:gridCol w:w="4058"/>
        <w:gridCol w:w="2834"/>
      </w:tblGrid>
      <w:tr w:rsidR="000C5FE2" w:rsidRPr="000C5FE2" w14:paraId="6B613525" w14:textId="77777777" w:rsidTr="006270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57" w:type="pct"/>
          </w:tcPr>
          <w:p w14:paraId="3F234D8E" w14:textId="77777777" w:rsidR="000C5FE2" w:rsidRPr="000C5FE2" w:rsidRDefault="000C5FE2" w:rsidP="00BB29FC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Variables</w:t>
            </w:r>
          </w:p>
        </w:tc>
        <w:tc>
          <w:tcPr>
            <w:tcW w:w="2086" w:type="pct"/>
          </w:tcPr>
          <w:p w14:paraId="4863201F" w14:textId="77777777" w:rsidR="000C5FE2" w:rsidRPr="000C5FE2" w:rsidRDefault="000C5FE2" w:rsidP="00BB29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Patients</w:t>
            </w:r>
          </w:p>
        </w:tc>
        <w:tc>
          <w:tcPr>
            <w:tcW w:w="1457" w:type="pct"/>
          </w:tcPr>
          <w:p w14:paraId="1DD40F71" w14:textId="77777777" w:rsidR="000C5FE2" w:rsidRPr="000C5FE2" w:rsidRDefault="000C5FE2" w:rsidP="00BB29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Normal controls</w:t>
            </w:r>
          </w:p>
        </w:tc>
      </w:tr>
      <w:tr w:rsidR="000C5FE2" w:rsidRPr="000C5FE2" w14:paraId="63C338A1" w14:textId="77777777" w:rsidTr="0062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0B40B725" w14:textId="77777777" w:rsidR="000C5FE2" w:rsidRPr="000C5FE2" w:rsidRDefault="000C5FE2" w:rsidP="00BB29FC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Autism spectrum disorders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CBEACBB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(n=42)</w:t>
            </w: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9F554CE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(n=43)</w:t>
            </w:r>
          </w:p>
        </w:tc>
      </w:tr>
      <w:tr w:rsidR="000C5FE2" w:rsidRPr="000C5FE2" w14:paraId="5E550502" w14:textId="77777777" w:rsidTr="006270BE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53605181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Age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3123939C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3CE2A808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C5FE2" w:rsidRPr="000C5FE2" w14:paraId="4E954C16" w14:textId="77777777" w:rsidTr="0062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7EAE1037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 xml:space="preserve">       Mean (SD)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76B0FCCC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26.38 (17.46)</w:t>
            </w: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7EDF10D2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28.62 (17.05)</w:t>
            </w:r>
          </w:p>
        </w:tc>
      </w:tr>
      <w:tr w:rsidR="000C5FE2" w:rsidRPr="000C5FE2" w14:paraId="3893E18E" w14:textId="77777777" w:rsidTr="006270BE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5094D550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 xml:space="preserve">       Minimum-maximum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78C8386C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2-67</w:t>
            </w: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342989B0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4-60</w:t>
            </w:r>
          </w:p>
        </w:tc>
      </w:tr>
      <w:tr w:rsidR="000C5FE2" w:rsidRPr="000C5FE2" w14:paraId="28014668" w14:textId="77777777" w:rsidTr="0062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1C40DC68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Sex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7F5430C2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5BDF7E68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C5FE2" w:rsidRPr="000C5FE2" w14:paraId="7E008128" w14:textId="77777777" w:rsidTr="006270BE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53F6C977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 xml:space="preserve">       Male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3D9BB139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33 (78.57%)</w:t>
            </w: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18EAAD21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34 (79.07%)</w:t>
            </w:r>
          </w:p>
        </w:tc>
      </w:tr>
      <w:tr w:rsidR="000C5FE2" w:rsidRPr="000C5FE2" w14:paraId="2F2B6BCA" w14:textId="77777777" w:rsidTr="0062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7467E83E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 xml:space="preserve">       Female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51459785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9 (21.43%)</w:t>
            </w: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75D2B30A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9 (20.93%)</w:t>
            </w:r>
          </w:p>
        </w:tc>
      </w:tr>
      <w:tr w:rsidR="000C5FE2" w:rsidRPr="000C5FE2" w14:paraId="29A6699C" w14:textId="77777777" w:rsidTr="006270BE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2FD2E040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47F1D61C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23AFC85D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C5FE2" w:rsidRPr="000C5FE2" w14:paraId="57BA2D95" w14:textId="77777777" w:rsidTr="0062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702E46A2" w14:textId="579E934F" w:rsidR="000C5FE2" w:rsidRPr="000C5FE2" w:rsidRDefault="000C5FE2" w:rsidP="00BB29FC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Tourette syndrome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3A58A133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(n=9)</w:t>
            </w: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752CEE2D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(n=9)</w:t>
            </w:r>
          </w:p>
        </w:tc>
      </w:tr>
      <w:tr w:rsidR="000C5FE2" w:rsidRPr="000C5FE2" w14:paraId="58C853E6" w14:textId="77777777" w:rsidTr="006270BE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1C738313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Age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1678307E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1BE91B48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C5FE2" w:rsidRPr="000C5FE2" w14:paraId="4AE1A7BF" w14:textId="77777777" w:rsidTr="0062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184787FB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 xml:space="preserve">       Mean (SD)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0B387178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62.77 (16.73)</w:t>
            </w: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0F65AE70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58 (15.77)</w:t>
            </w:r>
          </w:p>
        </w:tc>
      </w:tr>
      <w:tr w:rsidR="000C5FE2" w:rsidRPr="000C5FE2" w14:paraId="4230B8B2" w14:textId="77777777" w:rsidTr="006270BE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4DED38E8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 xml:space="preserve">       Minimum-maximum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20ACF30D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41-86</w:t>
            </w: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25F4FA3D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28-82</w:t>
            </w:r>
          </w:p>
        </w:tc>
      </w:tr>
      <w:tr w:rsidR="000C5FE2" w:rsidRPr="000C5FE2" w14:paraId="40787AF1" w14:textId="77777777" w:rsidTr="0062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622A69E4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Sex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102D38E1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31EBDC8A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C5FE2" w:rsidRPr="000C5FE2" w14:paraId="7562694C" w14:textId="77777777" w:rsidTr="006270BE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69113D19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 xml:space="preserve">       Male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5561E835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5(55.55%)</w:t>
            </w: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28162A53" w14:textId="77777777" w:rsidR="000C5FE2" w:rsidRPr="000C5FE2" w:rsidRDefault="000C5FE2" w:rsidP="00BB29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5(55.55%)</w:t>
            </w:r>
          </w:p>
        </w:tc>
      </w:tr>
      <w:tr w:rsidR="000C5FE2" w:rsidRPr="000C5FE2" w14:paraId="5C3CB11C" w14:textId="77777777" w:rsidTr="0062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pct"/>
            <w:tcBorders>
              <w:right w:val="single" w:sz="4" w:space="0" w:color="767171" w:themeColor="background2" w:themeShade="80"/>
            </w:tcBorders>
          </w:tcPr>
          <w:p w14:paraId="5B6E7CD2" w14:textId="77777777" w:rsidR="000C5FE2" w:rsidRPr="000C5FE2" w:rsidRDefault="000C5FE2" w:rsidP="00BB29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 xml:space="preserve">       Female</w:t>
            </w:r>
          </w:p>
        </w:tc>
        <w:tc>
          <w:tcPr>
            <w:tcW w:w="2086" w:type="pct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</w:tcPr>
          <w:p w14:paraId="38B77A01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4(44.44%)</w:t>
            </w:r>
          </w:p>
        </w:tc>
        <w:tc>
          <w:tcPr>
            <w:tcW w:w="1457" w:type="pct"/>
            <w:tcBorders>
              <w:left w:val="single" w:sz="4" w:space="0" w:color="767171" w:themeColor="background2" w:themeShade="80"/>
            </w:tcBorders>
            <w:shd w:val="clear" w:color="auto" w:fill="auto"/>
          </w:tcPr>
          <w:p w14:paraId="71D0398C" w14:textId="77777777" w:rsidR="000C5FE2" w:rsidRPr="000C5FE2" w:rsidRDefault="000C5FE2" w:rsidP="00BB29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0C5FE2">
              <w:rPr>
                <w:rFonts w:asciiTheme="majorHAnsi" w:hAnsiTheme="majorHAnsi" w:cstheme="majorHAnsi"/>
                <w:sz w:val="22"/>
                <w:szCs w:val="22"/>
              </w:rPr>
              <w:t>4(44.44%)</w:t>
            </w:r>
          </w:p>
        </w:tc>
      </w:tr>
    </w:tbl>
    <w:p w14:paraId="1F6365C0" w14:textId="77777777" w:rsidR="000C5FE2" w:rsidRPr="000C5FE2" w:rsidRDefault="000C5FE2" w:rsidP="00BB29FC">
      <w:pPr>
        <w:spacing w:line="240" w:lineRule="auto"/>
        <w:rPr>
          <w:rFonts w:asciiTheme="majorHAnsi" w:hAnsiTheme="majorHAnsi" w:cstheme="majorHAnsi"/>
          <w:sz w:val="22"/>
          <w:szCs w:val="22"/>
        </w:rPr>
      </w:pPr>
    </w:p>
    <w:p w14:paraId="434343C7" w14:textId="77777777" w:rsidR="000C5FE2" w:rsidRPr="000C5FE2" w:rsidRDefault="000C5FE2" w:rsidP="00BB29FC">
      <w:pPr>
        <w:spacing w:line="240" w:lineRule="auto"/>
        <w:rPr>
          <w:rFonts w:asciiTheme="majorHAnsi" w:hAnsiTheme="majorHAnsi" w:cstheme="majorHAnsi"/>
          <w:sz w:val="22"/>
          <w:szCs w:val="22"/>
        </w:rPr>
      </w:pPr>
      <w:r w:rsidRPr="000C5FE2">
        <w:rPr>
          <w:rFonts w:asciiTheme="majorHAnsi" w:eastAsia="Times New Roman" w:hAnsiTheme="majorHAnsi" w:cstheme="majorHAnsi"/>
          <w:b/>
          <w:bCs/>
          <w:sz w:val="22"/>
          <w:szCs w:val="22"/>
        </w:rPr>
        <w:t>Supplementary Table 2</w:t>
      </w:r>
      <w:r w:rsidRPr="000C5FE2">
        <w:rPr>
          <w:rFonts w:asciiTheme="majorHAnsi" w:hAnsiTheme="majorHAnsi" w:cstheme="majorHAnsi"/>
          <w:sz w:val="22"/>
          <w:szCs w:val="22"/>
        </w:rPr>
        <w:t xml:space="preserve"> – ASD differentially expressed genes, all genes included in the analysis, Reactome enrichments, KEGG enrichments and GO enrichments.</w:t>
      </w:r>
    </w:p>
    <w:p w14:paraId="068BF8A5" w14:textId="45C41061" w:rsidR="000C5FE2" w:rsidRPr="000C5FE2" w:rsidRDefault="000C5FE2" w:rsidP="00BB29FC">
      <w:pPr>
        <w:spacing w:line="240" w:lineRule="auto"/>
        <w:rPr>
          <w:rFonts w:asciiTheme="majorHAnsi" w:hAnsiTheme="majorHAnsi" w:cstheme="majorHAnsi"/>
          <w:sz w:val="22"/>
          <w:szCs w:val="22"/>
        </w:rPr>
      </w:pPr>
      <w:r w:rsidRPr="000C5FE2">
        <w:rPr>
          <w:rFonts w:asciiTheme="majorHAnsi" w:eastAsia="Times New Roman" w:hAnsiTheme="majorHAnsi" w:cstheme="majorHAnsi"/>
          <w:b/>
          <w:bCs/>
          <w:sz w:val="22"/>
          <w:szCs w:val="22"/>
        </w:rPr>
        <w:t>Supplementary Table 3</w:t>
      </w:r>
      <w:r w:rsidRPr="000C5FE2">
        <w:rPr>
          <w:rFonts w:asciiTheme="majorHAnsi" w:hAnsiTheme="majorHAnsi" w:cstheme="majorHAnsi"/>
          <w:sz w:val="22"/>
          <w:szCs w:val="22"/>
        </w:rPr>
        <w:t xml:space="preserve"> – </w:t>
      </w:r>
      <w:r w:rsidR="008F4B77">
        <w:rPr>
          <w:rFonts w:asciiTheme="majorHAnsi" w:hAnsiTheme="majorHAnsi" w:cstheme="majorHAnsi"/>
          <w:sz w:val="22"/>
          <w:szCs w:val="22"/>
        </w:rPr>
        <w:t>TS</w:t>
      </w:r>
      <w:r w:rsidRPr="000C5FE2">
        <w:rPr>
          <w:rFonts w:asciiTheme="majorHAnsi" w:hAnsiTheme="majorHAnsi" w:cstheme="majorHAnsi"/>
          <w:sz w:val="22"/>
          <w:szCs w:val="22"/>
        </w:rPr>
        <w:t xml:space="preserve"> differentially expressed genes, all genes included in the analysis, Reactome enrichments, KEGG enrichments and GO enrichments.</w:t>
      </w:r>
    </w:p>
    <w:p w14:paraId="42CE9321" w14:textId="557E489E" w:rsidR="000C5FE2" w:rsidRPr="000C5FE2" w:rsidRDefault="000C5FE2" w:rsidP="00BB29FC">
      <w:pPr>
        <w:spacing w:line="240" w:lineRule="auto"/>
        <w:rPr>
          <w:rFonts w:asciiTheme="majorHAnsi" w:hAnsiTheme="majorHAnsi" w:cstheme="majorHAnsi"/>
          <w:sz w:val="22"/>
          <w:szCs w:val="22"/>
        </w:rPr>
      </w:pPr>
      <w:r w:rsidRPr="000C5FE2">
        <w:rPr>
          <w:rFonts w:asciiTheme="majorHAnsi" w:eastAsia="Times New Roman" w:hAnsiTheme="majorHAnsi" w:cstheme="majorHAnsi"/>
          <w:b/>
          <w:bCs/>
          <w:sz w:val="22"/>
          <w:szCs w:val="22"/>
        </w:rPr>
        <w:t>Supplementary Table 4</w:t>
      </w:r>
      <w:r w:rsidRPr="000C5FE2">
        <w:rPr>
          <w:rFonts w:asciiTheme="majorHAnsi" w:hAnsiTheme="majorHAnsi" w:cstheme="majorHAnsi"/>
          <w:sz w:val="22"/>
          <w:szCs w:val="22"/>
        </w:rPr>
        <w:t xml:space="preserve"> – Common differentially expressed genes between ASD and </w:t>
      </w:r>
      <w:r w:rsidR="008F4B77">
        <w:rPr>
          <w:rFonts w:asciiTheme="majorHAnsi" w:hAnsiTheme="majorHAnsi" w:cstheme="majorHAnsi"/>
          <w:sz w:val="22"/>
          <w:szCs w:val="22"/>
        </w:rPr>
        <w:t>TS</w:t>
      </w:r>
      <w:r w:rsidRPr="000C5FE2">
        <w:rPr>
          <w:rFonts w:asciiTheme="majorHAnsi" w:hAnsiTheme="majorHAnsi" w:cstheme="majorHAnsi"/>
          <w:sz w:val="22"/>
          <w:szCs w:val="22"/>
        </w:rPr>
        <w:t xml:space="preserve">, Reactome enrichments and KEGG enrichments. </w:t>
      </w:r>
    </w:p>
    <w:p w14:paraId="09EF33E1" w14:textId="541A9B15" w:rsidR="000C5FE2" w:rsidRDefault="000C5FE2" w:rsidP="00BB29FC">
      <w:pPr>
        <w:keepNext/>
        <w:spacing w:before="0" w:beforeAutospacing="0" w:after="0" w:afterAutospacing="0" w:line="240" w:lineRule="auto"/>
        <w:rPr>
          <w:rFonts w:asciiTheme="majorHAnsi" w:hAnsiTheme="majorHAnsi" w:cstheme="majorHAnsi"/>
          <w:sz w:val="22"/>
          <w:szCs w:val="22"/>
        </w:rPr>
      </w:pPr>
    </w:p>
    <w:p w14:paraId="1BBC67F2" w14:textId="77777777" w:rsidR="001D5E56" w:rsidRPr="000C5FE2" w:rsidRDefault="001D5E56" w:rsidP="00BB29FC">
      <w:pPr>
        <w:keepNext/>
        <w:spacing w:before="0" w:beforeAutospacing="0" w:after="0" w:afterAutospacing="0" w:line="240" w:lineRule="auto"/>
        <w:rPr>
          <w:rFonts w:asciiTheme="majorHAnsi" w:hAnsiTheme="majorHAnsi" w:cstheme="majorHAnsi"/>
          <w:sz w:val="22"/>
          <w:szCs w:val="22"/>
        </w:rPr>
      </w:pPr>
    </w:p>
    <w:p w14:paraId="44B20EDF" w14:textId="77777777" w:rsidR="001D5E56" w:rsidRDefault="001D5E56">
      <w:pPr>
        <w:spacing w:before="0" w:beforeAutospacing="0" w:after="240" w:afterAutospacing="0"/>
        <w:ind w:firstLine="360"/>
        <w:jc w:val="left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br w:type="page"/>
      </w:r>
    </w:p>
    <w:p w14:paraId="6A773C94" w14:textId="2258D362" w:rsidR="000C5FE2" w:rsidRPr="001D5E56" w:rsidRDefault="000C5FE2" w:rsidP="001D5E56">
      <w:pPr>
        <w:keepNext/>
        <w:spacing w:before="0" w:beforeAutospacing="0" w:after="0" w:afterAutospacing="0" w:line="240" w:lineRule="auto"/>
        <w:rPr>
          <w:rFonts w:asciiTheme="majorHAnsi" w:hAnsiTheme="majorHAnsi" w:cstheme="majorHAnsi"/>
          <w:b/>
          <w:bCs/>
          <w:sz w:val="22"/>
          <w:szCs w:val="22"/>
        </w:rPr>
      </w:pPr>
      <w:r w:rsidRPr="000C5FE2">
        <w:rPr>
          <w:rFonts w:asciiTheme="majorHAnsi" w:hAnsiTheme="majorHAnsi" w:cstheme="majorHAnsi"/>
          <w:b/>
          <w:bCs/>
          <w:sz w:val="22"/>
          <w:szCs w:val="22"/>
        </w:rPr>
        <w:lastRenderedPageBreak/>
        <w:t>Figures:</w:t>
      </w:r>
    </w:p>
    <w:p w14:paraId="74F6F8F9" w14:textId="77777777" w:rsidR="0070716B" w:rsidRDefault="000C5FE2" w:rsidP="0070716B">
      <w:pPr>
        <w:pStyle w:val="Caption"/>
        <w:spacing w:line="276" w:lineRule="auto"/>
        <w:jc w:val="left"/>
        <w:rPr>
          <w:rFonts w:asciiTheme="majorHAnsi" w:hAnsiTheme="majorHAnsi" w:cstheme="majorHAnsi"/>
          <w:b w:val="0"/>
          <w:bCs w:val="0"/>
          <w:noProof/>
          <w:sz w:val="22"/>
          <w:szCs w:val="22"/>
        </w:rPr>
      </w:pPr>
      <w:r w:rsidRPr="000C5FE2">
        <w:rPr>
          <w:rFonts w:asciiTheme="majorHAnsi" w:hAnsiTheme="majorHAnsi" w:cstheme="majorHAnsi"/>
          <w:sz w:val="22"/>
          <w:szCs w:val="22"/>
        </w:rPr>
        <w:t>Supplementary figure 1</w:t>
      </w:r>
      <w:r w:rsidR="001D5E56">
        <w:rPr>
          <w:rFonts w:asciiTheme="majorHAnsi" w:hAnsiTheme="majorHAnsi" w:cstheme="majorHAnsi"/>
          <w:sz w:val="22"/>
          <w:szCs w:val="22"/>
        </w:rPr>
        <w:t>.</w:t>
      </w:r>
      <w:r w:rsidRPr="000C5FE2">
        <w:rPr>
          <w:rFonts w:asciiTheme="majorHAnsi" w:hAnsiTheme="majorHAnsi" w:cstheme="majorHAnsi"/>
          <w:sz w:val="22"/>
          <w:szCs w:val="22"/>
        </w:rPr>
        <w:t xml:space="preserve"> - </w:t>
      </w:r>
      <w:r w:rsidRPr="000C5FE2">
        <w:rPr>
          <w:rFonts w:asciiTheme="majorHAnsi" w:hAnsiTheme="majorHAnsi" w:cstheme="majorHAnsi"/>
          <w:noProof/>
          <w:sz w:val="22"/>
          <w:szCs w:val="22"/>
        </w:rPr>
        <w:t>Transcriptional Clustering of ASD patients and normal controls</w:t>
      </w:r>
      <w:r w:rsidR="001D5E56">
        <w:rPr>
          <w:rFonts w:asciiTheme="majorHAnsi" w:hAnsiTheme="majorHAnsi" w:cstheme="majorHAnsi"/>
          <w:noProof/>
          <w:sz w:val="22"/>
          <w:szCs w:val="22"/>
        </w:rPr>
        <w:t xml:space="preserve">. </w:t>
      </w:r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 xml:space="preserve">Cluster analyses identifying transcriptional differences within the Autism-Spectrum Disorder (ASD; pink) patients and normal controls (NC; blue) using Euclidean distances. A) Hierarchal cluster dendrogram using the agglomerative method. B) Multidimensional scaling (MDS) plot using Dimension 2 (y-axis) and Dimension 1 (x-axis) which account for most of the variance in the data set. C) Variance histogram identifies the amount of variance (y-axis) explained by each principal component (x-axis; dimension). D) Principal Component Analysis (PCA) scatter plot of PC2 (y-axis) and PC1 (x-axis) which account for most of the variance in the data set. ASD = Autism-Spectrum Disorder (n=42), NC = Normal control (n=43). </w:t>
      </w:r>
    </w:p>
    <w:p w14:paraId="4DF713F0" w14:textId="6EC90C12" w:rsidR="0070716B" w:rsidRDefault="000C5FE2" w:rsidP="0070716B">
      <w:pPr>
        <w:pStyle w:val="Caption"/>
        <w:spacing w:line="276" w:lineRule="auto"/>
        <w:jc w:val="left"/>
        <w:rPr>
          <w:rFonts w:asciiTheme="majorHAnsi" w:hAnsiTheme="majorHAnsi" w:cstheme="majorHAnsi"/>
          <w:b w:val="0"/>
          <w:bCs w:val="0"/>
          <w:noProof/>
          <w:sz w:val="22"/>
          <w:szCs w:val="22"/>
        </w:rPr>
      </w:pPr>
      <w:r w:rsidRPr="000C5FE2">
        <w:rPr>
          <w:rFonts w:asciiTheme="majorHAnsi" w:hAnsiTheme="majorHAnsi" w:cstheme="majorHAnsi"/>
          <w:sz w:val="22"/>
          <w:szCs w:val="22"/>
        </w:rPr>
        <w:t>Supplementary figure 2</w:t>
      </w:r>
      <w:r w:rsidR="001D5E56">
        <w:rPr>
          <w:rFonts w:asciiTheme="majorHAnsi" w:hAnsiTheme="majorHAnsi" w:cstheme="majorHAnsi"/>
          <w:sz w:val="22"/>
          <w:szCs w:val="22"/>
        </w:rPr>
        <w:t>.</w:t>
      </w:r>
      <w:r w:rsidRPr="000C5FE2">
        <w:rPr>
          <w:rFonts w:asciiTheme="majorHAnsi" w:hAnsiTheme="majorHAnsi" w:cstheme="majorHAnsi"/>
          <w:sz w:val="22"/>
          <w:szCs w:val="22"/>
        </w:rPr>
        <w:t xml:space="preserve"> - </w:t>
      </w:r>
      <w:r w:rsidRPr="000C5FE2">
        <w:rPr>
          <w:rFonts w:asciiTheme="majorHAnsi" w:hAnsiTheme="majorHAnsi" w:cstheme="majorHAnsi"/>
          <w:noProof/>
          <w:sz w:val="22"/>
          <w:szCs w:val="22"/>
        </w:rPr>
        <w:t xml:space="preserve">Transcriptional Clustering of </w:t>
      </w:r>
      <w:r w:rsidR="008F4B77">
        <w:rPr>
          <w:rFonts w:asciiTheme="majorHAnsi" w:hAnsiTheme="majorHAnsi" w:cstheme="majorHAnsi"/>
          <w:noProof/>
          <w:sz w:val="22"/>
          <w:szCs w:val="22"/>
        </w:rPr>
        <w:t>TS</w:t>
      </w:r>
      <w:r w:rsidRPr="000C5FE2">
        <w:rPr>
          <w:rFonts w:asciiTheme="majorHAnsi" w:hAnsiTheme="majorHAnsi" w:cstheme="majorHAnsi"/>
          <w:noProof/>
          <w:sz w:val="22"/>
          <w:szCs w:val="22"/>
        </w:rPr>
        <w:t xml:space="preserve"> and normal controls</w:t>
      </w:r>
      <w:r w:rsidR="001D5E56">
        <w:rPr>
          <w:rFonts w:asciiTheme="majorHAnsi" w:hAnsiTheme="majorHAnsi" w:cstheme="majorHAnsi"/>
          <w:noProof/>
          <w:sz w:val="22"/>
          <w:szCs w:val="22"/>
        </w:rPr>
        <w:t xml:space="preserve">. </w:t>
      </w:r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 xml:space="preserve">Cluster analyses identifying transcriptional differences within </w:t>
      </w:r>
      <w:r w:rsidR="008F4B77">
        <w:rPr>
          <w:rFonts w:asciiTheme="majorHAnsi" w:hAnsiTheme="majorHAnsi" w:cstheme="majorHAnsi"/>
          <w:b w:val="0"/>
          <w:bCs w:val="0"/>
          <w:sz w:val="22"/>
          <w:szCs w:val="22"/>
        </w:rPr>
        <w:t>individuals with</w:t>
      </w:r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 xml:space="preserve"> Tourette syndrome (TS; purple) and normal controls (NC; yellow) using Euclidean distances. A) Hierarchal cluster dendrogram using the agglomerative method. B) Multidimensional scaling (MDS) plot using Dimension 2 (y-axis) and Dimension 1 (x-axis) which account for most of the variance in the data set. C) Variance histogram identifies the amount of variance (y-axis) explained by each principal component (x-axis; dimension). D) Principal Component Analysis (PCA) scatter plot of PC2 (y-axis) and PC1 (x-axis) which account for most of the variance in the data set. TS = Tourette syndrome (n=9), NC = Normal control (n=9).</w:t>
      </w:r>
      <w:r w:rsidRPr="000C5FE2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54A2E3D9" w14:textId="77777777" w:rsidR="0070716B" w:rsidRDefault="000C5FE2" w:rsidP="0070716B">
      <w:pPr>
        <w:pStyle w:val="Caption"/>
        <w:spacing w:line="276" w:lineRule="auto"/>
        <w:jc w:val="left"/>
        <w:rPr>
          <w:rFonts w:asciiTheme="majorHAnsi" w:hAnsiTheme="majorHAnsi" w:cstheme="majorHAnsi"/>
          <w:b w:val="0"/>
          <w:bCs w:val="0"/>
          <w:noProof/>
          <w:sz w:val="22"/>
          <w:szCs w:val="22"/>
        </w:rPr>
      </w:pPr>
      <w:r w:rsidRPr="000C5FE2">
        <w:rPr>
          <w:rFonts w:asciiTheme="majorHAnsi" w:hAnsiTheme="majorHAnsi" w:cstheme="majorHAnsi"/>
          <w:sz w:val="22"/>
          <w:szCs w:val="22"/>
        </w:rPr>
        <w:t xml:space="preserve">Supplementary figure </w:t>
      </w:r>
      <w:r w:rsidR="00D50F96">
        <w:rPr>
          <w:rFonts w:asciiTheme="majorHAnsi" w:hAnsiTheme="majorHAnsi" w:cstheme="majorHAnsi"/>
          <w:sz w:val="22"/>
          <w:szCs w:val="22"/>
        </w:rPr>
        <w:t>3</w:t>
      </w:r>
      <w:r w:rsidR="001D5E56">
        <w:rPr>
          <w:rFonts w:asciiTheme="majorHAnsi" w:hAnsiTheme="majorHAnsi" w:cstheme="majorHAnsi"/>
          <w:sz w:val="22"/>
          <w:szCs w:val="22"/>
        </w:rPr>
        <w:t>.</w:t>
      </w:r>
      <w:r w:rsidRPr="000C5FE2">
        <w:rPr>
          <w:rFonts w:asciiTheme="majorHAnsi" w:hAnsiTheme="majorHAnsi" w:cstheme="majorHAnsi"/>
          <w:sz w:val="22"/>
          <w:szCs w:val="22"/>
        </w:rPr>
        <w:t xml:space="preserve"> – ASD </w:t>
      </w:r>
      <w:r w:rsidRPr="000C5FE2">
        <w:rPr>
          <w:rFonts w:asciiTheme="majorHAnsi" w:hAnsiTheme="majorHAnsi" w:cstheme="majorHAnsi"/>
          <w:noProof/>
          <w:sz w:val="22"/>
          <w:szCs w:val="22"/>
        </w:rPr>
        <w:t>Gene Ontology enrichment analysis</w:t>
      </w:r>
      <w:r w:rsidR="001D5E56">
        <w:rPr>
          <w:rFonts w:asciiTheme="majorHAnsi" w:hAnsiTheme="majorHAnsi" w:cstheme="majorHAnsi"/>
          <w:noProof/>
          <w:sz w:val="22"/>
          <w:szCs w:val="22"/>
        </w:rPr>
        <w:t>.</w:t>
      </w:r>
      <w:r w:rsidRPr="000C5FE2">
        <w:rPr>
          <w:rFonts w:asciiTheme="majorHAnsi" w:hAnsiTheme="majorHAnsi" w:cstheme="majorHAnsi"/>
          <w:noProof/>
          <w:sz w:val="22"/>
          <w:szCs w:val="22"/>
        </w:rPr>
        <w:t xml:space="preserve"> </w:t>
      </w:r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>Gene Ontology enrichment analysis of the top 1000 differentially expressed genes (FDR/</w:t>
      </w:r>
      <w:proofErr w:type="spellStart"/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>p.adjust</w:t>
      </w:r>
      <w:proofErr w:type="spellEnd"/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 xml:space="preserve"> &lt;0.05) in autism spectrum disorders (ASD). The figure shows the top 25 terms enriched by 604 up-regulated genes. Larger dots represent a bigger gene ratio of the differentially expressed genes in the database to that of the total annotated genes, while red dots represent statistically more significant enrichments (FDR).</w:t>
      </w:r>
    </w:p>
    <w:p w14:paraId="4152527B" w14:textId="4AFC830B" w:rsidR="0070716B" w:rsidRPr="0070716B" w:rsidRDefault="0070716B" w:rsidP="0070716B">
      <w:pPr>
        <w:pStyle w:val="Caption"/>
        <w:spacing w:line="276" w:lineRule="auto"/>
        <w:jc w:val="left"/>
        <w:rPr>
          <w:rFonts w:asciiTheme="majorHAnsi" w:hAnsiTheme="majorHAnsi" w:cstheme="majorHAnsi"/>
          <w:b w:val="0"/>
          <w:bCs w:val="0"/>
          <w:noProof/>
          <w:sz w:val="22"/>
          <w:szCs w:val="22"/>
        </w:rPr>
      </w:pPr>
      <w:r w:rsidRPr="000C5FE2">
        <w:rPr>
          <w:rFonts w:asciiTheme="majorHAnsi" w:hAnsiTheme="majorHAnsi" w:cstheme="majorHAnsi"/>
          <w:sz w:val="22"/>
          <w:szCs w:val="22"/>
        </w:rPr>
        <w:t xml:space="preserve">Supplementary figure </w:t>
      </w:r>
      <w:r>
        <w:rPr>
          <w:rFonts w:asciiTheme="majorHAnsi" w:hAnsiTheme="majorHAnsi" w:cstheme="majorHAnsi"/>
          <w:sz w:val="22"/>
          <w:szCs w:val="22"/>
        </w:rPr>
        <w:t>4.</w:t>
      </w:r>
      <w:r w:rsidRPr="000C5FE2">
        <w:rPr>
          <w:rFonts w:asciiTheme="majorHAnsi" w:hAnsiTheme="majorHAnsi" w:cstheme="majorHAnsi"/>
          <w:sz w:val="22"/>
          <w:szCs w:val="22"/>
        </w:rPr>
        <w:t xml:space="preserve"> – ASD </w:t>
      </w:r>
      <w:r w:rsidRPr="000C5FE2">
        <w:rPr>
          <w:rFonts w:asciiTheme="majorHAnsi" w:hAnsiTheme="majorHAnsi" w:cstheme="majorHAnsi"/>
          <w:noProof/>
          <w:sz w:val="22"/>
          <w:szCs w:val="22"/>
        </w:rPr>
        <w:t>KEGG enrichment analysis</w:t>
      </w:r>
      <w:r>
        <w:rPr>
          <w:rFonts w:asciiTheme="majorHAnsi" w:hAnsiTheme="majorHAnsi" w:cstheme="majorHAnsi"/>
          <w:noProof/>
          <w:sz w:val="22"/>
          <w:szCs w:val="22"/>
        </w:rPr>
        <w:t xml:space="preserve">. </w:t>
      </w:r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>KEGG enrichment analysis of the top 1000 differentially expressed genes (FDR/</w:t>
      </w:r>
      <w:proofErr w:type="spellStart"/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>p.adjust</w:t>
      </w:r>
      <w:proofErr w:type="spellEnd"/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 xml:space="preserve"> &lt;0.05) in autism spectrum disorders (ASD). The figure shows the top 25 terms enriched by 347 up-regulated genes. Larger dots represent a bigger gene ratio of the differentially expressed genes in the database to that of the total annotated genes, while red dots represent statistically more significant enrichments (FDR).</w:t>
      </w:r>
    </w:p>
    <w:p w14:paraId="5CBE6F64" w14:textId="5B5502DA" w:rsidR="000C5FE2" w:rsidRPr="000C5FE2" w:rsidRDefault="000C5FE2" w:rsidP="001D5E56">
      <w:pPr>
        <w:spacing w:before="0" w:beforeAutospacing="0" w:after="240" w:afterAutospacing="0" w:line="276" w:lineRule="auto"/>
        <w:jc w:val="left"/>
        <w:rPr>
          <w:rFonts w:asciiTheme="majorHAnsi" w:hAnsiTheme="majorHAnsi" w:cstheme="majorHAnsi"/>
          <w:noProof/>
          <w:sz w:val="22"/>
          <w:szCs w:val="22"/>
        </w:rPr>
      </w:pPr>
      <w:r w:rsidRPr="001D5E56">
        <w:rPr>
          <w:rFonts w:asciiTheme="majorHAnsi" w:hAnsiTheme="majorHAnsi" w:cstheme="majorHAnsi"/>
          <w:b/>
          <w:bCs/>
          <w:sz w:val="22"/>
          <w:szCs w:val="22"/>
        </w:rPr>
        <w:t xml:space="preserve">Supplementary figure </w:t>
      </w:r>
      <w:r w:rsidR="0070716B">
        <w:rPr>
          <w:rFonts w:asciiTheme="majorHAnsi" w:hAnsiTheme="majorHAnsi" w:cstheme="majorHAnsi"/>
          <w:b/>
          <w:bCs/>
          <w:sz w:val="22"/>
          <w:szCs w:val="22"/>
        </w:rPr>
        <w:t>5</w:t>
      </w:r>
      <w:r w:rsidR="001D5E56" w:rsidRPr="001D5E56">
        <w:rPr>
          <w:rFonts w:asciiTheme="majorHAnsi" w:hAnsiTheme="majorHAnsi" w:cstheme="majorHAnsi"/>
          <w:b/>
          <w:bCs/>
          <w:sz w:val="22"/>
          <w:szCs w:val="22"/>
        </w:rPr>
        <w:t>.</w:t>
      </w:r>
      <w:r w:rsidRPr="001D5E56">
        <w:rPr>
          <w:rFonts w:asciiTheme="majorHAnsi" w:hAnsiTheme="majorHAnsi" w:cstheme="majorHAnsi"/>
          <w:b/>
          <w:bCs/>
          <w:sz w:val="22"/>
          <w:szCs w:val="22"/>
        </w:rPr>
        <w:t xml:space="preserve"> – Tourette syndrome </w:t>
      </w:r>
      <w:r w:rsidRPr="001D5E56">
        <w:rPr>
          <w:rFonts w:asciiTheme="majorHAnsi" w:hAnsiTheme="majorHAnsi" w:cstheme="majorHAnsi"/>
          <w:b/>
          <w:bCs/>
          <w:noProof/>
          <w:sz w:val="22"/>
          <w:szCs w:val="22"/>
        </w:rPr>
        <w:t>Gene Ontology enrichment analysis</w:t>
      </w:r>
      <w:r w:rsidR="001D5E56" w:rsidRPr="001D5E56">
        <w:rPr>
          <w:rFonts w:asciiTheme="majorHAnsi" w:hAnsiTheme="majorHAnsi" w:cstheme="majorHAnsi"/>
          <w:b/>
          <w:bCs/>
          <w:noProof/>
          <w:sz w:val="22"/>
          <w:szCs w:val="22"/>
        </w:rPr>
        <w:t>.</w:t>
      </w:r>
      <w:r w:rsidR="001D5E56">
        <w:rPr>
          <w:rFonts w:asciiTheme="majorHAnsi" w:hAnsiTheme="majorHAnsi" w:cstheme="majorHAnsi"/>
          <w:noProof/>
          <w:sz w:val="22"/>
          <w:szCs w:val="22"/>
        </w:rPr>
        <w:t xml:space="preserve"> </w:t>
      </w:r>
      <w:r w:rsidRPr="000C5FE2">
        <w:rPr>
          <w:rFonts w:asciiTheme="majorHAnsi" w:hAnsiTheme="majorHAnsi" w:cstheme="majorHAnsi"/>
          <w:sz w:val="22"/>
          <w:szCs w:val="22"/>
        </w:rPr>
        <w:t>Gene Ontology enrichment analysis of the top 1000 differentially expressed genes (FDR/</w:t>
      </w:r>
      <w:proofErr w:type="spellStart"/>
      <w:r w:rsidRPr="000C5FE2">
        <w:rPr>
          <w:rFonts w:asciiTheme="majorHAnsi" w:hAnsiTheme="majorHAnsi" w:cstheme="majorHAnsi"/>
          <w:sz w:val="22"/>
          <w:szCs w:val="22"/>
        </w:rPr>
        <w:t>p.adjust</w:t>
      </w:r>
      <w:proofErr w:type="spellEnd"/>
      <w:r w:rsidRPr="000C5FE2">
        <w:rPr>
          <w:rFonts w:asciiTheme="majorHAnsi" w:hAnsiTheme="majorHAnsi" w:cstheme="majorHAnsi"/>
          <w:sz w:val="22"/>
          <w:szCs w:val="22"/>
        </w:rPr>
        <w:t xml:space="preserve"> &lt;0.05) in Tourette syndrome (TS). The figure shows the top 25 terms enriched by 557 up-regulated genes. Larger dots represent a bigger gene ratio of the differentially expressed genes in the database to that of the total annotated genes, while red dots represent statistically more significant enrichments (FDR).</w:t>
      </w:r>
    </w:p>
    <w:p w14:paraId="22D19A55" w14:textId="463E9DF4" w:rsidR="000C5FE2" w:rsidRPr="001D5E56" w:rsidRDefault="000C5FE2" w:rsidP="001D5E56">
      <w:pPr>
        <w:pStyle w:val="Caption"/>
        <w:spacing w:line="276" w:lineRule="auto"/>
        <w:contextualSpacing/>
        <w:jc w:val="left"/>
        <w:rPr>
          <w:rFonts w:asciiTheme="majorHAnsi" w:hAnsiTheme="majorHAnsi" w:cstheme="majorHAnsi"/>
          <w:b w:val="0"/>
          <w:bCs w:val="0"/>
          <w:noProof/>
          <w:sz w:val="22"/>
          <w:szCs w:val="22"/>
        </w:rPr>
      </w:pPr>
      <w:r w:rsidRPr="000C5FE2">
        <w:rPr>
          <w:rFonts w:asciiTheme="majorHAnsi" w:hAnsiTheme="majorHAnsi" w:cstheme="majorHAnsi"/>
          <w:sz w:val="22"/>
          <w:szCs w:val="22"/>
        </w:rPr>
        <w:t xml:space="preserve">Supplementary figure </w:t>
      </w:r>
      <w:r w:rsidR="00D50F96">
        <w:rPr>
          <w:rFonts w:asciiTheme="majorHAnsi" w:hAnsiTheme="majorHAnsi" w:cstheme="majorHAnsi"/>
          <w:sz w:val="22"/>
          <w:szCs w:val="22"/>
        </w:rPr>
        <w:t>6</w:t>
      </w:r>
      <w:r w:rsidRPr="000C5FE2">
        <w:rPr>
          <w:rFonts w:asciiTheme="majorHAnsi" w:hAnsiTheme="majorHAnsi" w:cstheme="majorHAnsi"/>
          <w:sz w:val="22"/>
          <w:szCs w:val="22"/>
        </w:rPr>
        <w:t>– Tourette</w:t>
      </w:r>
      <w:r w:rsidR="008F4B77">
        <w:rPr>
          <w:rFonts w:asciiTheme="majorHAnsi" w:hAnsiTheme="majorHAnsi" w:cstheme="majorHAnsi"/>
          <w:sz w:val="22"/>
          <w:szCs w:val="22"/>
        </w:rPr>
        <w:t xml:space="preserve"> </w:t>
      </w:r>
      <w:r w:rsidRPr="000C5FE2">
        <w:rPr>
          <w:rFonts w:asciiTheme="majorHAnsi" w:hAnsiTheme="majorHAnsi" w:cstheme="majorHAnsi"/>
          <w:sz w:val="22"/>
          <w:szCs w:val="22"/>
        </w:rPr>
        <w:t xml:space="preserve">syndrome </w:t>
      </w:r>
      <w:r w:rsidRPr="000C5FE2">
        <w:rPr>
          <w:rFonts w:asciiTheme="majorHAnsi" w:hAnsiTheme="majorHAnsi" w:cstheme="majorHAnsi"/>
          <w:noProof/>
          <w:sz w:val="22"/>
          <w:szCs w:val="22"/>
        </w:rPr>
        <w:t>KEGG enrichment analysis</w:t>
      </w:r>
      <w:r w:rsidR="001D5E56">
        <w:rPr>
          <w:rFonts w:asciiTheme="majorHAnsi" w:hAnsiTheme="majorHAnsi" w:cstheme="majorHAnsi"/>
          <w:noProof/>
          <w:sz w:val="22"/>
          <w:szCs w:val="22"/>
        </w:rPr>
        <w:t xml:space="preserve">. </w:t>
      </w:r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>KEGG enrichment analysis of the top 1000 differentially expressed genes (FDR/</w:t>
      </w:r>
      <w:proofErr w:type="spellStart"/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>p.adjust</w:t>
      </w:r>
      <w:proofErr w:type="spellEnd"/>
      <w:r w:rsidRPr="001D5E56">
        <w:rPr>
          <w:rFonts w:asciiTheme="majorHAnsi" w:hAnsiTheme="majorHAnsi" w:cstheme="majorHAnsi"/>
          <w:b w:val="0"/>
          <w:bCs w:val="0"/>
          <w:sz w:val="22"/>
          <w:szCs w:val="22"/>
        </w:rPr>
        <w:t xml:space="preserve"> &lt;0.05) in Tourette syndrome (TS). The figure shows the top 25 terms enriched by 307 up-regulated genes. Larger dots represent a bigger gene ratio of the differentially expressed genes in the database to that of the total annotated genes, while red dots represent statistically more significant enrichments (FDR).</w:t>
      </w:r>
    </w:p>
    <w:p w14:paraId="5E1A7682" w14:textId="2DD139C4" w:rsidR="000C5FE2" w:rsidRPr="000C5FE2" w:rsidRDefault="000C5FE2" w:rsidP="001D5E56">
      <w:pPr>
        <w:spacing w:before="0" w:beforeAutospacing="0" w:after="240" w:afterAutospacing="0" w:line="240" w:lineRule="auto"/>
        <w:jc w:val="left"/>
        <w:rPr>
          <w:rFonts w:asciiTheme="majorHAnsi" w:eastAsiaTheme="majorEastAsia" w:hAnsiTheme="majorHAnsi" w:cstheme="majorHAnsi"/>
          <w:b/>
          <w:bCs/>
          <w:i/>
          <w:iCs/>
          <w:spacing w:val="10"/>
          <w:sz w:val="22"/>
          <w:szCs w:val="22"/>
        </w:rPr>
      </w:pPr>
    </w:p>
    <w:sectPr w:rsidR="000C5FE2" w:rsidRPr="000C5F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Mincho">
    <w:altName w:val="ＭＳ Ｐ明朝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6105B"/>
    <w:multiLevelType w:val="multilevel"/>
    <w:tmpl w:val="D7381AC4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4391A33"/>
    <w:multiLevelType w:val="multilevel"/>
    <w:tmpl w:val="BC047F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B447CC4"/>
    <w:multiLevelType w:val="multilevel"/>
    <w:tmpl w:val="710C7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65FD6FD9"/>
    <w:multiLevelType w:val="multilevel"/>
    <w:tmpl w:val="5900B10A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92" w:hanging="432"/>
      </w:pPr>
      <w:rPr>
        <w:rFonts w:asciiTheme="majorHAnsi" w:hAnsiTheme="majorHAnsi" w:cstheme="majorHAnsi" w:hint="default"/>
        <w:b/>
        <w:bCs/>
      </w:r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rFonts w:hint="default"/>
        <w:b/>
        <w:bCs/>
        <w:i w:val="0"/>
        <w:iCs w:val="0"/>
        <w:color w:val="000000" w:themeColor="text1"/>
        <w:u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."/>
      <w:lvlJc w:val="left"/>
      <w:pPr>
        <w:ind w:left="2381" w:hanging="238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FE2"/>
    <w:rsid w:val="00001004"/>
    <w:rsid w:val="00017507"/>
    <w:rsid w:val="00053F6C"/>
    <w:rsid w:val="000653E9"/>
    <w:rsid w:val="000674F1"/>
    <w:rsid w:val="00092630"/>
    <w:rsid w:val="000A5C48"/>
    <w:rsid w:val="000A7BB6"/>
    <w:rsid w:val="000B3A89"/>
    <w:rsid w:val="000C5FE2"/>
    <w:rsid w:val="000D1469"/>
    <w:rsid w:val="000E0F04"/>
    <w:rsid w:val="000F289C"/>
    <w:rsid w:val="00164FDF"/>
    <w:rsid w:val="00175517"/>
    <w:rsid w:val="00177319"/>
    <w:rsid w:val="001A05FD"/>
    <w:rsid w:val="001A2F31"/>
    <w:rsid w:val="001A34A4"/>
    <w:rsid w:val="001B03DC"/>
    <w:rsid w:val="001D074E"/>
    <w:rsid w:val="001D4ABB"/>
    <w:rsid w:val="001D5E56"/>
    <w:rsid w:val="001D7179"/>
    <w:rsid w:val="002149AB"/>
    <w:rsid w:val="002164CC"/>
    <w:rsid w:val="00263B4C"/>
    <w:rsid w:val="00271F6A"/>
    <w:rsid w:val="002A2936"/>
    <w:rsid w:val="002C367E"/>
    <w:rsid w:val="002F6D28"/>
    <w:rsid w:val="003004D5"/>
    <w:rsid w:val="0031747D"/>
    <w:rsid w:val="003275F8"/>
    <w:rsid w:val="00332EE0"/>
    <w:rsid w:val="00356649"/>
    <w:rsid w:val="0035788B"/>
    <w:rsid w:val="003F017F"/>
    <w:rsid w:val="003F3537"/>
    <w:rsid w:val="00405132"/>
    <w:rsid w:val="004059E0"/>
    <w:rsid w:val="00413B8E"/>
    <w:rsid w:val="00437E11"/>
    <w:rsid w:val="004A6DC4"/>
    <w:rsid w:val="004A7E11"/>
    <w:rsid w:val="004C3A7A"/>
    <w:rsid w:val="004D19A6"/>
    <w:rsid w:val="004D54C1"/>
    <w:rsid w:val="005107ED"/>
    <w:rsid w:val="0052564D"/>
    <w:rsid w:val="00525DF8"/>
    <w:rsid w:val="00533720"/>
    <w:rsid w:val="00545228"/>
    <w:rsid w:val="00550CD6"/>
    <w:rsid w:val="00566944"/>
    <w:rsid w:val="005D0B9A"/>
    <w:rsid w:val="005D6C39"/>
    <w:rsid w:val="005E247B"/>
    <w:rsid w:val="005E5B73"/>
    <w:rsid w:val="005E7803"/>
    <w:rsid w:val="005F6162"/>
    <w:rsid w:val="00604A8A"/>
    <w:rsid w:val="00622C61"/>
    <w:rsid w:val="006259A5"/>
    <w:rsid w:val="00640378"/>
    <w:rsid w:val="00646FE4"/>
    <w:rsid w:val="00653CEB"/>
    <w:rsid w:val="006A3C9A"/>
    <w:rsid w:val="006C7A6A"/>
    <w:rsid w:val="006D5661"/>
    <w:rsid w:val="006E1A1F"/>
    <w:rsid w:val="006F0ABC"/>
    <w:rsid w:val="006F4456"/>
    <w:rsid w:val="0070716B"/>
    <w:rsid w:val="00716ACE"/>
    <w:rsid w:val="00731C32"/>
    <w:rsid w:val="00752971"/>
    <w:rsid w:val="00753639"/>
    <w:rsid w:val="00757736"/>
    <w:rsid w:val="007C34D9"/>
    <w:rsid w:val="007D3D2D"/>
    <w:rsid w:val="007F384C"/>
    <w:rsid w:val="00874A4C"/>
    <w:rsid w:val="0088650D"/>
    <w:rsid w:val="0089307B"/>
    <w:rsid w:val="008B4270"/>
    <w:rsid w:val="008B6946"/>
    <w:rsid w:val="008D6C23"/>
    <w:rsid w:val="008F4B77"/>
    <w:rsid w:val="009038C6"/>
    <w:rsid w:val="009203E5"/>
    <w:rsid w:val="009657F0"/>
    <w:rsid w:val="009830C1"/>
    <w:rsid w:val="0098452A"/>
    <w:rsid w:val="00987C7B"/>
    <w:rsid w:val="00997E96"/>
    <w:rsid w:val="009B2BDA"/>
    <w:rsid w:val="009C14AD"/>
    <w:rsid w:val="009D0284"/>
    <w:rsid w:val="009D131E"/>
    <w:rsid w:val="009D5CD5"/>
    <w:rsid w:val="00A15902"/>
    <w:rsid w:val="00A22AA3"/>
    <w:rsid w:val="00A82CE2"/>
    <w:rsid w:val="00AB36AC"/>
    <w:rsid w:val="00AE07AF"/>
    <w:rsid w:val="00AE12B2"/>
    <w:rsid w:val="00B15F39"/>
    <w:rsid w:val="00B25969"/>
    <w:rsid w:val="00B51360"/>
    <w:rsid w:val="00B76D39"/>
    <w:rsid w:val="00B83F3E"/>
    <w:rsid w:val="00B930AE"/>
    <w:rsid w:val="00B9521C"/>
    <w:rsid w:val="00B95CAC"/>
    <w:rsid w:val="00BB29FC"/>
    <w:rsid w:val="00BD01AC"/>
    <w:rsid w:val="00BE0DEB"/>
    <w:rsid w:val="00BE157D"/>
    <w:rsid w:val="00BF4059"/>
    <w:rsid w:val="00C43715"/>
    <w:rsid w:val="00C54315"/>
    <w:rsid w:val="00CA6301"/>
    <w:rsid w:val="00D2754B"/>
    <w:rsid w:val="00D42D41"/>
    <w:rsid w:val="00D50F96"/>
    <w:rsid w:val="00D56B65"/>
    <w:rsid w:val="00D76F42"/>
    <w:rsid w:val="00D82A9C"/>
    <w:rsid w:val="00DA0465"/>
    <w:rsid w:val="00DC43EF"/>
    <w:rsid w:val="00DD1AAC"/>
    <w:rsid w:val="00DD451B"/>
    <w:rsid w:val="00DE3F7E"/>
    <w:rsid w:val="00E005FA"/>
    <w:rsid w:val="00E069E1"/>
    <w:rsid w:val="00E07922"/>
    <w:rsid w:val="00E07E79"/>
    <w:rsid w:val="00E12D3C"/>
    <w:rsid w:val="00E16248"/>
    <w:rsid w:val="00E24293"/>
    <w:rsid w:val="00E27266"/>
    <w:rsid w:val="00E33CAA"/>
    <w:rsid w:val="00E42C35"/>
    <w:rsid w:val="00E67AA3"/>
    <w:rsid w:val="00EC7584"/>
    <w:rsid w:val="00ED0E2E"/>
    <w:rsid w:val="00EE6A6B"/>
    <w:rsid w:val="00F62C77"/>
    <w:rsid w:val="00F857F9"/>
    <w:rsid w:val="00F950E3"/>
    <w:rsid w:val="00FA5901"/>
    <w:rsid w:val="00FC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CF66FB"/>
  <w15:chartTrackingRefBased/>
  <w15:docId w15:val="{D8FA9FE2-1224-474B-AD2D-991D4C8D4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FE2"/>
    <w:pPr>
      <w:spacing w:before="100" w:beforeAutospacing="1" w:after="100" w:afterAutospacing="1"/>
      <w:ind w:firstLine="0"/>
      <w:jc w:val="lowKashida"/>
    </w:pPr>
    <w:rPr>
      <w:rFonts w:ascii="Times New Roman" w:hAnsi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6944"/>
    <w:pPr>
      <w:numPr>
        <w:numId w:val="4"/>
      </w:numPr>
      <w:spacing w:before="600" w:after="0" w:line="360" w:lineRule="auto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6944"/>
    <w:pPr>
      <w:keepNext/>
      <w:keepLines/>
      <w:numPr>
        <w:ilvl w:val="1"/>
        <w:numId w:val="4"/>
      </w:numPr>
      <w:tabs>
        <w:tab w:val="left" w:pos="142"/>
      </w:tabs>
      <w:spacing w:after="0"/>
      <w:outlineLvl w:val="1"/>
    </w:pPr>
    <w:rPr>
      <w:rFonts w:eastAsia="Times New Roman" w:cs="Times New Roman"/>
      <w:b/>
      <w:bCs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566944"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9657F0"/>
    <w:pPr>
      <w:numPr>
        <w:ilvl w:val="3"/>
        <w:numId w:val="7"/>
      </w:numPr>
      <w:spacing w:before="280" w:after="0" w:line="360" w:lineRule="auto"/>
      <w:ind w:left="720"/>
      <w:outlineLvl w:val="3"/>
    </w:pPr>
    <w:rPr>
      <w:rFonts w:asciiTheme="majorHAnsi" w:eastAsiaTheme="majorEastAsia" w:hAnsiTheme="majorHAnsi" w:cstheme="majorBidi"/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6944"/>
    <w:pPr>
      <w:spacing w:before="280" w:after="0" w:line="360" w:lineRule="auto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6944"/>
    <w:pPr>
      <w:spacing w:before="280" w:after="80" w:line="360" w:lineRule="auto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6944"/>
    <w:pPr>
      <w:spacing w:before="280" w:after="0" w:line="360" w:lineRule="auto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6944"/>
    <w:pPr>
      <w:spacing w:before="280" w:after="0" w:line="360" w:lineRule="auto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6944"/>
    <w:pPr>
      <w:spacing w:before="280" w:after="0" w:line="360" w:lineRule="auto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6944"/>
    <w:rPr>
      <w:rFonts w:asciiTheme="majorHAnsi" w:eastAsiaTheme="majorEastAsia" w:hAnsiTheme="majorHAnsi" w:cstheme="majorBidi"/>
      <w:b/>
      <w:bCs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56694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56694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9657F0"/>
    <w:rPr>
      <w:rFonts w:asciiTheme="majorHAnsi" w:eastAsiaTheme="majorEastAsia" w:hAnsiTheme="majorHAnsi" w:cstheme="majorBidi"/>
      <w:b/>
      <w:bCs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6944"/>
    <w:rPr>
      <w:rFonts w:asciiTheme="majorHAnsi" w:eastAsiaTheme="majorEastAsia" w:hAnsiTheme="majorHAnsi" w:cstheme="majorBidi"/>
      <w:b/>
      <w:bCs/>
      <w:i/>
      <w:iCs/>
      <w:sz w:val="24"/>
      <w:szCs w:val="24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6944"/>
    <w:rPr>
      <w:rFonts w:asciiTheme="majorHAnsi" w:eastAsiaTheme="majorEastAsia" w:hAnsiTheme="majorHAnsi" w:cstheme="majorBidi"/>
      <w:b/>
      <w:bCs/>
      <w:i/>
      <w:iCs/>
      <w:sz w:val="24"/>
      <w:szCs w:val="24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6944"/>
    <w:rPr>
      <w:rFonts w:asciiTheme="majorHAnsi" w:eastAsiaTheme="majorEastAsia" w:hAnsiTheme="majorHAnsi" w:cstheme="majorBidi"/>
      <w:b/>
      <w:bCs/>
      <w:i/>
      <w:iCs/>
      <w:sz w:val="20"/>
      <w:szCs w:val="20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6944"/>
    <w:rPr>
      <w:rFonts w:asciiTheme="majorHAnsi" w:eastAsiaTheme="majorEastAsia" w:hAnsiTheme="majorHAnsi" w:cstheme="majorBidi"/>
      <w:b/>
      <w:bCs/>
      <w:i/>
      <w:iCs/>
      <w:sz w:val="18"/>
      <w:szCs w:val="18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6944"/>
    <w:rPr>
      <w:rFonts w:asciiTheme="majorHAnsi" w:eastAsiaTheme="majorEastAsia" w:hAnsiTheme="majorHAnsi" w:cstheme="majorBidi"/>
      <w:i/>
      <w:iCs/>
      <w:sz w:val="18"/>
      <w:szCs w:val="18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566944"/>
    <w:pPr>
      <w:keepNext/>
    </w:pPr>
    <w:rPr>
      <w:rFonts w:eastAsia="Times New Roman" w:cs="Times New Roman"/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66944"/>
    <w:pPr>
      <w:spacing w:line="240" w:lineRule="auto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566944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  <w:lang w:eastAsia="en-GB"/>
    </w:rPr>
  </w:style>
  <w:style w:type="paragraph" w:styleId="Subtitle">
    <w:name w:val="Subtitle"/>
    <w:basedOn w:val="Caption"/>
    <w:next w:val="Normal"/>
    <w:link w:val="SubtitleChar"/>
    <w:uiPriority w:val="11"/>
    <w:qFormat/>
    <w:rsid w:val="00566944"/>
    <w:pPr>
      <w:snapToGrid w:val="0"/>
      <w:spacing w:line="276" w:lineRule="auto"/>
      <w:jc w:val="left"/>
    </w:pPr>
    <w:rPr>
      <w:b w:val="0"/>
      <w:bCs w:val="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566944"/>
    <w:rPr>
      <w:rFonts w:ascii="Times New Roman" w:eastAsia="Times New Roman" w:hAnsi="Times New Roman" w:cs="Times New Roman"/>
      <w:sz w:val="18"/>
      <w:szCs w:val="18"/>
      <w:lang w:eastAsia="en-GB"/>
    </w:rPr>
  </w:style>
  <w:style w:type="character" w:styleId="Strong">
    <w:name w:val="Strong"/>
    <w:basedOn w:val="DefaultParagraphFont"/>
    <w:uiPriority w:val="22"/>
    <w:qFormat/>
    <w:rsid w:val="00566944"/>
    <w:rPr>
      <w:b/>
      <w:bCs/>
      <w:spacing w:val="0"/>
    </w:rPr>
  </w:style>
  <w:style w:type="paragraph" w:styleId="ListParagraph">
    <w:name w:val="List Paragraph"/>
    <w:basedOn w:val="Normal"/>
    <w:uiPriority w:val="34"/>
    <w:qFormat/>
    <w:rsid w:val="00566944"/>
    <w:pPr>
      <w:ind w:left="720"/>
      <w:contextualSpacing/>
    </w:pPr>
    <w:rPr>
      <w:rFonts w:eastAsia="Times New Roman"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566944"/>
    <w:rPr>
      <w:rFonts w:eastAsia="Times New Roman" w:cs="Times New Roman"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566944"/>
    <w:rPr>
      <w:rFonts w:ascii="Times New Roman" w:eastAsia="Times New Roman" w:hAnsi="Times New Roman" w:cs="Times New Roman"/>
      <w:color w:val="5A5A5A" w:themeColor="text1" w:themeTint="A5"/>
      <w:sz w:val="24"/>
      <w:szCs w:val="24"/>
      <w:lang w:eastAsia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6944"/>
    <w:pPr>
      <w:spacing w:before="320" w:after="480" w:line="240" w:lineRule="auto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6944"/>
    <w:rPr>
      <w:rFonts w:asciiTheme="majorHAnsi" w:eastAsiaTheme="majorEastAsia" w:hAnsiTheme="majorHAnsi" w:cstheme="majorBidi"/>
      <w:i/>
      <w:iCs/>
      <w:sz w:val="20"/>
      <w:szCs w:val="20"/>
      <w:lang w:eastAsia="en-GB"/>
    </w:rPr>
  </w:style>
  <w:style w:type="character" w:styleId="SubtleEmphasis">
    <w:name w:val="Subtle Emphasis"/>
    <w:aliases w:val="Heading"/>
    <w:basedOn w:val="Heading3Char"/>
    <w:uiPriority w:val="19"/>
    <w:qFormat/>
    <w:rsid w:val="0089307B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rsid w:val="00566944"/>
    <w:rPr>
      <w:i/>
      <w:iCs/>
    </w:rPr>
  </w:style>
  <w:style w:type="character" w:styleId="IntenseEmphasis">
    <w:name w:val="Intense Emphasis"/>
    <w:uiPriority w:val="21"/>
    <w:qFormat/>
    <w:rsid w:val="00566944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566944"/>
    <w:rPr>
      <w:smallCaps/>
    </w:rPr>
  </w:style>
  <w:style w:type="character" w:styleId="IntenseReference">
    <w:name w:val="Intense Reference"/>
    <w:uiPriority w:val="32"/>
    <w:qFormat/>
    <w:rsid w:val="00566944"/>
    <w:rPr>
      <w:b/>
      <w:bCs/>
      <w:smallCaps/>
      <w:color w:val="auto"/>
    </w:rPr>
  </w:style>
  <w:style w:type="character" w:styleId="BookTitle">
    <w:name w:val="Book Title"/>
    <w:basedOn w:val="Heading2Char"/>
    <w:uiPriority w:val="33"/>
    <w:qFormat/>
    <w:rsid w:val="0056694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566944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0C5FE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C5F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5F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5FE2"/>
    <w:rPr>
      <w:rFonts w:ascii="Times New Roman" w:hAnsi="Times New Roman"/>
      <w:sz w:val="20"/>
      <w:szCs w:val="20"/>
      <w:lang w:eastAsia="en-GB"/>
    </w:rPr>
  </w:style>
  <w:style w:type="table" w:styleId="PlainTable5">
    <w:name w:val="Plain Table 5"/>
    <w:basedOn w:val="TableNormal"/>
    <w:uiPriority w:val="45"/>
    <w:rsid w:val="000C5FE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0E0F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Alshammery</dc:creator>
  <cp:keywords/>
  <dc:description/>
  <cp:lastModifiedBy>Sarah Alshammery</cp:lastModifiedBy>
  <cp:revision>8</cp:revision>
  <dcterms:created xsi:type="dcterms:W3CDTF">2021-08-11T07:32:00Z</dcterms:created>
  <dcterms:modified xsi:type="dcterms:W3CDTF">2021-09-06T03:07:00Z</dcterms:modified>
</cp:coreProperties>
</file>