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1E159" w14:textId="4D24E5AC" w:rsidR="009E6773" w:rsidRDefault="009E6773" w:rsidP="009E6773">
      <w:pPr>
        <w:jc w:val="center"/>
        <w:rPr>
          <w:rFonts w:ascii="Times New Roman" w:hAnsi="Times New Roman" w:cs="Times New Roman"/>
          <w:b/>
          <w:sz w:val="28"/>
          <w:szCs w:val="28"/>
        </w:rPr>
      </w:pPr>
      <w:r>
        <w:rPr>
          <w:rFonts w:ascii="Times New Roman" w:hAnsi="Times New Roman" w:cs="Times New Roman"/>
          <w:b/>
          <w:sz w:val="28"/>
          <w:szCs w:val="28"/>
        </w:rPr>
        <w:t>Supplementary Information</w:t>
      </w:r>
    </w:p>
    <w:p w14:paraId="41DEBC8B" w14:textId="77777777" w:rsidR="009E6773" w:rsidRDefault="009E6773" w:rsidP="009E6773">
      <w:pPr>
        <w:jc w:val="center"/>
        <w:rPr>
          <w:rFonts w:ascii="Times New Roman" w:hAnsi="Times New Roman" w:cs="Times New Roman"/>
          <w:b/>
          <w:sz w:val="28"/>
          <w:szCs w:val="28"/>
        </w:rPr>
      </w:pPr>
    </w:p>
    <w:p w14:paraId="18F3F697" w14:textId="4CA9DF41" w:rsidR="009E6773" w:rsidRPr="00B454D6" w:rsidRDefault="00710FDA" w:rsidP="009E6773">
      <w:pPr>
        <w:jc w:val="center"/>
        <w:rPr>
          <w:rFonts w:ascii="Times New Roman" w:hAnsi="Times New Roman" w:cs="Times New Roman"/>
          <w:b/>
          <w:sz w:val="28"/>
          <w:szCs w:val="28"/>
        </w:rPr>
      </w:pPr>
      <w:r w:rsidRPr="005A5520">
        <w:rPr>
          <w:rFonts w:ascii="Times New Roman" w:hAnsi="Times New Roman" w:cs="Times New Roman"/>
          <w:b/>
          <w:bCs/>
          <w:sz w:val="28"/>
          <w:szCs w:val="28"/>
        </w:rPr>
        <w:t xml:space="preserve">Functional conservation and species-specific tuning of PIEZO1 </w:t>
      </w:r>
      <w:proofErr w:type="spellStart"/>
      <w:r w:rsidRPr="005A5520">
        <w:rPr>
          <w:rFonts w:ascii="Times New Roman" w:hAnsi="Times New Roman" w:cs="Times New Roman"/>
          <w:b/>
          <w:bCs/>
          <w:sz w:val="28"/>
          <w:szCs w:val="28"/>
        </w:rPr>
        <w:t>mechanotransduction</w:t>
      </w:r>
      <w:proofErr w:type="spellEnd"/>
      <w:r w:rsidRPr="005A5520">
        <w:rPr>
          <w:rFonts w:ascii="Times New Roman" w:hAnsi="Times New Roman" w:cs="Times New Roman"/>
          <w:b/>
          <w:bCs/>
          <w:sz w:val="28"/>
          <w:szCs w:val="28"/>
        </w:rPr>
        <w:t xml:space="preserve"> in birds and humans</w:t>
      </w:r>
    </w:p>
    <w:p w14:paraId="6247CD61" w14:textId="77777777" w:rsidR="009E6773" w:rsidRPr="00B454D6" w:rsidRDefault="009E6773" w:rsidP="009E6773">
      <w:pPr>
        <w:jc w:val="center"/>
        <w:rPr>
          <w:rFonts w:ascii="Times New Roman" w:hAnsi="Times New Roman" w:cs="Times New Roman"/>
          <w:sz w:val="22"/>
        </w:rPr>
      </w:pPr>
    </w:p>
    <w:p w14:paraId="779EE9DC" w14:textId="77777777" w:rsidR="009E6773" w:rsidRPr="00B454D6" w:rsidRDefault="009E6773" w:rsidP="009E6773">
      <w:pPr>
        <w:jc w:val="center"/>
        <w:rPr>
          <w:rFonts w:ascii="Times New Roman" w:hAnsi="Times New Roman" w:cs="Times New Roman"/>
          <w:sz w:val="22"/>
        </w:rPr>
      </w:pPr>
      <w:r w:rsidRPr="00B454D6">
        <w:rPr>
          <w:rFonts w:ascii="Times New Roman" w:hAnsi="Times New Roman" w:cs="Times New Roman"/>
          <w:sz w:val="22"/>
        </w:rPr>
        <w:t xml:space="preserve">Katsuhiko </w:t>
      </w:r>
      <w:proofErr w:type="spellStart"/>
      <w:r w:rsidRPr="00B454D6">
        <w:rPr>
          <w:rFonts w:ascii="Times New Roman" w:hAnsi="Times New Roman" w:cs="Times New Roman"/>
          <w:sz w:val="22"/>
        </w:rPr>
        <w:t>Muraki</w:t>
      </w:r>
      <w:proofErr w:type="spellEnd"/>
      <w:r>
        <w:rPr>
          <w:rFonts w:ascii="Times New Roman" w:hAnsi="Times New Roman" w:cs="Times New Roman"/>
          <w:sz w:val="22"/>
        </w:rPr>
        <w:t>*, Ayami Morita</w:t>
      </w:r>
      <w:r w:rsidRPr="00161DC4">
        <w:rPr>
          <w:rFonts w:ascii="Times New Roman" w:hAnsi="Times New Roman" w:cs="Times New Roman"/>
          <w:sz w:val="22"/>
          <w:vertAlign w:val="superscript"/>
        </w:rPr>
        <w:t>#</w:t>
      </w:r>
      <w:r>
        <w:rPr>
          <w:rFonts w:ascii="Times New Roman" w:hAnsi="Times New Roman" w:cs="Times New Roman"/>
          <w:sz w:val="22"/>
        </w:rPr>
        <w:t xml:space="preserve">, </w:t>
      </w:r>
      <w:proofErr w:type="spellStart"/>
      <w:r>
        <w:rPr>
          <w:rFonts w:ascii="Times New Roman" w:hAnsi="Times New Roman" w:cs="Times New Roman"/>
          <w:sz w:val="22"/>
        </w:rPr>
        <w:t>Hiroka</w:t>
      </w:r>
      <w:proofErr w:type="spellEnd"/>
      <w:r>
        <w:rPr>
          <w:rFonts w:ascii="Times New Roman" w:hAnsi="Times New Roman" w:cs="Times New Roman"/>
          <w:sz w:val="22"/>
        </w:rPr>
        <w:t xml:space="preserve"> Suzuki</w:t>
      </w:r>
      <w:r w:rsidRPr="00161DC4">
        <w:rPr>
          <w:rFonts w:ascii="Times New Roman" w:hAnsi="Times New Roman" w:cs="Times New Roman"/>
          <w:sz w:val="22"/>
          <w:vertAlign w:val="superscript"/>
        </w:rPr>
        <w:t>#</w:t>
      </w:r>
      <w:r>
        <w:rPr>
          <w:rFonts w:ascii="Times New Roman" w:hAnsi="Times New Roman" w:cs="Times New Roman"/>
          <w:sz w:val="22"/>
        </w:rPr>
        <w:t xml:space="preserve">, and </w:t>
      </w:r>
      <w:r w:rsidRPr="00B454D6">
        <w:rPr>
          <w:rFonts w:ascii="Times New Roman" w:hAnsi="Times New Roman" w:cs="Times New Roman"/>
          <w:sz w:val="22"/>
        </w:rPr>
        <w:t xml:space="preserve">Yukiko </w:t>
      </w:r>
      <w:proofErr w:type="spellStart"/>
      <w:r w:rsidRPr="00B454D6">
        <w:rPr>
          <w:rFonts w:ascii="Times New Roman" w:hAnsi="Times New Roman" w:cs="Times New Roman"/>
          <w:sz w:val="22"/>
        </w:rPr>
        <w:t>Muraki</w:t>
      </w:r>
      <w:proofErr w:type="spellEnd"/>
    </w:p>
    <w:p w14:paraId="267EA525" w14:textId="77777777" w:rsidR="009E6773" w:rsidRPr="00B454D6" w:rsidRDefault="009E6773" w:rsidP="009E6773">
      <w:pPr>
        <w:rPr>
          <w:rFonts w:ascii="Times New Roman" w:hAnsi="Times New Roman" w:cs="Times New Roman"/>
          <w:sz w:val="22"/>
        </w:rPr>
      </w:pPr>
    </w:p>
    <w:p w14:paraId="6392389B" w14:textId="77777777" w:rsidR="009E6773" w:rsidRPr="00B454D6" w:rsidRDefault="009E6773" w:rsidP="009E6773">
      <w:pPr>
        <w:jc w:val="center"/>
        <w:rPr>
          <w:rFonts w:ascii="Times New Roman" w:hAnsi="Times New Roman" w:cs="Times New Roman"/>
          <w:sz w:val="22"/>
        </w:rPr>
      </w:pPr>
      <w:r w:rsidRPr="00B454D6">
        <w:rPr>
          <w:rFonts w:ascii="Times New Roman" w:hAnsi="Times New Roman" w:cs="Times New Roman"/>
          <w:sz w:val="22"/>
        </w:rPr>
        <w:t>Laboratory of Cellular Pharmacology, School of Pharmacy, Aichi-</w:t>
      </w:r>
      <w:proofErr w:type="spellStart"/>
      <w:r w:rsidRPr="00B454D6">
        <w:rPr>
          <w:rFonts w:ascii="Times New Roman" w:hAnsi="Times New Roman" w:cs="Times New Roman" w:hint="eastAsia"/>
          <w:sz w:val="22"/>
        </w:rPr>
        <w:t>G</w:t>
      </w:r>
      <w:r w:rsidRPr="00B454D6">
        <w:rPr>
          <w:rFonts w:ascii="Times New Roman" w:hAnsi="Times New Roman" w:cs="Times New Roman"/>
          <w:sz w:val="22"/>
        </w:rPr>
        <w:t>akuin</w:t>
      </w:r>
      <w:proofErr w:type="spellEnd"/>
      <w:r w:rsidRPr="00B454D6">
        <w:rPr>
          <w:rFonts w:ascii="Times New Roman" w:hAnsi="Times New Roman" w:cs="Times New Roman"/>
          <w:sz w:val="22"/>
        </w:rPr>
        <w:t xml:space="preserve"> University, 1-100 </w:t>
      </w:r>
      <w:proofErr w:type="spellStart"/>
      <w:r w:rsidRPr="00B454D6">
        <w:rPr>
          <w:rFonts w:ascii="Times New Roman" w:hAnsi="Times New Roman" w:cs="Times New Roman"/>
          <w:sz w:val="22"/>
        </w:rPr>
        <w:t>Kusumoto</w:t>
      </w:r>
      <w:proofErr w:type="spellEnd"/>
      <w:r w:rsidRPr="00B454D6">
        <w:rPr>
          <w:rFonts w:ascii="Times New Roman" w:hAnsi="Times New Roman" w:cs="Times New Roman"/>
          <w:sz w:val="22"/>
        </w:rPr>
        <w:t>, Chikusa, Nagoya 464-8650, Japan</w:t>
      </w:r>
    </w:p>
    <w:p w14:paraId="7B928D0A" w14:textId="77777777" w:rsidR="009E6773" w:rsidRPr="00B454D6" w:rsidRDefault="009E6773" w:rsidP="009E6773">
      <w:pPr>
        <w:jc w:val="center"/>
      </w:pPr>
    </w:p>
    <w:p w14:paraId="4039A6B4" w14:textId="77777777" w:rsidR="009E6773" w:rsidRPr="00B454D6" w:rsidRDefault="009E6773" w:rsidP="009E6773">
      <w:pPr>
        <w:jc w:val="center"/>
        <w:rPr>
          <w:rFonts w:ascii="Times New Roman" w:hAnsi="Times New Roman" w:cs="Times New Roman"/>
          <w:sz w:val="22"/>
        </w:rPr>
      </w:pPr>
      <w:r>
        <w:rPr>
          <w:rFonts w:ascii="Times New Roman" w:hAnsi="Times New Roman" w:cs="Times New Roman" w:hint="eastAsia"/>
          <w:sz w:val="22"/>
        </w:rPr>
        <w:t>#</w:t>
      </w:r>
      <w:r>
        <w:rPr>
          <w:rFonts w:ascii="Times New Roman" w:hAnsi="Times New Roman" w:cs="Times New Roman"/>
          <w:sz w:val="22"/>
        </w:rPr>
        <w:t>: Equal contribution</w:t>
      </w:r>
    </w:p>
    <w:p w14:paraId="7EBD1AC8" w14:textId="77777777" w:rsidR="009E6773" w:rsidRPr="00B454D6" w:rsidRDefault="009E6773" w:rsidP="009E6773">
      <w:pPr>
        <w:snapToGrid w:val="0"/>
        <w:spacing w:line="276" w:lineRule="auto"/>
        <w:jc w:val="center"/>
        <w:rPr>
          <w:rFonts w:ascii="Times New Roman" w:hAnsi="Times New Roman" w:cs="Times New Roman"/>
          <w:color w:val="000000" w:themeColor="text1"/>
          <w:sz w:val="22"/>
        </w:rPr>
      </w:pPr>
      <w:r w:rsidRPr="00B454D6">
        <w:rPr>
          <w:rFonts w:ascii="Times New Roman" w:hAnsi="Times New Roman" w:cs="Times New Roman"/>
          <w:color w:val="000000" w:themeColor="text1"/>
          <w:sz w:val="22"/>
        </w:rPr>
        <w:t>*Correspond</w:t>
      </w:r>
      <w:r w:rsidRPr="00B454D6">
        <w:rPr>
          <w:rFonts w:ascii="Times New Roman" w:hAnsi="Times New Roman" w:cs="Times New Roman" w:hint="eastAsia"/>
          <w:color w:val="000000" w:themeColor="text1"/>
          <w:sz w:val="22"/>
        </w:rPr>
        <w:t xml:space="preserve">ence: </w:t>
      </w:r>
      <w:r w:rsidRPr="00B454D6">
        <w:rPr>
          <w:rFonts w:ascii="Times New Roman" w:hAnsi="Times New Roman" w:cs="Times New Roman"/>
          <w:color w:val="000000" w:themeColor="text1"/>
          <w:sz w:val="22"/>
        </w:rPr>
        <w:t>kmuraki@dpc.agu.ac.jp</w:t>
      </w:r>
      <w:r w:rsidRPr="00B454D6">
        <w:rPr>
          <w:rFonts w:ascii="Times New Roman" w:hAnsi="Times New Roman" w:cs="Times New Roman" w:hint="eastAsia"/>
          <w:color w:val="000000" w:themeColor="text1"/>
          <w:sz w:val="22"/>
        </w:rPr>
        <w:t xml:space="preserve">, </w:t>
      </w:r>
      <w:r w:rsidRPr="00B454D6">
        <w:rPr>
          <w:rFonts w:ascii="Times New Roman" w:hAnsi="Times New Roman" w:cs="Times New Roman"/>
          <w:color w:val="000000" w:themeColor="text1"/>
          <w:sz w:val="22"/>
        </w:rPr>
        <w:t>Tel: +81-52-757-6788</w:t>
      </w:r>
    </w:p>
    <w:p w14:paraId="37B9713A" w14:textId="77777777" w:rsidR="009E6773" w:rsidRDefault="009E6773" w:rsidP="009E6773">
      <w:pPr>
        <w:pStyle w:val="a3"/>
        <w:jc w:val="center"/>
        <w:rPr>
          <w:rFonts w:ascii="ＭＳ ゴシック" w:eastAsia="ＭＳ ゴシック" w:hAnsi="ＭＳ ゴシック" w:cs="ＭＳ ゴシック"/>
        </w:rPr>
      </w:pPr>
    </w:p>
    <w:p w14:paraId="5598A059" w14:textId="6039A099" w:rsidR="007E0B1E" w:rsidRPr="009E6773" w:rsidRDefault="007E0B1E">
      <w:pPr>
        <w:widowControl/>
        <w:jc w:val="left"/>
        <w:rPr>
          <w:noProof/>
        </w:rPr>
      </w:pPr>
    </w:p>
    <w:p w14:paraId="1F95C7E0" w14:textId="2127573D" w:rsidR="009E6773" w:rsidRDefault="009E6773">
      <w:pPr>
        <w:widowControl/>
        <w:jc w:val="left"/>
        <w:rPr>
          <w:rFonts w:ascii="Times New Roman" w:hAnsi="Times New Roman" w:cs="Times New Roman"/>
          <w:b/>
          <w:bCs/>
          <w:color w:val="000000" w:themeColor="text1"/>
          <w:sz w:val="22"/>
          <w14:textOutline w14:w="9525" w14:cap="rnd" w14:cmpd="sng" w14:algn="ctr">
            <w14:noFill/>
            <w14:prstDash w14:val="solid"/>
            <w14:bevel/>
          </w14:textOutline>
        </w:rPr>
      </w:pPr>
      <w:r>
        <w:rPr>
          <w:rFonts w:ascii="Times New Roman" w:hAnsi="Times New Roman" w:cs="Times New Roman"/>
          <w:b/>
          <w:bCs/>
          <w:color w:val="000000" w:themeColor="text1"/>
          <w:sz w:val="22"/>
          <w14:textOutline w14:w="9525" w14:cap="rnd" w14:cmpd="sng" w14:algn="ctr">
            <w14:noFill/>
            <w14:prstDash w14:val="solid"/>
            <w14:bevel/>
          </w14:textOutline>
        </w:rPr>
        <w:br w:type="page"/>
      </w:r>
    </w:p>
    <w:p w14:paraId="108D3E75" w14:textId="6B4FF4C2" w:rsidR="006D77B1" w:rsidRDefault="00260C50" w:rsidP="00BB0C12">
      <w:pPr>
        <w:spacing w:line="240" w:lineRule="atLeast"/>
        <w:rPr>
          <w:rFonts w:ascii="Times New Roman" w:eastAsia="ＭＳ ゴシック" w:hAnsi="Times New Roman" w:cs="Times New Roman"/>
          <w:sz w:val="22"/>
        </w:rPr>
      </w:pPr>
      <w:r>
        <w:rPr>
          <w:noProof/>
        </w:rPr>
        <w:lastRenderedPageBreak/>
        <w:drawing>
          <wp:inline distT="0" distB="0" distL="0" distR="0" wp14:anchorId="756D9EA0" wp14:editId="77527E9E">
            <wp:extent cx="5759450" cy="402272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9450" cy="4022725"/>
                    </a:xfrm>
                    <a:prstGeom prst="rect">
                      <a:avLst/>
                    </a:prstGeom>
                  </pic:spPr>
                </pic:pic>
              </a:graphicData>
            </a:graphic>
          </wp:inline>
        </w:drawing>
      </w:r>
    </w:p>
    <w:p w14:paraId="74E62BB1" w14:textId="74A979B9" w:rsidR="00176672" w:rsidRPr="00176672" w:rsidRDefault="003836CE" w:rsidP="00BB0C12">
      <w:pPr>
        <w:spacing w:line="240" w:lineRule="atLeast"/>
        <w:rPr>
          <w:rFonts w:ascii="Times New Roman" w:eastAsia="ＭＳ ゴシック" w:hAnsi="Times New Roman" w:cs="Times New Roman"/>
          <w:noProof/>
          <w:sz w:val="24"/>
          <w:szCs w:val="24"/>
        </w:rPr>
      </w:pPr>
      <w:r w:rsidRPr="00A875E8">
        <w:rPr>
          <w:rStyle w:val="a9"/>
          <w:rFonts w:ascii="Times New Roman" w:hAnsi="Times New Roman" w:cs="Times New Roman"/>
          <w:sz w:val="22"/>
        </w:rPr>
        <w:t>Supplementary Table S1 | Primer sequences used for cloning full-length chicken PIEZO1</w:t>
      </w:r>
      <w:r w:rsidRPr="00A875E8">
        <w:rPr>
          <w:rFonts w:ascii="Times New Roman" w:hAnsi="Times New Roman" w:cs="Times New Roman"/>
          <w:sz w:val="22"/>
        </w:rPr>
        <w:br/>
        <w:t>Primer sequences used in this study to amplify and assemble the full-length chicken PIEZO1 (gPIEZO1) coding sequence from six overlapping fragments. The synthesized gPIEZO1.1 nucleotide sequence is shown in the lower panel.</w:t>
      </w:r>
    </w:p>
    <w:p w14:paraId="77E93E4C" w14:textId="29E67802" w:rsidR="00576274" w:rsidRDefault="00576274">
      <w:pPr>
        <w:widowControl/>
        <w:jc w:val="left"/>
        <w:rPr>
          <w:rFonts w:ascii="ＭＳ ゴシック" w:eastAsia="ＭＳ ゴシック" w:hAnsi="ＭＳ ゴシック" w:cs="ＭＳ ゴシック"/>
          <w:b/>
          <w:bCs/>
          <w:noProof/>
          <w:sz w:val="24"/>
          <w:szCs w:val="24"/>
        </w:rPr>
      </w:pPr>
      <w:r>
        <w:rPr>
          <w:rFonts w:ascii="ＭＳ ゴシック" w:eastAsia="ＭＳ ゴシック" w:hAnsi="ＭＳ ゴシック" w:cs="ＭＳ ゴシック"/>
          <w:b/>
          <w:bCs/>
          <w:noProof/>
          <w:sz w:val="24"/>
          <w:szCs w:val="24"/>
        </w:rPr>
        <w:br w:type="page"/>
      </w:r>
    </w:p>
    <w:p w14:paraId="28AAF00A" w14:textId="64610510" w:rsidR="00576274" w:rsidRDefault="000C5BD4" w:rsidP="00BB0C12">
      <w:pPr>
        <w:spacing w:line="240" w:lineRule="atLeast"/>
        <w:rPr>
          <w:rFonts w:ascii="Times New Roman" w:hAnsi="Times New Roman" w:cs="Times New Roman"/>
          <w:b/>
          <w:bCs/>
          <w:color w:val="000000" w:themeColor="text1"/>
          <w:sz w:val="22"/>
          <w14:textOutline w14:w="9525" w14:cap="rnd" w14:cmpd="sng" w14:algn="ctr">
            <w14:noFill/>
            <w14:prstDash w14:val="solid"/>
            <w14:bevel/>
          </w14:textOutline>
        </w:rPr>
      </w:pPr>
      <w:r>
        <w:rPr>
          <w:noProof/>
        </w:rPr>
        <w:lastRenderedPageBreak/>
        <w:drawing>
          <wp:inline distT="0" distB="0" distL="0" distR="0" wp14:anchorId="1CEEAF92" wp14:editId="27A08B88">
            <wp:extent cx="5759450" cy="7670165"/>
            <wp:effectExtent l="0" t="0" r="0" b="6985"/>
            <wp:docPr id="85" name="図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9450" cy="7670165"/>
                    </a:xfrm>
                    <a:prstGeom prst="rect">
                      <a:avLst/>
                    </a:prstGeom>
                  </pic:spPr>
                </pic:pic>
              </a:graphicData>
            </a:graphic>
          </wp:inline>
        </w:drawing>
      </w:r>
      <w:r>
        <w:rPr>
          <w:noProof/>
        </w:rPr>
        <w:lastRenderedPageBreak/>
        <w:drawing>
          <wp:inline distT="0" distB="0" distL="0" distR="0" wp14:anchorId="790C2986" wp14:editId="0F05EE3A">
            <wp:extent cx="5759450" cy="3691890"/>
            <wp:effectExtent l="0" t="0" r="0" b="3810"/>
            <wp:docPr id="96" name="図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3691890"/>
                    </a:xfrm>
                    <a:prstGeom prst="rect">
                      <a:avLst/>
                    </a:prstGeom>
                  </pic:spPr>
                </pic:pic>
              </a:graphicData>
            </a:graphic>
          </wp:inline>
        </w:drawing>
      </w:r>
    </w:p>
    <w:p w14:paraId="15AC9269" w14:textId="78661608" w:rsidR="00176672" w:rsidRDefault="00176672" w:rsidP="00176672">
      <w:pPr>
        <w:spacing w:line="240" w:lineRule="atLeast"/>
        <w:rPr>
          <w:rFonts w:ascii="Times New Roman" w:hAnsi="Times New Roman"/>
          <w:b/>
          <w:bCs/>
          <w:sz w:val="22"/>
        </w:rPr>
      </w:pPr>
      <w:r w:rsidRPr="00176672">
        <w:rPr>
          <w:rFonts w:ascii="Times New Roman" w:eastAsia="ＭＳ ゴシック" w:hAnsi="Times New Roman" w:cs="Times New Roman"/>
          <w:b/>
          <w:bCs/>
          <w:sz w:val="22"/>
        </w:rPr>
        <w:t xml:space="preserve">Supplementary </w:t>
      </w:r>
      <w:r w:rsidRPr="00176672">
        <w:rPr>
          <w:rFonts w:ascii="Times New Roman" w:eastAsia="ＭＳ ゴシック" w:hAnsi="Times New Roman" w:cs="Times New Roman" w:hint="cs"/>
          <w:b/>
          <w:bCs/>
          <w:sz w:val="22"/>
        </w:rPr>
        <w:t>T</w:t>
      </w:r>
      <w:r w:rsidRPr="00176672">
        <w:rPr>
          <w:rFonts w:ascii="Times New Roman" w:eastAsia="ＭＳ ゴシック" w:hAnsi="Times New Roman" w:cs="Times New Roman"/>
          <w:b/>
          <w:bCs/>
          <w:sz w:val="22"/>
        </w:rPr>
        <w:t>able S</w:t>
      </w:r>
      <w:r>
        <w:rPr>
          <w:rFonts w:ascii="Times New Roman" w:eastAsia="ＭＳ ゴシック" w:hAnsi="Times New Roman" w:cs="Times New Roman"/>
          <w:b/>
          <w:bCs/>
          <w:sz w:val="22"/>
        </w:rPr>
        <w:t>2</w:t>
      </w:r>
      <w:r w:rsidRPr="00176672">
        <w:rPr>
          <w:rFonts w:ascii="Times New Roman" w:eastAsia="ＭＳ ゴシック" w:hAnsi="Times New Roman" w:cs="Times New Roman"/>
          <w:b/>
          <w:bCs/>
          <w:sz w:val="22"/>
        </w:rPr>
        <w:t xml:space="preserve"> </w:t>
      </w:r>
      <w:r w:rsidRPr="00176672">
        <w:rPr>
          <w:rStyle w:val="a9"/>
          <w:rFonts w:ascii="Times New Roman" w:hAnsi="Times New Roman" w:cs="Times New Roman"/>
          <w:b w:val="0"/>
          <w:bCs w:val="0"/>
          <w:sz w:val="22"/>
        </w:rPr>
        <w:t>|</w:t>
      </w:r>
      <w:r w:rsidRPr="00176672">
        <w:rPr>
          <w:rFonts w:ascii="Times New Roman" w:eastAsia="ＭＳ ゴシック" w:hAnsi="Times New Roman" w:cs="Times New Roman"/>
          <w:b/>
          <w:bCs/>
          <w:sz w:val="22"/>
        </w:rPr>
        <w:t xml:space="preserve"> </w:t>
      </w:r>
      <w:r>
        <w:rPr>
          <w:rFonts w:ascii="Times New Roman" w:eastAsia="ＭＳ ゴシック" w:hAnsi="Times New Roman" w:cs="Times New Roman"/>
          <w:b/>
          <w:bCs/>
          <w:sz w:val="22"/>
        </w:rPr>
        <w:t>Avian PIEZO1 sequences used for comparative alignment</w:t>
      </w:r>
    </w:p>
    <w:p w14:paraId="33B36F90" w14:textId="366813CC" w:rsidR="00145C08" w:rsidRDefault="005D6F6F">
      <w:pPr>
        <w:widowControl/>
        <w:jc w:val="left"/>
        <w:rPr>
          <w:rFonts w:ascii="Times New Roman" w:hAnsi="Times New Roman" w:cs="Times New Roman"/>
          <w:sz w:val="22"/>
        </w:rPr>
      </w:pPr>
      <w:r w:rsidRPr="005D6F6F">
        <w:rPr>
          <w:rFonts w:ascii="Times New Roman" w:hAnsi="Times New Roman" w:cs="Times New Roman"/>
          <w:sz w:val="22"/>
        </w:rPr>
        <w:t>List of avian PIEZO1 sequences used for amino acid sequence alignment, including the gPIEZO1 sequence analyzed in this study (Query_10747160</w:t>
      </w:r>
      <w:r w:rsidR="00FE5CCA">
        <w:rPr>
          <w:rFonts w:ascii="Times New Roman" w:hAnsi="Times New Roman" w:cs="Times New Roman"/>
          <w:sz w:val="22"/>
        </w:rPr>
        <w:t>, 2490 amino acids</w:t>
      </w:r>
      <w:r w:rsidRPr="005D6F6F">
        <w:rPr>
          <w:rFonts w:ascii="Times New Roman" w:hAnsi="Times New Roman" w:cs="Times New Roman"/>
          <w:sz w:val="22"/>
        </w:rPr>
        <w:t>) and 99 additional avian orthologs.</w:t>
      </w:r>
    </w:p>
    <w:p w14:paraId="51CC4A8E" w14:textId="77777777" w:rsidR="00145C08" w:rsidRDefault="00145C08">
      <w:pPr>
        <w:widowControl/>
        <w:jc w:val="left"/>
        <w:rPr>
          <w:rFonts w:ascii="Times New Roman" w:hAnsi="Times New Roman" w:cs="Times New Roman"/>
          <w:sz w:val="22"/>
        </w:rPr>
      </w:pPr>
      <w:r>
        <w:rPr>
          <w:rFonts w:ascii="Times New Roman" w:hAnsi="Times New Roman" w:cs="Times New Roman"/>
          <w:sz w:val="22"/>
        </w:rPr>
        <w:br w:type="page"/>
      </w:r>
    </w:p>
    <w:p w14:paraId="652E25AC" w14:textId="25C3CC90" w:rsidR="00020DC4" w:rsidRDefault="00317172">
      <w:pPr>
        <w:widowControl/>
        <w:jc w:val="left"/>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38B667C" wp14:editId="2C1DDB41">
            <wp:extent cx="5305031" cy="3979066"/>
            <wp:effectExtent l="0" t="0" r="0" b="254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pic:cNvPicPr/>
                  </pic:nvPicPr>
                  <pic:blipFill>
                    <a:blip r:embed="rId9">
                      <a:extLst>
                        <a:ext uri="{28A0092B-C50C-407E-A947-70E740481C1C}">
                          <a14:useLocalDpi xmlns:a14="http://schemas.microsoft.com/office/drawing/2010/main" val="0"/>
                        </a:ext>
                      </a:extLst>
                    </a:blip>
                    <a:stretch>
                      <a:fillRect/>
                    </a:stretch>
                  </pic:blipFill>
                  <pic:spPr>
                    <a:xfrm>
                      <a:off x="0" y="0"/>
                      <a:ext cx="5309599" cy="3982492"/>
                    </a:xfrm>
                    <a:prstGeom prst="rect">
                      <a:avLst/>
                    </a:prstGeom>
                  </pic:spPr>
                </pic:pic>
              </a:graphicData>
            </a:graphic>
          </wp:inline>
        </w:drawing>
      </w:r>
    </w:p>
    <w:p w14:paraId="0BDBEE74" w14:textId="47AD3CBC" w:rsidR="00145C08" w:rsidRDefault="00317172">
      <w:pPr>
        <w:widowControl/>
        <w:jc w:val="left"/>
        <w:rPr>
          <w:rFonts w:ascii="Times New Roman" w:hAnsi="Times New Roman" w:cs="Times New Roman"/>
          <w:sz w:val="22"/>
        </w:rPr>
      </w:pPr>
      <w:r>
        <w:rPr>
          <w:rFonts w:ascii="Times New Roman" w:hAnsi="Times New Roman" w:cs="Times New Roman"/>
          <w:noProof/>
          <w:sz w:val="22"/>
        </w:rPr>
        <w:drawing>
          <wp:inline distT="0" distB="0" distL="0" distR="0" wp14:anchorId="5BFFDB93" wp14:editId="5D6962B4">
            <wp:extent cx="5342816" cy="4007407"/>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10">
                      <a:extLst>
                        <a:ext uri="{28A0092B-C50C-407E-A947-70E740481C1C}">
                          <a14:useLocalDpi xmlns:a14="http://schemas.microsoft.com/office/drawing/2010/main" val="0"/>
                        </a:ext>
                      </a:extLst>
                    </a:blip>
                    <a:stretch>
                      <a:fillRect/>
                    </a:stretch>
                  </pic:blipFill>
                  <pic:spPr>
                    <a:xfrm>
                      <a:off x="0" y="0"/>
                      <a:ext cx="5350603" cy="4013248"/>
                    </a:xfrm>
                    <a:prstGeom prst="rect">
                      <a:avLst/>
                    </a:prstGeom>
                  </pic:spPr>
                </pic:pic>
              </a:graphicData>
            </a:graphic>
          </wp:inline>
        </w:drawing>
      </w:r>
    </w:p>
    <w:p w14:paraId="1679D541" w14:textId="462D5F26" w:rsidR="00E87B22" w:rsidRPr="005D6F6F" w:rsidRDefault="00317172" w:rsidP="00145C08">
      <w:pPr>
        <w:spacing w:line="240" w:lineRule="atLeast"/>
        <w:rPr>
          <w:rFonts w:ascii="Times New Roman" w:hAnsi="Times New Roman" w:cs="Times New Roman"/>
          <w:sz w:val="22"/>
        </w:rPr>
      </w:pPr>
      <w:r>
        <w:rPr>
          <w:rFonts w:ascii="Times New Roman" w:hAnsi="Times New Roman" w:cs="Times New Roman"/>
          <w:b/>
          <w:bCs/>
          <w:noProof/>
          <w:sz w:val="22"/>
        </w:rPr>
        <w:lastRenderedPageBreak/>
        <w:drawing>
          <wp:inline distT="0" distB="0" distL="0" distR="0" wp14:anchorId="55A8098C" wp14:editId="057E6708">
            <wp:extent cx="5335259" cy="4001738"/>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pic:nvPicPr>
                  <pic:blipFill>
                    <a:blip r:embed="rId11">
                      <a:extLst>
                        <a:ext uri="{28A0092B-C50C-407E-A947-70E740481C1C}">
                          <a14:useLocalDpi xmlns:a14="http://schemas.microsoft.com/office/drawing/2010/main" val="0"/>
                        </a:ext>
                      </a:extLst>
                    </a:blip>
                    <a:stretch>
                      <a:fillRect/>
                    </a:stretch>
                  </pic:blipFill>
                  <pic:spPr>
                    <a:xfrm>
                      <a:off x="0" y="0"/>
                      <a:ext cx="5346175" cy="4009925"/>
                    </a:xfrm>
                    <a:prstGeom prst="rect">
                      <a:avLst/>
                    </a:prstGeom>
                  </pic:spPr>
                </pic:pic>
              </a:graphicData>
            </a:graphic>
          </wp:inline>
        </w:drawing>
      </w:r>
      <w:r w:rsidR="00D12B73" w:rsidRPr="00680000">
        <w:rPr>
          <w:rStyle w:val="a9"/>
          <w:rFonts w:ascii="Times New Roman" w:hAnsi="Times New Roman" w:cs="Times New Roman"/>
          <w:sz w:val="22"/>
        </w:rPr>
        <w:t>Supplementary Figure S1 | Original Western blot images for PIEZO1</w:t>
      </w:r>
      <w:r w:rsidR="00D12B73" w:rsidRPr="00680000">
        <w:rPr>
          <w:rFonts w:ascii="Times New Roman" w:hAnsi="Times New Roman" w:cs="Times New Roman"/>
          <w:sz w:val="22"/>
        </w:rPr>
        <w:br/>
        <w:t xml:space="preserve">Uncropped Western blot images from three independent experiments are shown (Supplementary Fig. S1A–S1C). In the upper panels, molecular weight marker blots (40 </w:t>
      </w:r>
      <w:proofErr w:type="spellStart"/>
      <w:r w:rsidR="00D12B73" w:rsidRPr="00680000">
        <w:rPr>
          <w:rFonts w:ascii="Times New Roman" w:hAnsi="Times New Roman" w:cs="Times New Roman"/>
          <w:sz w:val="22"/>
        </w:rPr>
        <w:t>ms</w:t>
      </w:r>
      <w:proofErr w:type="spellEnd"/>
      <w:r w:rsidR="00D12B73" w:rsidRPr="00680000">
        <w:rPr>
          <w:rFonts w:ascii="Times New Roman" w:hAnsi="Times New Roman" w:cs="Times New Roman"/>
          <w:sz w:val="22"/>
        </w:rPr>
        <w:t xml:space="preserve"> exposure) are displayed alongside the corresponding PIEZO1 blots </w:t>
      </w:r>
      <w:r w:rsidR="00AB516D">
        <w:rPr>
          <w:rFonts w:ascii="Times New Roman" w:hAnsi="Times New Roman" w:cs="Times New Roman"/>
          <w:sz w:val="22"/>
        </w:rPr>
        <w:t xml:space="preserve">with each </w:t>
      </w:r>
      <w:r w:rsidR="00D12B73" w:rsidRPr="00680000">
        <w:rPr>
          <w:rFonts w:ascii="Times New Roman" w:hAnsi="Times New Roman" w:cs="Times New Roman"/>
          <w:sz w:val="22"/>
        </w:rPr>
        <w:t>exposure</w:t>
      </w:r>
      <w:r w:rsidR="00AB516D">
        <w:rPr>
          <w:rFonts w:ascii="Times New Roman" w:hAnsi="Times New Roman" w:cs="Times New Roman"/>
          <w:sz w:val="22"/>
        </w:rPr>
        <w:t xml:space="preserve"> time</w:t>
      </w:r>
      <w:r w:rsidR="00D12B73" w:rsidRPr="00680000">
        <w:rPr>
          <w:rFonts w:ascii="Times New Roman" w:hAnsi="Times New Roman" w:cs="Times New Roman"/>
          <w:sz w:val="22"/>
        </w:rPr>
        <w:t>. In the lower panels, β-actin blots are shown together with molecular weight markers.</w:t>
      </w:r>
    </w:p>
    <w:p w14:paraId="2AF050F4" w14:textId="2AFF08D1" w:rsidR="00145C08" w:rsidRPr="005D6F6F" w:rsidRDefault="00145C08" w:rsidP="00145C08">
      <w:pPr>
        <w:widowControl/>
        <w:jc w:val="left"/>
        <w:rPr>
          <w:rFonts w:ascii="Times New Roman" w:hAnsi="Times New Roman" w:cs="Times New Roman" w:hint="eastAsia"/>
          <w:sz w:val="22"/>
        </w:rPr>
      </w:pPr>
    </w:p>
    <w:p w14:paraId="06597F87" w14:textId="38D9D44F" w:rsidR="005D6F6F" w:rsidRDefault="00BF4248" w:rsidP="005D6F6F">
      <w:pPr>
        <w:spacing w:line="240" w:lineRule="atLeast"/>
        <w:rPr>
          <w:rFonts w:ascii="Times New Roman" w:hAnsi="Times New Roman"/>
          <w:b/>
          <w:bCs/>
          <w:sz w:val="22"/>
        </w:rPr>
      </w:pPr>
      <w:r>
        <w:rPr>
          <w:noProof/>
        </w:rPr>
        <w:lastRenderedPageBreak/>
        <w:drawing>
          <wp:inline distT="0" distB="0" distL="0" distR="0" wp14:anchorId="4545ACE3" wp14:editId="1D065E81">
            <wp:extent cx="5616575" cy="8531860"/>
            <wp:effectExtent l="0" t="0" r="3175" b="254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6575" cy="8531860"/>
                    </a:xfrm>
                    <a:prstGeom prst="rect">
                      <a:avLst/>
                    </a:prstGeom>
                  </pic:spPr>
                </pic:pic>
              </a:graphicData>
            </a:graphic>
          </wp:inline>
        </w:drawing>
      </w:r>
      <w:r w:rsidR="005D6F6F" w:rsidRPr="005D6F6F">
        <w:rPr>
          <w:noProof/>
        </w:rPr>
        <w:t xml:space="preserve"> </w:t>
      </w:r>
      <w:r w:rsidR="005D6F6F">
        <w:rPr>
          <w:noProof/>
        </w:rPr>
        <w:lastRenderedPageBreak/>
        <w:drawing>
          <wp:inline distT="0" distB="0" distL="0" distR="0" wp14:anchorId="77FA5E7E" wp14:editId="3B807653">
            <wp:extent cx="5759450" cy="8188960"/>
            <wp:effectExtent l="0" t="0" r="0" b="2540"/>
            <wp:docPr id="112" name="図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8188960"/>
                    </a:xfrm>
                    <a:prstGeom prst="rect">
                      <a:avLst/>
                    </a:prstGeom>
                  </pic:spPr>
                </pic:pic>
              </a:graphicData>
            </a:graphic>
          </wp:inline>
        </w:drawing>
      </w:r>
      <w:r w:rsidR="005D6F6F" w:rsidRPr="005D6F6F">
        <w:rPr>
          <w:rFonts w:ascii="Times New Roman" w:eastAsia="ＭＳ ゴシック" w:hAnsi="Times New Roman" w:cs="Times New Roman"/>
          <w:b/>
          <w:bCs/>
          <w:sz w:val="22"/>
        </w:rPr>
        <w:t xml:space="preserve"> </w:t>
      </w:r>
      <w:r w:rsidR="005D6F6F" w:rsidRPr="00176672">
        <w:rPr>
          <w:rFonts w:ascii="Times New Roman" w:eastAsia="ＭＳ ゴシック" w:hAnsi="Times New Roman" w:cs="Times New Roman"/>
          <w:b/>
          <w:bCs/>
          <w:sz w:val="22"/>
        </w:rPr>
        <w:t xml:space="preserve">Supplementary </w:t>
      </w:r>
      <w:r w:rsidR="005D6F6F">
        <w:rPr>
          <w:rFonts w:ascii="Times New Roman" w:eastAsia="ＭＳ ゴシック" w:hAnsi="Times New Roman" w:cs="Times New Roman"/>
          <w:b/>
          <w:bCs/>
          <w:sz w:val="22"/>
        </w:rPr>
        <w:t>Figure</w:t>
      </w:r>
      <w:r w:rsidR="005D6F6F" w:rsidRPr="00176672">
        <w:rPr>
          <w:rFonts w:ascii="Times New Roman" w:eastAsia="ＭＳ ゴシック" w:hAnsi="Times New Roman" w:cs="Times New Roman"/>
          <w:b/>
          <w:bCs/>
          <w:sz w:val="22"/>
        </w:rPr>
        <w:t xml:space="preserve"> S</w:t>
      </w:r>
      <w:r w:rsidR="00145C08">
        <w:rPr>
          <w:rFonts w:ascii="Times New Roman" w:eastAsia="ＭＳ ゴシック" w:hAnsi="Times New Roman" w:cs="Times New Roman"/>
          <w:b/>
          <w:bCs/>
          <w:sz w:val="22"/>
        </w:rPr>
        <w:t>2</w:t>
      </w:r>
      <w:r w:rsidR="005D6F6F" w:rsidRPr="00176672">
        <w:rPr>
          <w:rFonts w:ascii="Times New Roman" w:eastAsia="ＭＳ ゴシック" w:hAnsi="Times New Roman" w:cs="Times New Roman"/>
          <w:b/>
          <w:bCs/>
          <w:sz w:val="22"/>
        </w:rPr>
        <w:t xml:space="preserve"> </w:t>
      </w:r>
      <w:r w:rsidR="005D6F6F" w:rsidRPr="00176672">
        <w:rPr>
          <w:rStyle w:val="a9"/>
          <w:rFonts w:ascii="Times New Roman" w:hAnsi="Times New Roman" w:cs="Times New Roman"/>
          <w:b w:val="0"/>
          <w:bCs w:val="0"/>
          <w:sz w:val="22"/>
        </w:rPr>
        <w:t>|</w:t>
      </w:r>
      <w:r w:rsidR="005D6F6F" w:rsidRPr="00176672">
        <w:rPr>
          <w:rFonts w:ascii="Times New Roman" w:eastAsia="ＭＳ ゴシック" w:hAnsi="Times New Roman" w:cs="Times New Roman"/>
          <w:b/>
          <w:bCs/>
          <w:sz w:val="22"/>
        </w:rPr>
        <w:t xml:space="preserve"> </w:t>
      </w:r>
      <w:r w:rsidR="005D6F6F">
        <w:rPr>
          <w:rFonts w:ascii="Times New Roman" w:eastAsia="ＭＳ ゴシック" w:hAnsi="Times New Roman" w:cs="Times New Roman"/>
          <w:b/>
          <w:bCs/>
          <w:sz w:val="22"/>
        </w:rPr>
        <w:t>Sequence alignment of human and chicken PIEZO1 orthologs</w:t>
      </w:r>
    </w:p>
    <w:p w14:paraId="7ADA82CC" w14:textId="6D62D4BD" w:rsidR="00A857CB" w:rsidRPr="005D6F6F" w:rsidRDefault="005D6F6F">
      <w:pPr>
        <w:rPr>
          <w:rFonts w:ascii="Times New Roman" w:hAnsi="Times New Roman" w:cs="Times New Roman"/>
          <w:sz w:val="22"/>
        </w:rPr>
      </w:pPr>
      <w:r w:rsidRPr="005D6F6F">
        <w:rPr>
          <w:rFonts w:ascii="Times New Roman" w:hAnsi="Times New Roman" w:cs="Times New Roman"/>
          <w:sz w:val="22"/>
        </w:rPr>
        <w:lastRenderedPageBreak/>
        <w:t>Amino acid sequence alignment of human PIEZO1 (hPIEZO1) and chicken PIEZO1 (gPIEZO1). Structural domains are color-coded as follows: blue, transmembrane helical units (THUs); red, glutamine-rich stretch (Q-stretch); green, Beam; light orange, Beam–central linker, central plug, lateral plug, latch, wedge, and clasp; light green, Anchor; brown, outer helix (OH); gray, cap (C-terminal extracellular domain, CED); orange, inner helix (IH); and black, C-terminal domain (CTD). Two pivot residues (L1347 and L1350) and residues forming the upper and lower gates in hPIEZO1 (L2443, V2450, and F2454) are indicated by arrows. Amino acid residues corresponding to SNP-associated gain-of-function (GOF) mutations in hPIEZO1 (G718, S1117, T1589, R2245, R2279, and E2407) are enclosed in boxes, whereas the residue associated with a GOF deletion mutant (Q745) is indicated by a dotted box. Amino acid substitutions and deletions present in the gPIEZO1 construct used in this study are not shown (see Methods). Background shading indicates amino acid identity and similarity across the alignment.</w:t>
      </w:r>
    </w:p>
    <w:p w14:paraId="0302D067" w14:textId="1E01A21D" w:rsidR="00E94E4B" w:rsidRDefault="00E94E4B">
      <w:pPr>
        <w:rPr>
          <w:rFonts w:ascii="Times New Roman" w:hAnsi="Times New Roman"/>
          <w:sz w:val="22"/>
        </w:rPr>
      </w:pPr>
    </w:p>
    <w:p w14:paraId="3FB4E9D6" w14:textId="40022C4C" w:rsidR="00E94E4B" w:rsidRDefault="00E94E4B">
      <w:r>
        <w:rPr>
          <w:rFonts w:ascii="ＭＳ ゴシック" w:eastAsia="ＭＳ ゴシック" w:hAnsi="ＭＳ ゴシック" w:cs="ＭＳ ゴシック"/>
          <w:b/>
          <w:bCs/>
          <w:noProof/>
          <w:sz w:val="24"/>
          <w:szCs w:val="24"/>
        </w:rPr>
        <w:drawing>
          <wp:inline distT="0" distB="0" distL="0" distR="0" wp14:anchorId="1AB372B2" wp14:editId="646634BD">
            <wp:extent cx="5759450" cy="4072778"/>
            <wp:effectExtent l="0" t="0" r="0" b="4445"/>
            <wp:docPr id="109" name="図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図 5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9450" cy="4072778"/>
                    </a:xfrm>
                    <a:prstGeom prst="rect">
                      <a:avLst/>
                    </a:prstGeom>
                  </pic:spPr>
                </pic:pic>
              </a:graphicData>
            </a:graphic>
          </wp:inline>
        </w:drawing>
      </w:r>
    </w:p>
    <w:p w14:paraId="24B2312F" w14:textId="3D9CA59E" w:rsidR="005D6F6F" w:rsidRDefault="005D6F6F" w:rsidP="005D6F6F">
      <w:pPr>
        <w:rPr>
          <w:rFonts w:ascii="Times New Roman" w:eastAsia="ＭＳ ゴシック" w:hAnsi="Times New Roman" w:cs="Times New Roman"/>
          <w:b/>
          <w:bCs/>
          <w:sz w:val="22"/>
        </w:rPr>
      </w:pPr>
      <w:r w:rsidRPr="00176672">
        <w:rPr>
          <w:rFonts w:ascii="Times New Roman" w:eastAsia="ＭＳ ゴシック" w:hAnsi="Times New Roman" w:cs="Times New Roman"/>
          <w:b/>
          <w:bCs/>
          <w:sz w:val="22"/>
        </w:rPr>
        <w:t xml:space="preserve">Supplementary </w:t>
      </w:r>
      <w:r>
        <w:rPr>
          <w:rFonts w:ascii="Times New Roman" w:eastAsia="ＭＳ ゴシック" w:hAnsi="Times New Roman" w:cs="Times New Roman"/>
          <w:b/>
          <w:bCs/>
          <w:sz w:val="22"/>
        </w:rPr>
        <w:t>Figure</w:t>
      </w:r>
      <w:r w:rsidRPr="00176672">
        <w:rPr>
          <w:rFonts w:ascii="Times New Roman" w:eastAsia="ＭＳ ゴシック" w:hAnsi="Times New Roman" w:cs="Times New Roman"/>
          <w:b/>
          <w:bCs/>
          <w:sz w:val="22"/>
        </w:rPr>
        <w:t xml:space="preserve"> S</w:t>
      </w:r>
      <w:r w:rsidR="00145C08">
        <w:rPr>
          <w:rFonts w:ascii="Times New Roman" w:eastAsia="ＭＳ ゴシック" w:hAnsi="Times New Roman" w:cs="Times New Roman"/>
          <w:b/>
          <w:bCs/>
          <w:sz w:val="22"/>
        </w:rPr>
        <w:t>3</w:t>
      </w:r>
      <w:r w:rsidRPr="00176672">
        <w:rPr>
          <w:rFonts w:ascii="Times New Roman" w:eastAsia="ＭＳ ゴシック" w:hAnsi="Times New Roman" w:cs="Times New Roman"/>
          <w:b/>
          <w:bCs/>
          <w:sz w:val="22"/>
        </w:rPr>
        <w:t xml:space="preserve"> </w:t>
      </w:r>
      <w:r w:rsidRPr="00176672">
        <w:rPr>
          <w:rStyle w:val="a9"/>
          <w:rFonts w:ascii="Times New Roman" w:hAnsi="Times New Roman" w:cs="Times New Roman"/>
          <w:b w:val="0"/>
          <w:bCs w:val="0"/>
          <w:sz w:val="22"/>
        </w:rPr>
        <w:t>|</w:t>
      </w:r>
      <w:r w:rsidRPr="00176672">
        <w:rPr>
          <w:rFonts w:ascii="Times New Roman" w:eastAsia="ＭＳ ゴシック" w:hAnsi="Times New Roman" w:cs="Times New Roman"/>
          <w:b/>
          <w:bCs/>
          <w:sz w:val="22"/>
        </w:rPr>
        <w:t xml:space="preserve"> </w:t>
      </w:r>
      <w:r>
        <w:rPr>
          <w:rFonts w:ascii="Times New Roman" w:eastAsia="ＭＳ ゴシック" w:hAnsi="Times New Roman" w:cs="Times New Roman"/>
          <w:b/>
          <w:bCs/>
          <w:sz w:val="22"/>
        </w:rPr>
        <w:t>Trimeric homology model of full-length chicken PIEZO1</w:t>
      </w:r>
    </w:p>
    <w:p w14:paraId="13DE3B3C" w14:textId="4DBE9DA2" w:rsidR="005D6F6F" w:rsidRPr="005D6F6F" w:rsidRDefault="005D6F6F" w:rsidP="005D6F6F">
      <w:pPr>
        <w:rPr>
          <w:rFonts w:ascii="Times New Roman" w:hAnsi="Times New Roman" w:cs="Times New Roman"/>
          <w:sz w:val="22"/>
        </w:rPr>
      </w:pPr>
      <w:r w:rsidRPr="005D6F6F">
        <w:rPr>
          <w:rFonts w:ascii="Times New Roman" w:hAnsi="Times New Roman" w:cs="Times New Roman"/>
          <w:sz w:val="22"/>
        </w:rPr>
        <w:t>A full-length structural model of gPIEZO1 generated by homology modeling using SWISS-MODEL with mouse PIEZO1 (mPIEZO1; PDB ID: 6LQI) as the structural template. The trimeric channel is shown in cartoon representation, with individual subunits colored red, blue, and green. Top (left) and side (right) views are shown.</w:t>
      </w:r>
    </w:p>
    <w:p w14:paraId="0B011E0D" w14:textId="6189D323" w:rsidR="00A30FA8" w:rsidRDefault="00A30FA8">
      <w:pPr>
        <w:widowControl/>
        <w:jc w:val="left"/>
      </w:pPr>
      <w:r>
        <w:br w:type="page"/>
      </w:r>
    </w:p>
    <w:p w14:paraId="7F75DDD2" w14:textId="733B3E15" w:rsidR="00E94E4B" w:rsidRDefault="00F77DC7">
      <w:r>
        <w:rPr>
          <w:noProof/>
        </w:rPr>
        <w:lastRenderedPageBreak/>
        <w:drawing>
          <wp:inline distT="0" distB="0" distL="0" distR="0" wp14:anchorId="42C98EFC" wp14:editId="2B9871CB">
            <wp:extent cx="5759450" cy="4072836"/>
            <wp:effectExtent l="0" t="0" r="0" b="4445"/>
            <wp:docPr id="111" name="図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図 1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9450" cy="4072836"/>
                    </a:xfrm>
                    <a:prstGeom prst="rect">
                      <a:avLst/>
                    </a:prstGeom>
                  </pic:spPr>
                </pic:pic>
              </a:graphicData>
            </a:graphic>
          </wp:inline>
        </w:drawing>
      </w:r>
    </w:p>
    <w:p w14:paraId="792653A1" w14:textId="01482F76" w:rsidR="00FD0C4D" w:rsidRPr="00FD0C4D" w:rsidRDefault="005D6F6F">
      <w:pPr>
        <w:rPr>
          <w:rFonts w:ascii="Times New Roman" w:hAnsi="Times New Roman" w:cs="Times New Roman"/>
          <w:b/>
          <w:bCs/>
          <w:sz w:val="24"/>
          <w:szCs w:val="24"/>
        </w:rPr>
      </w:pPr>
      <w:r w:rsidRPr="00FD0C4D">
        <w:rPr>
          <w:rFonts w:ascii="Times New Roman" w:eastAsia="ＭＳ ゴシック" w:hAnsi="Times New Roman" w:cs="Times New Roman"/>
          <w:b/>
          <w:bCs/>
          <w:sz w:val="22"/>
        </w:rPr>
        <w:t>Supplementary Figure S</w:t>
      </w:r>
      <w:r w:rsidR="00145C08">
        <w:rPr>
          <w:rFonts w:ascii="Times New Roman" w:eastAsia="ＭＳ ゴシック" w:hAnsi="Times New Roman" w:cs="Times New Roman"/>
          <w:b/>
          <w:bCs/>
          <w:sz w:val="22"/>
        </w:rPr>
        <w:t>4</w:t>
      </w:r>
      <w:r w:rsidRPr="00FD0C4D">
        <w:rPr>
          <w:rFonts w:ascii="Times New Roman" w:eastAsia="ＭＳ ゴシック" w:hAnsi="Times New Roman" w:cs="Times New Roman"/>
          <w:b/>
          <w:bCs/>
          <w:sz w:val="22"/>
        </w:rPr>
        <w:t xml:space="preserve"> </w:t>
      </w:r>
      <w:r w:rsidRPr="00FD0C4D">
        <w:rPr>
          <w:rStyle w:val="a9"/>
          <w:rFonts w:ascii="Times New Roman" w:hAnsi="Times New Roman" w:cs="Times New Roman"/>
          <w:b w:val="0"/>
          <w:bCs w:val="0"/>
          <w:sz w:val="22"/>
        </w:rPr>
        <w:t>|</w:t>
      </w:r>
      <w:r w:rsidRPr="00FD0C4D">
        <w:rPr>
          <w:rFonts w:ascii="Times New Roman" w:eastAsia="ＭＳ ゴシック" w:hAnsi="Times New Roman" w:cs="Times New Roman"/>
          <w:b/>
          <w:bCs/>
          <w:sz w:val="22"/>
        </w:rPr>
        <w:t xml:space="preserve"> Recurrent </w:t>
      </w:r>
      <w:r w:rsidR="00D349BD" w:rsidRPr="00FD0C4D">
        <w:rPr>
          <w:rFonts w:ascii="Times New Roman" w:hAnsi="Times New Roman" w:cs="Times New Roman"/>
          <w:b/>
          <w:bCs/>
          <w:sz w:val="24"/>
          <w:szCs w:val="24"/>
        </w:rPr>
        <w:t>substitution</w:t>
      </w:r>
      <w:r w:rsidR="00D25DD2" w:rsidRPr="00FD0C4D">
        <w:rPr>
          <w:rFonts w:ascii="Times New Roman" w:hAnsi="Times New Roman" w:cs="Times New Roman"/>
          <w:b/>
          <w:bCs/>
          <w:sz w:val="24"/>
          <w:szCs w:val="24"/>
        </w:rPr>
        <w:t>s</w:t>
      </w:r>
      <w:r w:rsidR="00D349BD" w:rsidRPr="00FD0C4D">
        <w:rPr>
          <w:rFonts w:ascii="Times New Roman" w:hAnsi="Times New Roman" w:cs="Times New Roman"/>
          <w:b/>
          <w:bCs/>
          <w:sz w:val="24"/>
          <w:szCs w:val="24"/>
        </w:rPr>
        <w:t xml:space="preserve"> </w:t>
      </w:r>
      <w:r w:rsidR="00FD0C4D" w:rsidRPr="00FD0C4D">
        <w:rPr>
          <w:rFonts w:ascii="Times New Roman" w:hAnsi="Times New Roman" w:cs="Times New Roman"/>
          <w:b/>
          <w:bCs/>
          <w:sz w:val="24"/>
          <w:szCs w:val="24"/>
        </w:rPr>
        <w:t xml:space="preserve">at gain-of-function-associated </w:t>
      </w:r>
      <w:r w:rsidR="00D25DD2" w:rsidRPr="00FD0C4D">
        <w:rPr>
          <w:rFonts w:ascii="Times New Roman" w:hAnsi="Times New Roman" w:cs="Times New Roman"/>
          <w:b/>
          <w:bCs/>
          <w:sz w:val="24"/>
          <w:szCs w:val="24"/>
        </w:rPr>
        <w:t xml:space="preserve">positions </w:t>
      </w:r>
      <w:r w:rsidR="00FD0C4D" w:rsidRPr="00FD0C4D">
        <w:rPr>
          <w:rFonts w:ascii="Times New Roman" w:hAnsi="Times New Roman" w:cs="Times New Roman"/>
          <w:b/>
          <w:bCs/>
          <w:sz w:val="24"/>
          <w:szCs w:val="24"/>
        </w:rPr>
        <w:t>in avian PIEZO1</w:t>
      </w:r>
    </w:p>
    <w:p w14:paraId="0FC4E559" w14:textId="2ABD7751" w:rsidR="00A30FA8" w:rsidRPr="00FD0C4D" w:rsidRDefault="00FD0C4D" w:rsidP="00FD0C4D">
      <w:pPr>
        <w:rPr>
          <w:rFonts w:ascii="Times New Roman" w:hAnsi="Times New Roman" w:cs="Times New Roman"/>
          <w:sz w:val="22"/>
        </w:rPr>
      </w:pPr>
      <w:r w:rsidRPr="00FD0C4D">
        <w:rPr>
          <w:rFonts w:ascii="Times New Roman" w:hAnsi="Times New Roman" w:cs="Times New Roman"/>
          <w:sz w:val="22"/>
        </w:rPr>
        <w:t xml:space="preserve">Amino acid substitutions in avian PIEZO1 at positions corresponding to SNP-associated gain-of-function (GOF) mutations in human PIEZO1 (G718, S1117, T1589, R2245, R2279, and E2407). Sequence alignments were performed across </w:t>
      </w:r>
      <w:r w:rsidR="00145C08">
        <w:rPr>
          <w:rFonts w:ascii="Times New Roman" w:hAnsi="Times New Roman" w:cs="Times New Roman"/>
          <w:sz w:val="22"/>
        </w:rPr>
        <w:t>99</w:t>
      </w:r>
      <w:r w:rsidRPr="00FD0C4D">
        <w:rPr>
          <w:rFonts w:ascii="Times New Roman" w:hAnsi="Times New Roman" w:cs="Times New Roman"/>
          <w:sz w:val="22"/>
        </w:rPr>
        <w:t xml:space="preserve"> avian PIEZO1 orthologs (Supplementary Table S2), and the frequency of each amino acid at the indicated positions is shown. Substitutions identical to reported human SNP variants are underlined.</w:t>
      </w:r>
    </w:p>
    <w:sectPr w:rsidR="00A30FA8" w:rsidRPr="00FD0C4D" w:rsidSect="007E0B1E">
      <w:pgSz w:w="11906" w:h="16838"/>
      <w:pgMar w:top="1701"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A2700" w14:textId="77777777" w:rsidR="00510886" w:rsidRDefault="00510886" w:rsidP="00710FDA">
      <w:r>
        <w:separator/>
      </w:r>
    </w:p>
  </w:endnote>
  <w:endnote w:type="continuationSeparator" w:id="0">
    <w:p w14:paraId="73A078B7" w14:textId="77777777" w:rsidR="00510886" w:rsidRDefault="00510886" w:rsidP="00710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1EC41" w14:textId="77777777" w:rsidR="00510886" w:rsidRDefault="00510886" w:rsidP="00710FDA">
      <w:r>
        <w:separator/>
      </w:r>
    </w:p>
  </w:footnote>
  <w:footnote w:type="continuationSeparator" w:id="0">
    <w:p w14:paraId="166B1459" w14:textId="77777777" w:rsidR="00510886" w:rsidRDefault="00510886" w:rsidP="00710F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B1E"/>
    <w:rsid w:val="00020DC4"/>
    <w:rsid w:val="000239C9"/>
    <w:rsid w:val="0003439A"/>
    <w:rsid w:val="00034698"/>
    <w:rsid w:val="000604F6"/>
    <w:rsid w:val="000C5BD4"/>
    <w:rsid w:val="00135F05"/>
    <w:rsid w:val="00145C08"/>
    <w:rsid w:val="00176672"/>
    <w:rsid w:val="00180B9A"/>
    <w:rsid w:val="00196AB7"/>
    <w:rsid w:val="001C55AC"/>
    <w:rsid w:val="001F512F"/>
    <w:rsid w:val="002440DA"/>
    <w:rsid w:val="00260C50"/>
    <w:rsid w:val="00260C57"/>
    <w:rsid w:val="00317172"/>
    <w:rsid w:val="003836CE"/>
    <w:rsid w:val="003A4834"/>
    <w:rsid w:val="003E33D0"/>
    <w:rsid w:val="004B4188"/>
    <w:rsid w:val="004C5668"/>
    <w:rsid w:val="004E20D9"/>
    <w:rsid w:val="004F2737"/>
    <w:rsid w:val="00510886"/>
    <w:rsid w:val="00540B9F"/>
    <w:rsid w:val="00576274"/>
    <w:rsid w:val="005942F0"/>
    <w:rsid w:val="005A5E10"/>
    <w:rsid w:val="005D6F6F"/>
    <w:rsid w:val="00640FFE"/>
    <w:rsid w:val="006D77B1"/>
    <w:rsid w:val="00710FDA"/>
    <w:rsid w:val="007B5B85"/>
    <w:rsid w:val="007E0B1E"/>
    <w:rsid w:val="00896884"/>
    <w:rsid w:val="00954D65"/>
    <w:rsid w:val="009D3CAF"/>
    <w:rsid w:val="009E6773"/>
    <w:rsid w:val="00A30FA8"/>
    <w:rsid w:val="00A32A09"/>
    <w:rsid w:val="00A359A8"/>
    <w:rsid w:val="00A857CB"/>
    <w:rsid w:val="00AB2BD2"/>
    <w:rsid w:val="00AB516D"/>
    <w:rsid w:val="00AE3816"/>
    <w:rsid w:val="00B603B3"/>
    <w:rsid w:val="00BB0C12"/>
    <w:rsid w:val="00BD3B73"/>
    <w:rsid w:val="00BF4248"/>
    <w:rsid w:val="00C33DA9"/>
    <w:rsid w:val="00C54F21"/>
    <w:rsid w:val="00C67B85"/>
    <w:rsid w:val="00C746A4"/>
    <w:rsid w:val="00C76E63"/>
    <w:rsid w:val="00D12B73"/>
    <w:rsid w:val="00D20265"/>
    <w:rsid w:val="00D21D7D"/>
    <w:rsid w:val="00D25DD2"/>
    <w:rsid w:val="00D349BD"/>
    <w:rsid w:val="00D377CB"/>
    <w:rsid w:val="00D40F6E"/>
    <w:rsid w:val="00D80B06"/>
    <w:rsid w:val="00DB582E"/>
    <w:rsid w:val="00DD236A"/>
    <w:rsid w:val="00E87B22"/>
    <w:rsid w:val="00E94E4B"/>
    <w:rsid w:val="00F41962"/>
    <w:rsid w:val="00F5693C"/>
    <w:rsid w:val="00F77DC7"/>
    <w:rsid w:val="00F95387"/>
    <w:rsid w:val="00FD0C4D"/>
    <w:rsid w:val="00FE5C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742F525"/>
  <w15:chartTrackingRefBased/>
  <w15:docId w15:val="{4B03322C-3E67-4D71-BB1E-4F08FA88D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9E6773"/>
    <w:rPr>
      <w:rFonts w:asciiTheme="minorEastAsia" w:hAnsi="Courier New" w:cs="Courier New"/>
    </w:rPr>
  </w:style>
  <w:style w:type="character" w:customStyle="1" w:styleId="a4">
    <w:name w:val="書式なし (文字)"/>
    <w:basedOn w:val="a0"/>
    <w:link w:val="a3"/>
    <w:uiPriority w:val="99"/>
    <w:rsid w:val="009E6773"/>
    <w:rPr>
      <w:rFonts w:asciiTheme="minorEastAsia" w:hAnsi="Courier New" w:cs="Courier New"/>
    </w:rPr>
  </w:style>
  <w:style w:type="paragraph" w:styleId="a5">
    <w:name w:val="header"/>
    <w:basedOn w:val="a"/>
    <w:link w:val="a6"/>
    <w:uiPriority w:val="99"/>
    <w:unhideWhenUsed/>
    <w:rsid w:val="00710FDA"/>
    <w:pPr>
      <w:tabs>
        <w:tab w:val="center" w:pos="4252"/>
        <w:tab w:val="right" w:pos="8504"/>
      </w:tabs>
      <w:snapToGrid w:val="0"/>
    </w:pPr>
  </w:style>
  <w:style w:type="character" w:customStyle="1" w:styleId="a6">
    <w:name w:val="ヘッダー (文字)"/>
    <w:basedOn w:val="a0"/>
    <w:link w:val="a5"/>
    <w:uiPriority w:val="99"/>
    <w:rsid w:val="00710FDA"/>
  </w:style>
  <w:style w:type="paragraph" w:styleId="a7">
    <w:name w:val="footer"/>
    <w:basedOn w:val="a"/>
    <w:link w:val="a8"/>
    <w:uiPriority w:val="99"/>
    <w:unhideWhenUsed/>
    <w:rsid w:val="00710FDA"/>
    <w:pPr>
      <w:tabs>
        <w:tab w:val="center" w:pos="4252"/>
        <w:tab w:val="right" w:pos="8504"/>
      </w:tabs>
      <w:snapToGrid w:val="0"/>
    </w:pPr>
  </w:style>
  <w:style w:type="character" w:customStyle="1" w:styleId="a8">
    <w:name w:val="フッター (文字)"/>
    <w:basedOn w:val="a0"/>
    <w:link w:val="a7"/>
    <w:uiPriority w:val="99"/>
    <w:rsid w:val="00710FDA"/>
  </w:style>
  <w:style w:type="character" w:styleId="a9">
    <w:name w:val="Strong"/>
    <w:basedOn w:val="a0"/>
    <w:uiPriority w:val="22"/>
    <w:qFormat/>
    <w:rsid w:val="00176672"/>
    <w:rPr>
      <w:b/>
      <w:bCs/>
    </w:rPr>
  </w:style>
  <w:style w:type="paragraph" w:styleId="Web">
    <w:name w:val="Normal (Web)"/>
    <w:basedOn w:val="a"/>
    <w:uiPriority w:val="99"/>
    <w:semiHidden/>
    <w:unhideWhenUsed/>
    <w:rsid w:val="005D6F6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78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image" Target="media/image10.tif"/><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10</Pages>
  <Words>526</Words>
  <Characters>3001</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村木克彦</dc:creator>
  <cp:keywords/>
  <dc:description/>
  <cp:lastModifiedBy>村木克彦</cp:lastModifiedBy>
  <cp:revision>7</cp:revision>
  <cp:lastPrinted>2026-01-05T22:48:00Z</cp:lastPrinted>
  <dcterms:created xsi:type="dcterms:W3CDTF">2026-01-23T07:50:00Z</dcterms:created>
  <dcterms:modified xsi:type="dcterms:W3CDTF">2026-01-24T01:44:00Z</dcterms:modified>
</cp:coreProperties>
</file>