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37842A" w14:textId="77777777" w:rsidR="00F57EFE" w:rsidRDefault="00F57EFE" w:rsidP="00F57EFE">
      <w:pPr>
        <w:widowControl/>
        <w:jc w:val="left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</w:rPr>
        <w:t xml:space="preserve">Supplementary </w:t>
      </w:r>
      <w:r>
        <w:rPr>
          <w:rFonts w:asciiTheme="majorHAnsi" w:hAnsiTheme="majorHAnsi" w:cstheme="majorHAnsi" w:hint="eastAsia"/>
          <w:b/>
        </w:rPr>
        <w:t>References:</w:t>
      </w:r>
    </w:p>
    <w:p w14:paraId="1AD60013" w14:textId="77777777" w:rsidR="00F57EFE" w:rsidRDefault="00F57EFE" w:rsidP="00F57EFE">
      <w:pPr>
        <w:pStyle w:val="ListParagraph"/>
        <w:widowControl/>
        <w:numPr>
          <w:ilvl w:val="0"/>
          <w:numId w:val="1"/>
        </w:numPr>
        <w:spacing w:before="100" w:beforeAutospacing="1" w:after="100" w:afterAutospacing="1"/>
        <w:ind w:leftChars="0"/>
        <w:jc w:val="left"/>
        <w:rPr>
          <w:rFonts w:ascii="Arial" w:eastAsia="MS PGothic" w:hAnsi="Arial" w:cs="Arial"/>
          <w:kern w:val="0"/>
          <w:szCs w:val="21"/>
        </w:rPr>
      </w:pPr>
      <w:r>
        <w:rPr>
          <w:rFonts w:ascii="Arial" w:eastAsia="MS PGothic" w:hAnsi="Arial" w:cs="Arial"/>
          <w:kern w:val="0"/>
          <w:szCs w:val="21"/>
        </w:rPr>
        <w:t xml:space="preserve">Tamura, K. </w:t>
      </w:r>
      <w:r>
        <w:rPr>
          <w:rFonts w:ascii="Arial" w:eastAsia="MS PGothic" w:hAnsi="Arial" w:cs="Arial"/>
          <w:i/>
          <w:iCs/>
          <w:kern w:val="0"/>
          <w:szCs w:val="21"/>
        </w:rPr>
        <w:t>et al.</w:t>
      </w:r>
      <w:r>
        <w:rPr>
          <w:rFonts w:ascii="Arial" w:eastAsia="MS PGothic" w:hAnsi="Arial" w:cs="Arial"/>
          <w:kern w:val="0"/>
          <w:szCs w:val="21"/>
        </w:rPr>
        <w:t xml:space="preserve"> Estimating divergence times in large molecular phylogenies. </w:t>
      </w:r>
      <w:r>
        <w:rPr>
          <w:rFonts w:ascii="Arial" w:eastAsia="MS PGothic" w:hAnsi="Arial" w:cs="Arial"/>
          <w:i/>
          <w:iCs/>
          <w:kern w:val="0"/>
          <w:szCs w:val="21"/>
        </w:rPr>
        <w:t>Proc. Natl. Acad. Sci. USA</w:t>
      </w:r>
      <w:r>
        <w:rPr>
          <w:rFonts w:ascii="Arial" w:eastAsia="MS PGothic" w:hAnsi="Arial" w:cs="Arial"/>
          <w:kern w:val="0"/>
          <w:szCs w:val="21"/>
        </w:rPr>
        <w:t xml:space="preserve"> </w:t>
      </w:r>
      <w:r>
        <w:rPr>
          <w:rFonts w:ascii="Arial" w:eastAsia="MS PGothic" w:hAnsi="Arial" w:cs="Arial"/>
          <w:b/>
          <w:bCs/>
          <w:kern w:val="0"/>
          <w:szCs w:val="21"/>
        </w:rPr>
        <w:t>109,</w:t>
      </w:r>
      <w:r>
        <w:rPr>
          <w:rFonts w:ascii="Arial" w:eastAsia="MS PGothic" w:hAnsi="Arial" w:cs="Arial"/>
          <w:kern w:val="0"/>
          <w:szCs w:val="21"/>
        </w:rPr>
        <w:t xml:space="preserve"> 19333–19338 (2012).</w:t>
      </w:r>
    </w:p>
    <w:p w14:paraId="1ECD90F3" w14:textId="77777777" w:rsidR="00F57EFE" w:rsidRDefault="00F57EFE" w:rsidP="00F57EFE">
      <w:pPr>
        <w:pStyle w:val="ListParagraph"/>
        <w:widowControl/>
        <w:numPr>
          <w:ilvl w:val="0"/>
          <w:numId w:val="1"/>
        </w:numPr>
        <w:spacing w:before="100" w:beforeAutospacing="1" w:after="100" w:afterAutospacing="1"/>
        <w:ind w:leftChars="0"/>
        <w:jc w:val="left"/>
        <w:rPr>
          <w:rFonts w:ascii="Arial" w:eastAsia="MS PGothic" w:hAnsi="Arial" w:cs="Arial"/>
          <w:kern w:val="0"/>
          <w:szCs w:val="21"/>
        </w:rPr>
      </w:pPr>
      <w:r>
        <w:rPr>
          <w:rFonts w:ascii="Arial" w:eastAsia="MS PGothic" w:hAnsi="Arial" w:cs="Arial"/>
          <w:kern w:val="0"/>
          <w:szCs w:val="21"/>
        </w:rPr>
        <w:t xml:space="preserve">Vogel, A. </w:t>
      </w:r>
      <w:r>
        <w:rPr>
          <w:rFonts w:ascii="Arial" w:eastAsia="MS PGothic" w:hAnsi="Arial" w:cs="Arial"/>
          <w:i/>
          <w:iCs/>
          <w:kern w:val="0"/>
          <w:szCs w:val="21"/>
        </w:rPr>
        <w:t>et al.</w:t>
      </w:r>
      <w:r>
        <w:rPr>
          <w:rFonts w:ascii="Arial" w:eastAsia="MS PGothic" w:hAnsi="Arial" w:cs="Arial"/>
          <w:kern w:val="0"/>
          <w:szCs w:val="21"/>
        </w:rPr>
        <w:t xml:space="preserve"> Footprints of parasitism in the genome of the parasitic flowering plant </w:t>
      </w:r>
      <w:r>
        <w:rPr>
          <w:rFonts w:ascii="Arial" w:eastAsia="MS PGothic" w:hAnsi="Arial" w:cs="Arial"/>
          <w:i/>
          <w:iCs/>
          <w:kern w:val="0"/>
          <w:szCs w:val="21"/>
        </w:rPr>
        <w:t>Cuscuta campestris</w:t>
      </w:r>
      <w:r>
        <w:rPr>
          <w:rFonts w:ascii="Arial" w:eastAsia="MS PGothic" w:hAnsi="Arial" w:cs="Arial"/>
          <w:kern w:val="0"/>
          <w:szCs w:val="21"/>
        </w:rPr>
        <w:t xml:space="preserve">. </w:t>
      </w:r>
      <w:r>
        <w:rPr>
          <w:rFonts w:ascii="Arial" w:eastAsia="MS PGothic" w:hAnsi="Arial" w:cs="Arial"/>
          <w:i/>
          <w:iCs/>
          <w:kern w:val="0"/>
          <w:szCs w:val="21"/>
        </w:rPr>
        <w:t>Nat. Commun.</w:t>
      </w:r>
      <w:r>
        <w:rPr>
          <w:rFonts w:ascii="Arial" w:eastAsia="MS PGothic" w:hAnsi="Arial" w:cs="Arial"/>
          <w:kern w:val="0"/>
          <w:szCs w:val="21"/>
        </w:rPr>
        <w:t xml:space="preserve"> </w:t>
      </w:r>
      <w:r>
        <w:rPr>
          <w:rFonts w:ascii="Arial" w:eastAsia="MS PGothic" w:hAnsi="Arial" w:cs="Arial"/>
          <w:b/>
          <w:bCs/>
          <w:kern w:val="0"/>
          <w:szCs w:val="21"/>
        </w:rPr>
        <w:t>9,</w:t>
      </w:r>
      <w:r>
        <w:rPr>
          <w:rFonts w:ascii="Arial" w:eastAsia="MS PGothic" w:hAnsi="Arial" w:cs="Arial"/>
          <w:kern w:val="0"/>
          <w:szCs w:val="21"/>
        </w:rPr>
        <w:t xml:space="preserve"> 2515 (2018).</w:t>
      </w:r>
    </w:p>
    <w:p w14:paraId="4F3E8F05" w14:textId="77777777" w:rsidR="00F57EFE" w:rsidRDefault="00F57EFE" w:rsidP="00F57EFE">
      <w:pPr>
        <w:pStyle w:val="ListParagraph"/>
        <w:widowControl/>
        <w:numPr>
          <w:ilvl w:val="0"/>
          <w:numId w:val="1"/>
        </w:numPr>
        <w:spacing w:before="100" w:beforeAutospacing="1" w:after="100" w:afterAutospacing="1"/>
        <w:ind w:leftChars="0"/>
        <w:jc w:val="left"/>
        <w:rPr>
          <w:rFonts w:ascii="Arial" w:eastAsia="MS PGothic" w:hAnsi="Arial" w:cs="Arial"/>
          <w:kern w:val="0"/>
          <w:szCs w:val="21"/>
        </w:rPr>
      </w:pPr>
      <w:r>
        <w:rPr>
          <w:rFonts w:ascii="Arial" w:hAnsi="Arial" w:cs="Arial"/>
          <w:szCs w:val="21"/>
        </w:rPr>
        <w:t xml:space="preserve">Donnapee, S., Li, J., Yang, X., Ge, A., Donkor, P. O., Gao, X., Chang, Y. </w:t>
      </w:r>
      <w:r>
        <w:rPr>
          <w:rFonts w:ascii="Arial" w:hAnsi="Arial" w:cs="Arial"/>
          <w:i/>
          <w:iCs/>
          <w:szCs w:val="21"/>
        </w:rPr>
        <w:t xml:space="preserve">Cuscuta chinensis </w:t>
      </w:r>
      <w:r>
        <w:rPr>
          <w:rFonts w:ascii="Arial" w:hAnsi="Arial" w:cs="Arial"/>
          <w:szCs w:val="21"/>
        </w:rPr>
        <w:t xml:space="preserve">Lam.: A systematic review on ethnopharmacology, phytochemistry and pharmacology of an important traditional herbal medicine. </w:t>
      </w:r>
      <w:r>
        <w:rPr>
          <w:rFonts w:ascii="Arial" w:hAnsi="Arial" w:cs="Arial"/>
          <w:i/>
          <w:iCs/>
          <w:szCs w:val="21"/>
        </w:rPr>
        <w:t>J. Ethnopharmacol.</w:t>
      </w:r>
      <w:r>
        <w:rPr>
          <w:rFonts w:ascii="Arial" w:hAnsi="Arial" w:cs="Arial"/>
          <w:szCs w:val="21"/>
        </w:rPr>
        <w:t xml:space="preserve"> </w:t>
      </w:r>
      <w:r>
        <w:rPr>
          <w:rFonts w:ascii="Arial" w:hAnsi="Arial" w:cs="Arial"/>
          <w:b/>
          <w:szCs w:val="21"/>
        </w:rPr>
        <w:t>157,</w:t>
      </w:r>
      <w:r>
        <w:rPr>
          <w:rFonts w:ascii="Arial" w:hAnsi="Arial" w:cs="Arial"/>
          <w:szCs w:val="21"/>
        </w:rPr>
        <w:t xml:space="preserve"> 292-308 (2014).</w:t>
      </w:r>
    </w:p>
    <w:p w14:paraId="2E019D5E" w14:textId="77777777" w:rsidR="00F57EFE" w:rsidRDefault="00F57EFE" w:rsidP="00F57EFE">
      <w:pPr>
        <w:pStyle w:val="ListParagraph"/>
        <w:widowControl/>
        <w:numPr>
          <w:ilvl w:val="0"/>
          <w:numId w:val="1"/>
        </w:numPr>
        <w:spacing w:before="100" w:beforeAutospacing="1" w:after="100" w:afterAutospacing="1"/>
        <w:ind w:leftChars="0"/>
        <w:jc w:val="left"/>
        <w:rPr>
          <w:rFonts w:ascii="Arial" w:eastAsia="MS PGothic" w:hAnsi="Arial" w:cs="Arial"/>
          <w:kern w:val="0"/>
          <w:szCs w:val="21"/>
        </w:rPr>
      </w:pPr>
      <w:r>
        <w:rPr>
          <w:rFonts w:ascii="Arial" w:eastAsia="MS PGothic" w:hAnsi="Arial" w:cs="Arial"/>
          <w:kern w:val="0"/>
          <w:szCs w:val="21"/>
        </w:rPr>
        <w:t xml:space="preserve">Umezawa, T. Phylogenetic distribution of lignan producing plants. </w:t>
      </w:r>
      <w:r>
        <w:rPr>
          <w:rFonts w:ascii="Arial" w:eastAsia="MS PGothic" w:hAnsi="Arial" w:cs="Arial"/>
          <w:i/>
          <w:iCs/>
          <w:kern w:val="0"/>
          <w:szCs w:val="21"/>
        </w:rPr>
        <w:t>Wood Res.</w:t>
      </w:r>
      <w:r>
        <w:rPr>
          <w:rFonts w:ascii="Arial" w:eastAsia="MS PGothic" w:hAnsi="Arial" w:cs="Arial"/>
          <w:kern w:val="0"/>
          <w:szCs w:val="21"/>
        </w:rPr>
        <w:t xml:space="preserve"> </w:t>
      </w:r>
      <w:r>
        <w:rPr>
          <w:rFonts w:ascii="Arial" w:eastAsia="MS PGothic" w:hAnsi="Arial" w:cs="Arial"/>
          <w:b/>
          <w:bCs/>
          <w:kern w:val="0"/>
          <w:szCs w:val="21"/>
        </w:rPr>
        <w:t>90,</w:t>
      </w:r>
      <w:r>
        <w:rPr>
          <w:rFonts w:ascii="Arial" w:eastAsia="MS PGothic" w:hAnsi="Arial" w:cs="Arial"/>
          <w:kern w:val="0"/>
          <w:szCs w:val="21"/>
        </w:rPr>
        <w:t xml:space="preserve"> 27–110 (2003).</w:t>
      </w:r>
    </w:p>
    <w:p w14:paraId="0EFEDDDE" w14:textId="77777777" w:rsidR="00F57EFE" w:rsidRDefault="00F57EFE" w:rsidP="00F57EFE">
      <w:pPr>
        <w:pStyle w:val="ListParagraph"/>
        <w:widowControl/>
        <w:numPr>
          <w:ilvl w:val="0"/>
          <w:numId w:val="1"/>
        </w:numPr>
        <w:spacing w:before="100" w:beforeAutospacing="1" w:after="100" w:afterAutospacing="1"/>
        <w:ind w:leftChars="0"/>
        <w:jc w:val="left"/>
        <w:rPr>
          <w:rFonts w:ascii="Arial" w:eastAsia="MS PGothic" w:hAnsi="Arial" w:cs="Arial"/>
          <w:kern w:val="0"/>
          <w:szCs w:val="21"/>
        </w:rPr>
      </w:pPr>
      <w:r>
        <w:rPr>
          <w:rFonts w:ascii="Arial" w:eastAsia="MS PGothic" w:hAnsi="Arial" w:cs="Arial"/>
          <w:kern w:val="0"/>
          <w:szCs w:val="21"/>
        </w:rPr>
        <w:t xml:space="preserve">Rho, T. &amp; Yoon, K. D. Application of off-line two-dimensional high-performance countercurrent chromatography on the chloroform-soluble extract of </w:t>
      </w:r>
      <w:r>
        <w:rPr>
          <w:rFonts w:ascii="Arial" w:eastAsia="MS PGothic" w:hAnsi="Arial" w:cs="Arial"/>
          <w:i/>
          <w:iCs/>
          <w:kern w:val="0"/>
          <w:szCs w:val="21"/>
        </w:rPr>
        <w:t>Cuscuta auralis</w:t>
      </w:r>
      <w:r>
        <w:rPr>
          <w:rFonts w:ascii="Arial" w:eastAsia="MS PGothic" w:hAnsi="Arial" w:cs="Arial"/>
          <w:kern w:val="0"/>
          <w:szCs w:val="21"/>
        </w:rPr>
        <w:t xml:space="preserve"> seeds. </w:t>
      </w:r>
      <w:r>
        <w:rPr>
          <w:rFonts w:ascii="Arial" w:eastAsia="MS PGothic" w:hAnsi="Arial" w:cs="Arial"/>
          <w:i/>
          <w:iCs/>
          <w:kern w:val="0"/>
          <w:szCs w:val="21"/>
        </w:rPr>
        <w:t>J. Sep. Sci.</w:t>
      </w:r>
      <w:r>
        <w:rPr>
          <w:rFonts w:ascii="Arial" w:eastAsia="MS PGothic" w:hAnsi="Arial" w:cs="Arial"/>
          <w:kern w:val="0"/>
          <w:szCs w:val="21"/>
        </w:rPr>
        <w:t xml:space="preserve"> </w:t>
      </w:r>
      <w:r>
        <w:rPr>
          <w:rFonts w:ascii="Arial" w:eastAsia="MS PGothic" w:hAnsi="Arial" w:cs="Arial"/>
          <w:b/>
          <w:bCs/>
          <w:kern w:val="0"/>
          <w:szCs w:val="21"/>
        </w:rPr>
        <w:t>41,</w:t>
      </w:r>
      <w:r>
        <w:rPr>
          <w:rFonts w:ascii="Arial" w:eastAsia="MS PGothic" w:hAnsi="Arial" w:cs="Arial"/>
          <w:kern w:val="0"/>
          <w:szCs w:val="21"/>
        </w:rPr>
        <w:t xml:space="preserve"> 2169–2177 (2018).</w:t>
      </w:r>
    </w:p>
    <w:p w14:paraId="62924265" w14:textId="77777777" w:rsidR="00F57EFE" w:rsidRDefault="00F57EFE" w:rsidP="00F57EFE">
      <w:pPr>
        <w:pStyle w:val="ListParagraph"/>
        <w:widowControl/>
        <w:numPr>
          <w:ilvl w:val="0"/>
          <w:numId w:val="1"/>
        </w:numPr>
        <w:spacing w:before="100" w:beforeAutospacing="1" w:after="100" w:afterAutospacing="1"/>
        <w:ind w:leftChars="0"/>
        <w:jc w:val="left"/>
        <w:rPr>
          <w:rFonts w:ascii="Arial" w:eastAsia="MS PGothic" w:hAnsi="Arial" w:cs="Arial"/>
          <w:kern w:val="0"/>
          <w:szCs w:val="21"/>
        </w:rPr>
      </w:pPr>
      <w:r w:rsidRPr="00E90003">
        <w:rPr>
          <w:rFonts w:ascii="Arial" w:eastAsia="MS PGothic" w:hAnsi="Arial" w:cs="Arial"/>
          <w:kern w:val="0"/>
          <w:szCs w:val="21"/>
          <w:lang w:val="da-DK"/>
        </w:rPr>
        <w:t xml:space="preserve">Abu-Lafi, S. </w:t>
      </w:r>
      <w:r w:rsidRPr="00E90003">
        <w:rPr>
          <w:rFonts w:ascii="Arial" w:eastAsia="MS PGothic" w:hAnsi="Arial" w:cs="Arial"/>
          <w:i/>
          <w:iCs/>
          <w:kern w:val="0"/>
          <w:szCs w:val="21"/>
          <w:lang w:val="da-DK"/>
        </w:rPr>
        <w:t>et al.</w:t>
      </w:r>
      <w:r w:rsidRPr="00E90003">
        <w:rPr>
          <w:rFonts w:ascii="Arial" w:eastAsia="MS PGothic" w:hAnsi="Arial" w:cs="Arial"/>
          <w:kern w:val="0"/>
          <w:szCs w:val="21"/>
          <w:lang w:val="da-DK"/>
        </w:rPr>
        <w:t xml:space="preserve"> </w:t>
      </w:r>
      <w:r>
        <w:rPr>
          <w:rFonts w:ascii="Arial" w:eastAsia="MS PGothic" w:hAnsi="Arial" w:cs="Arial"/>
          <w:kern w:val="0"/>
          <w:szCs w:val="21"/>
        </w:rPr>
        <w:t xml:space="preserve">Sesamin from </w:t>
      </w:r>
      <w:r>
        <w:rPr>
          <w:rFonts w:ascii="Arial" w:eastAsia="MS PGothic" w:hAnsi="Arial" w:cs="Arial"/>
          <w:i/>
          <w:iCs/>
          <w:kern w:val="0"/>
          <w:szCs w:val="21"/>
        </w:rPr>
        <w:t>Cuscuta palaestina</w:t>
      </w:r>
      <w:r>
        <w:rPr>
          <w:rFonts w:ascii="Arial" w:eastAsia="MS PGothic" w:hAnsi="Arial" w:cs="Arial"/>
          <w:kern w:val="0"/>
          <w:szCs w:val="21"/>
        </w:rPr>
        <w:t xml:space="preserve"> natural plant extracts: Directions for new prospective applications. </w:t>
      </w:r>
      <w:r>
        <w:rPr>
          <w:rFonts w:ascii="Arial" w:eastAsia="MS PGothic" w:hAnsi="Arial" w:cs="Arial"/>
          <w:i/>
          <w:iCs/>
          <w:kern w:val="0"/>
          <w:szCs w:val="21"/>
        </w:rPr>
        <w:t>PLoS One</w:t>
      </w:r>
      <w:r>
        <w:rPr>
          <w:rFonts w:ascii="Arial" w:eastAsia="MS PGothic" w:hAnsi="Arial" w:cs="Arial"/>
          <w:kern w:val="0"/>
          <w:szCs w:val="21"/>
        </w:rPr>
        <w:t xml:space="preserve"> </w:t>
      </w:r>
      <w:r>
        <w:rPr>
          <w:rFonts w:ascii="Arial" w:eastAsia="MS PGothic" w:hAnsi="Arial" w:cs="Arial"/>
          <w:b/>
          <w:bCs/>
          <w:kern w:val="0"/>
          <w:szCs w:val="21"/>
        </w:rPr>
        <w:t>13,</w:t>
      </w:r>
      <w:r>
        <w:rPr>
          <w:rFonts w:ascii="Arial" w:eastAsia="MS PGothic" w:hAnsi="Arial" w:cs="Arial"/>
          <w:kern w:val="0"/>
          <w:szCs w:val="21"/>
        </w:rPr>
        <w:t xml:space="preserve"> e0195707 (2018).</w:t>
      </w:r>
    </w:p>
    <w:p w14:paraId="200A181A" w14:textId="77777777" w:rsidR="00F57EFE" w:rsidRDefault="00F57EFE" w:rsidP="00F57EFE">
      <w:pPr>
        <w:pStyle w:val="ListParagraph"/>
        <w:widowControl/>
        <w:numPr>
          <w:ilvl w:val="0"/>
          <w:numId w:val="1"/>
        </w:numPr>
        <w:spacing w:before="100" w:beforeAutospacing="1" w:after="100" w:afterAutospacing="1"/>
        <w:ind w:leftChars="0"/>
        <w:jc w:val="left"/>
        <w:rPr>
          <w:rFonts w:ascii="Arial" w:eastAsia="MS PGothic" w:hAnsi="Arial" w:cs="Arial"/>
          <w:kern w:val="0"/>
          <w:szCs w:val="21"/>
        </w:rPr>
      </w:pPr>
      <w:r w:rsidRPr="00E90003">
        <w:rPr>
          <w:rFonts w:ascii="Arial" w:eastAsia="MS PGothic" w:hAnsi="Arial" w:cs="Arial"/>
          <w:kern w:val="0"/>
          <w:szCs w:val="21"/>
          <w:lang w:val="da-DK"/>
        </w:rPr>
        <w:t xml:space="preserve">Grabherr, M.G. </w:t>
      </w:r>
      <w:r w:rsidRPr="00E90003">
        <w:rPr>
          <w:rFonts w:ascii="Arial" w:eastAsia="MS PGothic" w:hAnsi="Arial" w:cs="Arial"/>
          <w:i/>
          <w:kern w:val="0"/>
          <w:szCs w:val="21"/>
          <w:lang w:val="da-DK"/>
        </w:rPr>
        <w:t>et al.</w:t>
      </w:r>
      <w:r w:rsidRPr="00E90003">
        <w:rPr>
          <w:rFonts w:ascii="Arial" w:eastAsia="MS PGothic" w:hAnsi="Arial" w:cs="Arial"/>
          <w:kern w:val="0"/>
          <w:szCs w:val="21"/>
          <w:lang w:val="da-DK"/>
        </w:rPr>
        <w:t xml:space="preserve"> </w:t>
      </w:r>
      <w:r>
        <w:rPr>
          <w:rFonts w:ascii="Arial" w:eastAsia="MS PGothic" w:hAnsi="Arial" w:cs="Arial"/>
          <w:kern w:val="0"/>
          <w:szCs w:val="21"/>
        </w:rPr>
        <w:t xml:space="preserve">Full-length transcriptome assembly from RNA-seq data without a reference genome. </w:t>
      </w:r>
      <w:r>
        <w:rPr>
          <w:rFonts w:ascii="Arial" w:eastAsia="MS PGothic" w:hAnsi="Arial" w:cs="Arial"/>
          <w:i/>
          <w:kern w:val="0"/>
          <w:szCs w:val="21"/>
        </w:rPr>
        <w:t xml:space="preserve">Nat. Biotechnol. </w:t>
      </w:r>
      <w:r>
        <w:rPr>
          <w:rFonts w:ascii="Arial" w:eastAsia="MS PGothic" w:hAnsi="Arial" w:cs="Arial"/>
          <w:b/>
          <w:kern w:val="0"/>
          <w:szCs w:val="21"/>
        </w:rPr>
        <w:t>29</w:t>
      </w:r>
      <w:r>
        <w:rPr>
          <w:rFonts w:ascii="Arial" w:eastAsia="MS PGothic" w:hAnsi="Arial" w:cs="Arial"/>
          <w:kern w:val="0"/>
          <w:szCs w:val="21"/>
        </w:rPr>
        <w:t>, 644-652 (2011).</w:t>
      </w:r>
    </w:p>
    <w:p w14:paraId="3E4B5724" w14:textId="77777777" w:rsidR="00F57EFE" w:rsidRDefault="00F57EFE" w:rsidP="00F57EFE">
      <w:pPr>
        <w:pStyle w:val="ListParagraph"/>
        <w:widowControl/>
        <w:numPr>
          <w:ilvl w:val="0"/>
          <w:numId w:val="1"/>
        </w:numPr>
        <w:spacing w:before="100" w:beforeAutospacing="1" w:after="100" w:afterAutospacing="1"/>
        <w:ind w:leftChars="0"/>
        <w:jc w:val="left"/>
        <w:rPr>
          <w:rFonts w:ascii="Arial" w:eastAsia="MS PGothic" w:hAnsi="Arial" w:cs="Arial"/>
          <w:kern w:val="0"/>
          <w:szCs w:val="21"/>
        </w:rPr>
      </w:pPr>
      <w:r>
        <w:rPr>
          <w:rFonts w:ascii="Arial" w:eastAsia="MS PGothic" w:hAnsi="Arial" w:cs="Arial"/>
          <w:kern w:val="0"/>
          <w:szCs w:val="21"/>
        </w:rPr>
        <w:t xml:space="preserve">Ikeue D. </w:t>
      </w:r>
      <w:r>
        <w:rPr>
          <w:rFonts w:ascii="Arial" w:eastAsia="MS PGothic" w:hAnsi="Arial" w:cs="Arial"/>
          <w:i/>
          <w:kern w:val="0"/>
          <w:szCs w:val="21"/>
        </w:rPr>
        <w:t>et al.</w:t>
      </w:r>
      <w:r>
        <w:rPr>
          <w:rFonts w:ascii="Arial" w:eastAsia="MS PGothic" w:hAnsi="Arial" w:cs="Arial"/>
          <w:kern w:val="0"/>
          <w:szCs w:val="21"/>
        </w:rPr>
        <w:t xml:space="preserve"> A bioinformatics approach to distinguish plant parasite and host transcriptomes in interface tissue by classifying RNA-Seq reads.</w:t>
      </w:r>
      <w:r>
        <w:rPr>
          <w:rFonts w:ascii="Arial" w:eastAsia="MS PGothic" w:hAnsi="Arial" w:cs="Arial"/>
          <w:i/>
          <w:iCs/>
          <w:kern w:val="0"/>
          <w:szCs w:val="21"/>
        </w:rPr>
        <w:t xml:space="preserve"> Plant Methods</w:t>
      </w:r>
      <w:r>
        <w:rPr>
          <w:rFonts w:ascii="Arial" w:eastAsia="MS PGothic" w:hAnsi="Arial" w:cs="Arial"/>
          <w:kern w:val="0"/>
          <w:szCs w:val="21"/>
        </w:rPr>
        <w:t xml:space="preserve"> </w:t>
      </w:r>
      <w:r>
        <w:rPr>
          <w:rFonts w:ascii="Arial" w:eastAsia="MS PGothic" w:hAnsi="Arial" w:cs="Arial"/>
          <w:b/>
          <w:bCs/>
          <w:kern w:val="0"/>
          <w:szCs w:val="21"/>
        </w:rPr>
        <w:t>11</w:t>
      </w:r>
      <w:r>
        <w:rPr>
          <w:rFonts w:ascii="Arial" w:eastAsia="MS PGothic" w:hAnsi="Arial" w:cs="Arial"/>
          <w:kern w:val="0"/>
          <w:szCs w:val="21"/>
        </w:rPr>
        <w:t>, 34 (2015).</w:t>
      </w:r>
    </w:p>
    <w:p w14:paraId="6B5AD4AB" w14:textId="77777777" w:rsidR="00F57EFE" w:rsidRDefault="00F57EFE" w:rsidP="00F57EFE">
      <w:pPr>
        <w:pStyle w:val="ListParagraph"/>
        <w:widowControl/>
        <w:numPr>
          <w:ilvl w:val="0"/>
          <w:numId w:val="1"/>
        </w:numPr>
        <w:spacing w:before="100" w:beforeAutospacing="1" w:after="100" w:afterAutospacing="1"/>
        <w:ind w:leftChars="0"/>
        <w:jc w:val="left"/>
        <w:rPr>
          <w:rFonts w:ascii="Arial" w:eastAsia="MS PGothic" w:hAnsi="Arial" w:cs="Arial"/>
          <w:kern w:val="0"/>
          <w:szCs w:val="21"/>
        </w:rPr>
      </w:pPr>
      <w:r>
        <w:rPr>
          <w:rFonts w:ascii="Arial" w:eastAsia="MS PGothic" w:hAnsi="Arial" w:cs="Arial"/>
          <w:kern w:val="0"/>
          <w:szCs w:val="21"/>
        </w:rPr>
        <w:t xml:space="preserve">García, M. A., Costea, M., Kuzmina, M. &amp; Stefanović, S. Phylogeny, character evolution, and biogeography of </w:t>
      </w:r>
      <w:r>
        <w:rPr>
          <w:rFonts w:ascii="Arial" w:eastAsia="MS PGothic" w:hAnsi="Arial" w:cs="Arial"/>
          <w:i/>
          <w:iCs/>
          <w:kern w:val="0"/>
          <w:szCs w:val="21"/>
        </w:rPr>
        <w:t>Cuscuta</w:t>
      </w:r>
      <w:r>
        <w:rPr>
          <w:rFonts w:ascii="Arial" w:eastAsia="MS PGothic" w:hAnsi="Arial" w:cs="Arial"/>
          <w:kern w:val="0"/>
          <w:szCs w:val="21"/>
        </w:rPr>
        <w:t xml:space="preserve"> (dodders; Convolvulaceae) inferred from coding plastid and nuclear sequences. </w:t>
      </w:r>
      <w:r>
        <w:rPr>
          <w:rFonts w:ascii="Arial" w:eastAsia="MS PGothic" w:hAnsi="Arial" w:cs="Arial"/>
          <w:i/>
          <w:iCs/>
          <w:kern w:val="0"/>
          <w:szCs w:val="21"/>
        </w:rPr>
        <w:t>Am. J. Bot.</w:t>
      </w:r>
      <w:r>
        <w:rPr>
          <w:rFonts w:ascii="Arial" w:eastAsia="MS PGothic" w:hAnsi="Arial" w:cs="Arial"/>
          <w:kern w:val="0"/>
          <w:szCs w:val="21"/>
        </w:rPr>
        <w:t xml:space="preserve"> </w:t>
      </w:r>
      <w:r>
        <w:rPr>
          <w:rFonts w:ascii="Arial" w:eastAsia="MS PGothic" w:hAnsi="Arial" w:cs="Arial"/>
          <w:b/>
          <w:bCs/>
          <w:kern w:val="0"/>
          <w:szCs w:val="21"/>
        </w:rPr>
        <w:t>101,</w:t>
      </w:r>
      <w:r>
        <w:rPr>
          <w:rFonts w:ascii="Arial" w:eastAsia="MS PGothic" w:hAnsi="Arial" w:cs="Arial"/>
          <w:kern w:val="0"/>
          <w:szCs w:val="21"/>
        </w:rPr>
        <w:t xml:space="preserve"> 670–690 (2014).</w:t>
      </w:r>
    </w:p>
    <w:p w14:paraId="169DA719" w14:textId="77777777" w:rsidR="00F57EFE" w:rsidRDefault="00F57EFE" w:rsidP="00F57EFE">
      <w:pPr>
        <w:pStyle w:val="ListParagraph"/>
        <w:widowControl/>
        <w:numPr>
          <w:ilvl w:val="0"/>
          <w:numId w:val="1"/>
        </w:numPr>
        <w:spacing w:before="100" w:beforeAutospacing="1" w:after="100" w:afterAutospacing="1"/>
        <w:ind w:leftChars="0"/>
        <w:jc w:val="left"/>
        <w:rPr>
          <w:rFonts w:ascii="Arial" w:eastAsia="MS PGothic" w:hAnsi="Arial" w:cs="Arial"/>
          <w:kern w:val="0"/>
          <w:szCs w:val="21"/>
        </w:rPr>
      </w:pPr>
      <w:r>
        <w:rPr>
          <w:rFonts w:ascii="Arial" w:eastAsia="MS PGothic" w:hAnsi="Arial" w:cs="Arial"/>
          <w:kern w:val="0"/>
          <w:szCs w:val="21"/>
        </w:rPr>
        <w:t xml:space="preserve">Gouy, M., Guindon, S. &amp; Gascuel, O. SeaView version 4: A multiplatform graphical user interface for sequence alignment and phylogenetic tree building. </w:t>
      </w:r>
      <w:r>
        <w:rPr>
          <w:rFonts w:ascii="Arial" w:eastAsia="MS PGothic" w:hAnsi="Arial" w:cs="Arial"/>
          <w:i/>
          <w:iCs/>
          <w:kern w:val="0"/>
          <w:szCs w:val="21"/>
        </w:rPr>
        <w:t xml:space="preserve">Mol. Biol. Evol. </w:t>
      </w:r>
      <w:r>
        <w:rPr>
          <w:rFonts w:ascii="Arial" w:eastAsia="MS PGothic" w:hAnsi="Arial" w:cs="Arial"/>
          <w:b/>
          <w:bCs/>
          <w:kern w:val="0"/>
          <w:szCs w:val="21"/>
        </w:rPr>
        <w:t>27,</w:t>
      </w:r>
      <w:r>
        <w:rPr>
          <w:rFonts w:ascii="Arial" w:eastAsia="MS PGothic" w:hAnsi="Arial" w:cs="Arial"/>
          <w:kern w:val="0"/>
          <w:szCs w:val="21"/>
        </w:rPr>
        <w:t xml:space="preserve"> 221–224 (2010).</w:t>
      </w:r>
    </w:p>
    <w:p w14:paraId="3920310A" w14:textId="77777777" w:rsidR="00F57EFE" w:rsidRDefault="00F57EFE" w:rsidP="00F57EFE">
      <w:pPr>
        <w:pStyle w:val="ListParagraph"/>
        <w:widowControl/>
        <w:numPr>
          <w:ilvl w:val="0"/>
          <w:numId w:val="1"/>
        </w:numPr>
        <w:spacing w:before="100" w:beforeAutospacing="1" w:after="100" w:afterAutospacing="1"/>
        <w:ind w:leftChars="0"/>
        <w:jc w:val="left"/>
        <w:rPr>
          <w:rFonts w:ascii="Arial" w:eastAsia="MS PGothic" w:hAnsi="Arial" w:cs="Arial"/>
          <w:kern w:val="0"/>
          <w:szCs w:val="21"/>
        </w:rPr>
      </w:pPr>
      <w:r>
        <w:rPr>
          <w:rFonts w:ascii="Arial" w:eastAsia="MS PGothic" w:hAnsi="Arial" w:cs="Arial"/>
          <w:kern w:val="0"/>
          <w:szCs w:val="21"/>
        </w:rPr>
        <w:t>Costea, M., García, M., Baute, K. &amp; Stefanović, S. Entangled evolutionary history of Cuscuta pentagona clade: A story involving hybridization and Darwin in the Galapagos. Taxon 64, 1225–1242 (2015).</w:t>
      </w:r>
    </w:p>
    <w:p w14:paraId="23062700" w14:textId="77777777" w:rsidR="00F57EFE" w:rsidRDefault="00F57EFE" w:rsidP="00F57EFE">
      <w:pPr>
        <w:pStyle w:val="ListParagraph"/>
        <w:widowControl/>
        <w:numPr>
          <w:ilvl w:val="0"/>
          <w:numId w:val="1"/>
        </w:numPr>
        <w:spacing w:before="100" w:beforeAutospacing="1" w:after="100" w:afterAutospacing="1"/>
        <w:ind w:leftChars="0"/>
        <w:jc w:val="left"/>
        <w:rPr>
          <w:rFonts w:ascii="Arial" w:eastAsia="MS PGothic" w:hAnsi="Arial" w:cs="Arial"/>
          <w:kern w:val="0"/>
          <w:szCs w:val="21"/>
        </w:rPr>
      </w:pPr>
      <w:r>
        <w:rPr>
          <w:rFonts w:ascii="Arial" w:eastAsia="MS PGothic" w:hAnsi="Arial" w:cs="Arial"/>
          <w:kern w:val="0"/>
          <w:szCs w:val="21"/>
        </w:rPr>
        <w:t xml:space="preserve">Imai, M. </w:t>
      </w:r>
      <w:r>
        <w:rPr>
          <w:rFonts w:ascii="Arial" w:eastAsia="MS PGothic" w:hAnsi="Arial" w:cs="Arial"/>
          <w:i/>
          <w:iCs/>
          <w:kern w:val="0"/>
          <w:szCs w:val="21"/>
        </w:rPr>
        <w:t>et al.</w:t>
      </w:r>
      <w:r>
        <w:rPr>
          <w:rFonts w:ascii="Arial" w:eastAsia="MS PGothic" w:hAnsi="Arial" w:cs="Arial"/>
          <w:kern w:val="0"/>
          <w:szCs w:val="21"/>
        </w:rPr>
        <w:t xml:space="preserve"> Uncoupling of the cytochrome P-450cam monooxygenase reaction by a single mutation, threonine-252 to alanine or valine: possible role of the hydroxy amino acid in oxygen activation. </w:t>
      </w:r>
      <w:r>
        <w:rPr>
          <w:rFonts w:ascii="Arial" w:eastAsia="MS PGothic" w:hAnsi="Arial" w:cs="Arial"/>
          <w:i/>
          <w:iCs/>
          <w:kern w:val="0"/>
          <w:szCs w:val="21"/>
        </w:rPr>
        <w:t>Proc. Natl. Acad. Sci. USA</w:t>
      </w:r>
      <w:r>
        <w:rPr>
          <w:rFonts w:ascii="Arial" w:eastAsia="MS PGothic" w:hAnsi="Arial" w:cs="Arial"/>
          <w:kern w:val="0"/>
          <w:szCs w:val="21"/>
        </w:rPr>
        <w:t xml:space="preserve"> </w:t>
      </w:r>
      <w:r>
        <w:rPr>
          <w:rFonts w:ascii="Arial" w:eastAsia="MS PGothic" w:hAnsi="Arial" w:cs="Arial"/>
          <w:b/>
          <w:bCs/>
          <w:kern w:val="0"/>
          <w:szCs w:val="21"/>
        </w:rPr>
        <w:t>86,</w:t>
      </w:r>
      <w:r>
        <w:rPr>
          <w:rFonts w:ascii="Arial" w:eastAsia="MS PGothic" w:hAnsi="Arial" w:cs="Arial"/>
          <w:kern w:val="0"/>
          <w:szCs w:val="21"/>
        </w:rPr>
        <w:t xml:space="preserve"> 7823–7827 (1989).</w:t>
      </w:r>
    </w:p>
    <w:p w14:paraId="3E12E0B9" w14:textId="77777777" w:rsidR="00F57EFE" w:rsidRDefault="00F57EFE" w:rsidP="00F57EFE">
      <w:pPr>
        <w:pStyle w:val="ListParagraph"/>
        <w:widowControl/>
        <w:numPr>
          <w:ilvl w:val="0"/>
          <w:numId w:val="1"/>
        </w:numPr>
        <w:spacing w:before="100" w:beforeAutospacing="1" w:after="100" w:afterAutospacing="1"/>
        <w:ind w:leftChars="0"/>
        <w:jc w:val="left"/>
        <w:rPr>
          <w:rFonts w:ascii="Arial" w:eastAsia="MS PGothic" w:hAnsi="Arial" w:cs="Arial"/>
          <w:kern w:val="0"/>
          <w:szCs w:val="21"/>
        </w:rPr>
      </w:pPr>
      <w:r>
        <w:rPr>
          <w:rFonts w:ascii="Arial" w:eastAsia="MS PGothic" w:hAnsi="Arial" w:cs="Arial"/>
          <w:kern w:val="0"/>
          <w:szCs w:val="21"/>
        </w:rPr>
        <w:t xml:space="preserve">Noguchi, A. </w:t>
      </w:r>
      <w:r>
        <w:rPr>
          <w:rFonts w:ascii="Arial" w:eastAsia="MS PGothic" w:hAnsi="Arial" w:cs="Arial"/>
          <w:i/>
          <w:iCs/>
          <w:kern w:val="0"/>
          <w:szCs w:val="21"/>
        </w:rPr>
        <w:t>et al.</w:t>
      </w:r>
      <w:r>
        <w:rPr>
          <w:rFonts w:ascii="Arial" w:eastAsia="MS PGothic" w:hAnsi="Arial" w:cs="Arial"/>
          <w:kern w:val="0"/>
          <w:szCs w:val="21"/>
        </w:rPr>
        <w:t xml:space="preserve"> Mode-of-action and evolution of methylenedioxy bridge forming P450s in plant specialized metabolism. </w:t>
      </w:r>
      <w:r>
        <w:rPr>
          <w:rFonts w:ascii="Arial" w:eastAsia="MS PGothic" w:hAnsi="Arial" w:cs="Arial"/>
          <w:i/>
          <w:iCs/>
          <w:kern w:val="0"/>
          <w:szCs w:val="21"/>
        </w:rPr>
        <w:t>Plant Biotechnol.</w:t>
      </w:r>
      <w:r>
        <w:rPr>
          <w:rFonts w:ascii="Arial" w:eastAsia="MS PGothic" w:hAnsi="Arial" w:cs="Arial"/>
          <w:kern w:val="0"/>
          <w:szCs w:val="21"/>
        </w:rPr>
        <w:t xml:space="preserve"> </w:t>
      </w:r>
      <w:r>
        <w:rPr>
          <w:rFonts w:ascii="Arial" w:eastAsia="MS PGothic" w:hAnsi="Arial" w:cs="Arial"/>
          <w:b/>
          <w:bCs/>
          <w:kern w:val="0"/>
          <w:szCs w:val="21"/>
        </w:rPr>
        <w:t>31,</w:t>
      </w:r>
      <w:r>
        <w:rPr>
          <w:rFonts w:ascii="Arial" w:eastAsia="MS PGothic" w:hAnsi="Arial" w:cs="Arial"/>
          <w:kern w:val="0"/>
          <w:szCs w:val="21"/>
        </w:rPr>
        <w:t xml:space="preserve"> 493–503 (2014).</w:t>
      </w:r>
    </w:p>
    <w:p w14:paraId="7543FC1C" w14:textId="77777777" w:rsidR="00F57EFE" w:rsidRDefault="00F57EFE" w:rsidP="00F57EFE">
      <w:pPr>
        <w:pStyle w:val="ListParagraph"/>
        <w:widowControl/>
        <w:numPr>
          <w:ilvl w:val="0"/>
          <w:numId w:val="1"/>
        </w:numPr>
        <w:spacing w:before="100" w:beforeAutospacing="1" w:after="100" w:afterAutospacing="1"/>
        <w:ind w:leftChars="0"/>
        <w:jc w:val="left"/>
        <w:rPr>
          <w:rFonts w:ascii="Arial" w:eastAsia="MS PGothic" w:hAnsi="Arial" w:cs="Arial"/>
          <w:kern w:val="0"/>
          <w:szCs w:val="21"/>
        </w:rPr>
      </w:pPr>
      <w:r>
        <w:rPr>
          <w:rFonts w:ascii="Arial" w:eastAsia="MS PGothic" w:hAnsi="Arial" w:cs="Arial"/>
          <w:kern w:val="0"/>
          <w:szCs w:val="21"/>
        </w:rPr>
        <w:lastRenderedPageBreak/>
        <w:t xml:space="preserve">Murata, J. </w:t>
      </w:r>
      <w:r>
        <w:rPr>
          <w:rFonts w:ascii="Arial" w:eastAsia="MS PGothic" w:hAnsi="Arial" w:cs="Arial"/>
          <w:i/>
          <w:iCs/>
          <w:kern w:val="0"/>
          <w:szCs w:val="21"/>
        </w:rPr>
        <w:t>et al.</w:t>
      </w:r>
      <w:r>
        <w:rPr>
          <w:rFonts w:ascii="Arial" w:eastAsia="MS PGothic" w:hAnsi="Arial" w:cs="Arial"/>
          <w:kern w:val="0"/>
          <w:szCs w:val="21"/>
        </w:rPr>
        <w:t xml:space="preserve"> Oxidative rearrangement of (+)-sesamin by CYP92B14 co-generates twin dietary lignans in sesame. </w:t>
      </w:r>
      <w:r>
        <w:rPr>
          <w:rFonts w:ascii="Arial" w:eastAsia="MS PGothic" w:hAnsi="Arial" w:cs="Arial"/>
          <w:i/>
          <w:iCs/>
          <w:kern w:val="0"/>
          <w:szCs w:val="21"/>
        </w:rPr>
        <w:t>Nat. Commun.</w:t>
      </w:r>
      <w:r>
        <w:rPr>
          <w:rFonts w:ascii="Arial" w:eastAsia="MS PGothic" w:hAnsi="Arial" w:cs="Arial"/>
          <w:kern w:val="0"/>
          <w:szCs w:val="21"/>
        </w:rPr>
        <w:t xml:space="preserve"> </w:t>
      </w:r>
      <w:r>
        <w:rPr>
          <w:rFonts w:ascii="Arial" w:eastAsia="MS PGothic" w:hAnsi="Arial" w:cs="Arial"/>
          <w:b/>
          <w:bCs/>
          <w:kern w:val="0"/>
          <w:szCs w:val="21"/>
        </w:rPr>
        <w:t>8,</w:t>
      </w:r>
      <w:r>
        <w:rPr>
          <w:rFonts w:ascii="Arial" w:eastAsia="MS PGothic" w:hAnsi="Arial" w:cs="Arial"/>
          <w:kern w:val="0"/>
          <w:szCs w:val="21"/>
        </w:rPr>
        <w:t xml:space="preserve"> 2155 (2017).</w:t>
      </w:r>
    </w:p>
    <w:p w14:paraId="4C2BB562" w14:textId="77777777" w:rsidR="00F57EFE" w:rsidRDefault="00F57EFE" w:rsidP="00F57EFE">
      <w:pPr>
        <w:pStyle w:val="ListParagraph"/>
        <w:widowControl/>
        <w:numPr>
          <w:ilvl w:val="0"/>
          <w:numId w:val="1"/>
        </w:numPr>
        <w:spacing w:before="100" w:beforeAutospacing="1" w:after="100" w:afterAutospacing="1"/>
        <w:ind w:leftChars="0"/>
        <w:jc w:val="left"/>
        <w:rPr>
          <w:rFonts w:ascii="Arial" w:eastAsia="MS PGothic" w:hAnsi="Arial" w:cs="Arial"/>
          <w:kern w:val="0"/>
          <w:szCs w:val="21"/>
        </w:rPr>
      </w:pPr>
      <w:r>
        <w:rPr>
          <w:rFonts w:ascii="Arial" w:eastAsia="MS PGothic" w:hAnsi="Arial" w:cs="Arial"/>
          <w:kern w:val="0"/>
          <w:szCs w:val="21"/>
        </w:rPr>
        <w:t xml:space="preserve">Tamura, K., Tao, Q. &amp; Kumar, S. Theoretical foundation of the RelTime method for estimating divergence times from variable evolutionary rates. </w:t>
      </w:r>
      <w:r>
        <w:rPr>
          <w:rFonts w:ascii="Arial" w:eastAsia="MS PGothic" w:hAnsi="Arial" w:cs="Arial"/>
          <w:i/>
          <w:iCs/>
          <w:kern w:val="0"/>
          <w:szCs w:val="21"/>
        </w:rPr>
        <w:t>Mol. Biol. Evol.</w:t>
      </w:r>
      <w:r>
        <w:rPr>
          <w:rFonts w:ascii="Arial" w:eastAsia="MS PGothic" w:hAnsi="Arial" w:cs="Arial"/>
          <w:kern w:val="0"/>
          <w:szCs w:val="21"/>
        </w:rPr>
        <w:t xml:space="preserve"> </w:t>
      </w:r>
      <w:r>
        <w:rPr>
          <w:rFonts w:ascii="Arial" w:eastAsia="MS PGothic" w:hAnsi="Arial" w:cs="Arial"/>
          <w:b/>
          <w:bCs/>
          <w:kern w:val="0"/>
          <w:szCs w:val="21"/>
        </w:rPr>
        <w:t>35,</w:t>
      </w:r>
      <w:r>
        <w:rPr>
          <w:rFonts w:ascii="Arial" w:eastAsia="MS PGothic" w:hAnsi="Arial" w:cs="Arial"/>
          <w:kern w:val="0"/>
          <w:szCs w:val="21"/>
        </w:rPr>
        <w:t xml:space="preserve"> 1770–1782 (2018).</w:t>
      </w:r>
    </w:p>
    <w:p w14:paraId="43DA4A24" w14:textId="77777777" w:rsidR="00F57EFE" w:rsidRDefault="00F57EFE" w:rsidP="00F57EFE">
      <w:pPr>
        <w:pStyle w:val="ListParagraph"/>
        <w:widowControl/>
        <w:numPr>
          <w:ilvl w:val="0"/>
          <w:numId w:val="1"/>
        </w:numPr>
        <w:spacing w:before="100" w:beforeAutospacing="1" w:after="100" w:afterAutospacing="1"/>
        <w:ind w:leftChars="0"/>
        <w:jc w:val="left"/>
        <w:rPr>
          <w:rFonts w:ascii="Arial" w:eastAsia="MS PGothic" w:hAnsi="Arial" w:cs="Arial"/>
          <w:kern w:val="0"/>
          <w:szCs w:val="21"/>
        </w:rPr>
      </w:pPr>
      <w:r>
        <w:rPr>
          <w:rFonts w:ascii="Arial" w:eastAsia="MS PGothic" w:hAnsi="Arial" w:cs="Arial"/>
          <w:kern w:val="0"/>
          <w:szCs w:val="21"/>
        </w:rPr>
        <w:t xml:space="preserve">Kumar, S., Stecher, G., Suleski, M. &amp; Hedges, S. B. TimeTree: a resource for timelines, timetrees, and divergence times. </w:t>
      </w:r>
      <w:r>
        <w:rPr>
          <w:rFonts w:ascii="Arial" w:eastAsia="MS PGothic" w:hAnsi="Arial" w:cs="Arial"/>
          <w:i/>
          <w:iCs/>
          <w:kern w:val="0"/>
          <w:szCs w:val="21"/>
        </w:rPr>
        <w:t>Mol. Biol. Evol.</w:t>
      </w:r>
      <w:r>
        <w:rPr>
          <w:rFonts w:ascii="Arial" w:eastAsia="MS PGothic" w:hAnsi="Arial" w:cs="Arial"/>
          <w:kern w:val="0"/>
          <w:szCs w:val="21"/>
        </w:rPr>
        <w:t xml:space="preserve"> </w:t>
      </w:r>
      <w:r>
        <w:rPr>
          <w:rFonts w:ascii="Arial" w:eastAsia="MS PGothic" w:hAnsi="Arial" w:cs="Arial"/>
          <w:b/>
          <w:bCs/>
          <w:kern w:val="0"/>
          <w:szCs w:val="21"/>
        </w:rPr>
        <w:t>34,</w:t>
      </w:r>
      <w:r>
        <w:rPr>
          <w:rFonts w:ascii="Arial" w:eastAsia="MS PGothic" w:hAnsi="Arial" w:cs="Arial"/>
          <w:kern w:val="0"/>
          <w:szCs w:val="21"/>
        </w:rPr>
        <w:t xml:space="preserve"> 1812–1819 (2017).</w:t>
      </w:r>
    </w:p>
    <w:p w14:paraId="285B233E" w14:textId="77777777" w:rsidR="00F57EFE" w:rsidRDefault="00F57EFE" w:rsidP="00F57EFE">
      <w:pPr>
        <w:pStyle w:val="ListParagraph"/>
        <w:widowControl/>
        <w:numPr>
          <w:ilvl w:val="0"/>
          <w:numId w:val="1"/>
        </w:numPr>
        <w:spacing w:before="100" w:beforeAutospacing="1" w:after="100" w:afterAutospacing="1"/>
        <w:ind w:leftChars="0"/>
        <w:jc w:val="left"/>
        <w:rPr>
          <w:rFonts w:ascii="Arial" w:eastAsia="MS PGothic" w:hAnsi="Arial" w:cs="Arial"/>
          <w:kern w:val="0"/>
          <w:szCs w:val="21"/>
        </w:rPr>
      </w:pPr>
      <w:r>
        <w:rPr>
          <w:rFonts w:ascii="Arial" w:eastAsia="MS PGothic" w:hAnsi="Arial" w:cs="Arial"/>
          <w:kern w:val="0"/>
          <w:szCs w:val="21"/>
        </w:rPr>
        <w:t xml:space="preserve">Kumar, S., Stecher, G., Li, M., Knyaz, C. &amp; Tamura, K. MEGA X: molecular evolutionary genetics analysis across computing platforms. </w:t>
      </w:r>
      <w:r>
        <w:rPr>
          <w:rFonts w:ascii="Arial" w:eastAsia="MS PGothic" w:hAnsi="Arial" w:cs="Arial"/>
          <w:i/>
          <w:iCs/>
          <w:kern w:val="0"/>
          <w:szCs w:val="21"/>
        </w:rPr>
        <w:t>Mol. Biol. Evol.</w:t>
      </w:r>
      <w:r>
        <w:rPr>
          <w:rFonts w:ascii="Arial" w:eastAsia="MS PGothic" w:hAnsi="Arial" w:cs="Arial"/>
          <w:kern w:val="0"/>
          <w:szCs w:val="21"/>
        </w:rPr>
        <w:t xml:space="preserve"> </w:t>
      </w:r>
      <w:r>
        <w:rPr>
          <w:rFonts w:ascii="Arial" w:eastAsia="MS PGothic" w:hAnsi="Arial" w:cs="Arial"/>
          <w:b/>
          <w:bCs/>
          <w:kern w:val="0"/>
          <w:szCs w:val="21"/>
        </w:rPr>
        <w:t>35,</w:t>
      </w:r>
      <w:r>
        <w:rPr>
          <w:rFonts w:ascii="Arial" w:eastAsia="MS PGothic" w:hAnsi="Arial" w:cs="Arial"/>
          <w:kern w:val="0"/>
          <w:szCs w:val="21"/>
        </w:rPr>
        <w:t xml:space="preserve"> 1547–1549 (2018).</w:t>
      </w:r>
    </w:p>
    <w:p w14:paraId="4B63C509" w14:textId="77777777" w:rsidR="00F57EFE" w:rsidRDefault="00F57EFE" w:rsidP="00F57EFE">
      <w:pPr>
        <w:pStyle w:val="ListParagraph"/>
        <w:widowControl/>
        <w:numPr>
          <w:ilvl w:val="0"/>
          <w:numId w:val="1"/>
        </w:numPr>
        <w:spacing w:before="100" w:beforeAutospacing="1" w:after="100" w:afterAutospacing="1"/>
        <w:ind w:leftChars="0"/>
        <w:jc w:val="left"/>
        <w:rPr>
          <w:rFonts w:ascii="Arial" w:eastAsia="MS PGothic" w:hAnsi="Arial" w:cs="Arial"/>
          <w:kern w:val="0"/>
          <w:szCs w:val="21"/>
        </w:rPr>
      </w:pPr>
      <w:r>
        <w:rPr>
          <w:rFonts w:ascii="Arial" w:eastAsia="MS PGothic" w:hAnsi="Arial" w:cs="Arial" w:hint="eastAsia"/>
          <w:kern w:val="0"/>
          <w:szCs w:val="21"/>
        </w:rPr>
        <w:t>H</w:t>
      </w:r>
      <w:r>
        <w:rPr>
          <w:rFonts w:ascii="Arial" w:eastAsia="MS PGothic" w:hAnsi="Arial" w:cs="Arial"/>
          <w:kern w:val="0"/>
          <w:szCs w:val="21"/>
        </w:rPr>
        <w:t xml:space="preserve">oshino, A., Yoneya, Y. &amp; Kuboyama, T. A </w:t>
      </w:r>
      <w:r>
        <w:rPr>
          <w:rFonts w:ascii="Arial" w:eastAsia="MS PGothic" w:hAnsi="Arial" w:cs="Arial"/>
          <w:i/>
          <w:kern w:val="0"/>
          <w:szCs w:val="21"/>
        </w:rPr>
        <w:t>Stowaway</w:t>
      </w:r>
      <w:r>
        <w:rPr>
          <w:rFonts w:ascii="Arial" w:eastAsia="MS PGothic" w:hAnsi="Arial" w:cs="Arial"/>
          <w:kern w:val="0"/>
          <w:szCs w:val="21"/>
        </w:rPr>
        <w:t xml:space="preserve"> transposon disrupts the InWDR1 gene controlling flower and seed coloration in a medicinal cultivar of the Japanese morning glory.</w:t>
      </w:r>
      <w:r>
        <w:rPr>
          <w:rFonts w:ascii="Arial" w:eastAsia="MS PGothic" w:hAnsi="Arial" w:cs="Arial"/>
          <w:i/>
          <w:kern w:val="0"/>
          <w:szCs w:val="21"/>
        </w:rPr>
        <w:t xml:space="preserve"> Genes Genet. Syst.</w:t>
      </w:r>
      <w:r>
        <w:rPr>
          <w:rFonts w:ascii="Arial" w:eastAsia="MS PGothic" w:hAnsi="Arial" w:cs="Arial"/>
          <w:kern w:val="0"/>
          <w:szCs w:val="21"/>
        </w:rPr>
        <w:t xml:space="preserve"> </w:t>
      </w:r>
      <w:r>
        <w:rPr>
          <w:rFonts w:ascii="Arial" w:eastAsia="MS PGothic" w:hAnsi="Arial" w:cs="Arial"/>
          <w:b/>
          <w:kern w:val="0"/>
          <w:szCs w:val="21"/>
        </w:rPr>
        <w:t>91</w:t>
      </w:r>
      <w:r>
        <w:rPr>
          <w:rFonts w:ascii="Arial" w:eastAsia="MS PGothic" w:hAnsi="Arial" w:cs="Arial"/>
          <w:kern w:val="0"/>
          <w:szCs w:val="21"/>
        </w:rPr>
        <w:t>, 37-40 (2016).</w:t>
      </w:r>
    </w:p>
    <w:p w14:paraId="4D8AB6FF" w14:textId="77777777" w:rsidR="00F57EFE" w:rsidRDefault="00F57EFE" w:rsidP="00F57EFE">
      <w:pPr>
        <w:pStyle w:val="ListParagraph"/>
        <w:widowControl/>
        <w:numPr>
          <w:ilvl w:val="0"/>
          <w:numId w:val="2"/>
        </w:numPr>
        <w:spacing w:before="100" w:beforeAutospacing="1" w:after="100" w:afterAutospacing="1"/>
        <w:ind w:leftChars="0"/>
        <w:jc w:val="left"/>
        <w:rPr>
          <w:rFonts w:ascii="Arial" w:eastAsia="MS PGothic" w:hAnsi="Arial" w:cs="Arial"/>
          <w:kern w:val="0"/>
          <w:szCs w:val="21"/>
        </w:rPr>
      </w:pPr>
      <w:r>
        <w:rPr>
          <w:rFonts w:ascii="Arial" w:eastAsia="MS PGothic" w:hAnsi="Arial" w:cs="Arial"/>
          <w:kern w:val="0"/>
          <w:szCs w:val="21"/>
        </w:rPr>
        <w:t xml:space="preserve">Xia, E.-H. </w:t>
      </w:r>
      <w:r>
        <w:rPr>
          <w:rFonts w:ascii="Arial" w:eastAsia="MS PGothic" w:hAnsi="Arial" w:cs="Arial"/>
          <w:i/>
          <w:iCs/>
          <w:kern w:val="0"/>
          <w:szCs w:val="21"/>
        </w:rPr>
        <w:t>et al.</w:t>
      </w:r>
      <w:r>
        <w:rPr>
          <w:rFonts w:ascii="Arial" w:eastAsia="MS PGothic" w:hAnsi="Arial" w:cs="Arial"/>
          <w:kern w:val="0"/>
          <w:szCs w:val="21"/>
        </w:rPr>
        <w:t xml:space="preserve"> The tea tree genome provides insights into tea flavor and independent evolution of caffeine biosynthesis. </w:t>
      </w:r>
      <w:r>
        <w:rPr>
          <w:rFonts w:ascii="Arial" w:eastAsia="MS PGothic" w:hAnsi="Arial" w:cs="Arial"/>
          <w:i/>
          <w:iCs/>
          <w:kern w:val="0"/>
          <w:szCs w:val="21"/>
        </w:rPr>
        <w:t>Mol. Plant</w:t>
      </w:r>
      <w:r>
        <w:rPr>
          <w:rFonts w:ascii="Arial" w:eastAsia="MS PGothic" w:hAnsi="Arial" w:cs="Arial"/>
          <w:kern w:val="0"/>
          <w:szCs w:val="21"/>
        </w:rPr>
        <w:t xml:space="preserve"> </w:t>
      </w:r>
      <w:r>
        <w:rPr>
          <w:rFonts w:ascii="Arial" w:eastAsia="MS PGothic" w:hAnsi="Arial" w:cs="Arial"/>
          <w:b/>
          <w:bCs/>
          <w:kern w:val="0"/>
          <w:szCs w:val="21"/>
        </w:rPr>
        <w:t>10,</w:t>
      </w:r>
      <w:r>
        <w:rPr>
          <w:rFonts w:ascii="Arial" w:eastAsia="MS PGothic" w:hAnsi="Arial" w:cs="Arial"/>
          <w:kern w:val="0"/>
          <w:szCs w:val="21"/>
        </w:rPr>
        <w:t xml:space="preserve"> 866–877 (2017). Suppl Fig6 legend</w:t>
      </w:r>
    </w:p>
    <w:p w14:paraId="5D9B2E79" w14:textId="77777777" w:rsidR="00F57EFE" w:rsidRDefault="00F57EFE" w:rsidP="00F57EFE">
      <w:pPr>
        <w:pStyle w:val="ListParagraph"/>
        <w:widowControl/>
        <w:numPr>
          <w:ilvl w:val="0"/>
          <w:numId w:val="1"/>
        </w:numPr>
        <w:spacing w:before="100" w:beforeAutospacing="1" w:after="100" w:afterAutospacing="1"/>
        <w:ind w:leftChars="0"/>
        <w:jc w:val="left"/>
        <w:rPr>
          <w:rFonts w:ascii="Arial" w:eastAsia="MS PGothic" w:hAnsi="Arial" w:cs="Arial"/>
          <w:kern w:val="0"/>
          <w:szCs w:val="21"/>
        </w:rPr>
      </w:pPr>
      <w:r>
        <w:rPr>
          <w:rFonts w:ascii="Arial" w:eastAsia="MS PGothic" w:hAnsi="Arial" w:cs="Arial"/>
          <w:kern w:val="0"/>
          <w:szCs w:val="21"/>
        </w:rPr>
        <w:t xml:space="preserve">Okonechnikov, K., Golosova, O. &amp; Fursov, M. Unipro UGENE: a unified bioinformatics toolkit. </w:t>
      </w:r>
      <w:r>
        <w:rPr>
          <w:rFonts w:ascii="Arial" w:eastAsia="MS PGothic" w:hAnsi="Arial" w:cs="Arial"/>
          <w:i/>
          <w:iCs/>
          <w:kern w:val="0"/>
          <w:szCs w:val="21"/>
        </w:rPr>
        <w:t>Bioinformatics</w:t>
      </w:r>
      <w:r>
        <w:rPr>
          <w:rFonts w:ascii="Arial" w:eastAsia="MS PGothic" w:hAnsi="Arial" w:cs="Arial"/>
          <w:kern w:val="0"/>
          <w:szCs w:val="21"/>
        </w:rPr>
        <w:t xml:space="preserve"> </w:t>
      </w:r>
      <w:r>
        <w:rPr>
          <w:rFonts w:ascii="Arial" w:eastAsia="MS PGothic" w:hAnsi="Arial" w:cs="Arial"/>
          <w:b/>
          <w:bCs/>
          <w:kern w:val="0"/>
          <w:szCs w:val="21"/>
        </w:rPr>
        <w:t>28,</w:t>
      </w:r>
      <w:r>
        <w:rPr>
          <w:rFonts w:ascii="Arial" w:eastAsia="MS PGothic" w:hAnsi="Arial" w:cs="Arial"/>
          <w:kern w:val="0"/>
          <w:szCs w:val="21"/>
        </w:rPr>
        <w:t xml:space="preserve"> 1166–1167 (2012).</w:t>
      </w:r>
    </w:p>
    <w:p w14:paraId="2552CFFE" w14:textId="77777777" w:rsidR="00F57EFE" w:rsidRDefault="00F57EFE" w:rsidP="00F57EFE">
      <w:pPr>
        <w:pStyle w:val="ListParagraph"/>
        <w:widowControl/>
        <w:numPr>
          <w:ilvl w:val="0"/>
          <w:numId w:val="1"/>
        </w:numPr>
        <w:spacing w:before="100" w:beforeAutospacing="1" w:after="100" w:afterAutospacing="1"/>
        <w:ind w:leftChars="0"/>
        <w:jc w:val="left"/>
        <w:rPr>
          <w:rFonts w:ascii="Arial" w:eastAsia="MS PGothic" w:hAnsi="Arial" w:cs="Arial"/>
          <w:kern w:val="0"/>
          <w:szCs w:val="21"/>
        </w:rPr>
      </w:pPr>
      <w:r>
        <w:rPr>
          <w:rFonts w:ascii="Arial" w:eastAsia="MS PGothic" w:hAnsi="Arial" w:cs="Arial"/>
          <w:kern w:val="0"/>
          <w:szCs w:val="21"/>
        </w:rPr>
        <w:t xml:space="preserve">Kurtz, S. </w:t>
      </w:r>
      <w:r>
        <w:rPr>
          <w:rFonts w:ascii="Arial" w:eastAsia="MS PGothic" w:hAnsi="Arial" w:cs="Arial"/>
          <w:i/>
          <w:iCs/>
          <w:kern w:val="0"/>
          <w:szCs w:val="21"/>
        </w:rPr>
        <w:t>et al.</w:t>
      </w:r>
      <w:r>
        <w:rPr>
          <w:rFonts w:ascii="Arial" w:eastAsia="MS PGothic" w:hAnsi="Arial" w:cs="Arial"/>
          <w:kern w:val="0"/>
          <w:szCs w:val="21"/>
        </w:rPr>
        <w:t xml:space="preserve"> Versatile and open software for comparing large genomes. </w:t>
      </w:r>
      <w:r>
        <w:rPr>
          <w:rFonts w:ascii="Arial" w:eastAsia="MS PGothic" w:hAnsi="Arial" w:cs="Arial"/>
          <w:i/>
          <w:iCs/>
          <w:kern w:val="0"/>
          <w:szCs w:val="21"/>
        </w:rPr>
        <w:t>Genome Biol.</w:t>
      </w:r>
      <w:r>
        <w:rPr>
          <w:rFonts w:ascii="Arial" w:eastAsia="MS PGothic" w:hAnsi="Arial" w:cs="Arial"/>
          <w:kern w:val="0"/>
          <w:szCs w:val="21"/>
        </w:rPr>
        <w:t xml:space="preserve"> </w:t>
      </w:r>
      <w:r>
        <w:rPr>
          <w:rFonts w:ascii="Arial" w:eastAsia="MS PGothic" w:hAnsi="Arial" w:cs="Arial"/>
          <w:b/>
          <w:bCs/>
          <w:kern w:val="0"/>
          <w:szCs w:val="21"/>
        </w:rPr>
        <w:t>5,</w:t>
      </w:r>
      <w:r>
        <w:rPr>
          <w:rFonts w:ascii="Arial" w:eastAsia="MS PGothic" w:hAnsi="Arial" w:cs="Arial"/>
          <w:kern w:val="0"/>
          <w:szCs w:val="21"/>
        </w:rPr>
        <w:t xml:space="preserve"> R12 (2004).</w:t>
      </w:r>
    </w:p>
    <w:p w14:paraId="75021CA9" w14:textId="77777777" w:rsidR="00F57EFE" w:rsidRDefault="00F57EFE" w:rsidP="00F57EFE">
      <w:pPr>
        <w:pStyle w:val="ListParagraph"/>
        <w:widowControl/>
        <w:numPr>
          <w:ilvl w:val="0"/>
          <w:numId w:val="1"/>
        </w:numPr>
        <w:spacing w:before="100" w:beforeAutospacing="1" w:after="100" w:afterAutospacing="1"/>
        <w:ind w:leftChars="0"/>
        <w:jc w:val="left"/>
        <w:rPr>
          <w:rFonts w:ascii="Arial" w:eastAsia="MS PGothic" w:hAnsi="Arial" w:cs="Arial"/>
          <w:kern w:val="0"/>
          <w:szCs w:val="21"/>
        </w:rPr>
      </w:pPr>
      <w:r>
        <w:rPr>
          <w:rFonts w:ascii="Arial" w:eastAsia="MS PGothic" w:hAnsi="Arial" w:cs="Arial"/>
          <w:kern w:val="0"/>
          <w:szCs w:val="21"/>
        </w:rPr>
        <w:t xml:space="preserve">Kim, D. </w:t>
      </w:r>
      <w:r>
        <w:rPr>
          <w:rFonts w:ascii="Arial" w:eastAsia="MS PGothic" w:hAnsi="Arial" w:cs="Arial"/>
          <w:i/>
          <w:kern w:val="0"/>
          <w:szCs w:val="21"/>
        </w:rPr>
        <w:t>et al</w:t>
      </w:r>
      <w:r>
        <w:rPr>
          <w:rFonts w:ascii="Arial" w:eastAsia="MS PGothic" w:hAnsi="Arial" w:cs="Arial"/>
          <w:kern w:val="0"/>
          <w:szCs w:val="21"/>
        </w:rPr>
        <w:t xml:space="preserve">. Graph-based genome alignment and genotyping with HISAT2 and HISAT-genotype. </w:t>
      </w:r>
      <w:r>
        <w:rPr>
          <w:rFonts w:ascii="Arial" w:eastAsia="MS PGothic" w:hAnsi="Arial" w:cs="Arial"/>
          <w:i/>
          <w:kern w:val="0"/>
          <w:szCs w:val="21"/>
        </w:rPr>
        <w:t>Nat. Biotechnol</w:t>
      </w:r>
      <w:r>
        <w:rPr>
          <w:rFonts w:ascii="Arial" w:eastAsia="MS PGothic" w:hAnsi="Arial" w:cs="Arial"/>
          <w:kern w:val="0"/>
          <w:szCs w:val="21"/>
        </w:rPr>
        <w:t xml:space="preserve">. </w:t>
      </w:r>
      <w:r>
        <w:rPr>
          <w:rFonts w:ascii="Arial" w:eastAsia="MS PGothic" w:hAnsi="Arial" w:cs="Arial"/>
          <w:b/>
          <w:kern w:val="0"/>
          <w:szCs w:val="21"/>
        </w:rPr>
        <w:t>37</w:t>
      </w:r>
      <w:r>
        <w:rPr>
          <w:rFonts w:ascii="Arial" w:eastAsia="MS PGothic" w:hAnsi="Arial" w:cs="Arial"/>
          <w:kern w:val="0"/>
          <w:szCs w:val="21"/>
        </w:rPr>
        <w:t>, 907–915 (2019).</w:t>
      </w:r>
    </w:p>
    <w:p w14:paraId="6D1273FB" w14:textId="77777777" w:rsidR="00F57EFE" w:rsidRDefault="00F57EFE" w:rsidP="00F57EFE">
      <w:pPr>
        <w:pStyle w:val="ListParagraph"/>
        <w:widowControl/>
        <w:numPr>
          <w:ilvl w:val="0"/>
          <w:numId w:val="1"/>
        </w:numPr>
        <w:spacing w:before="100" w:beforeAutospacing="1" w:after="100" w:afterAutospacing="1"/>
        <w:ind w:leftChars="0"/>
        <w:jc w:val="left"/>
        <w:rPr>
          <w:rFonts w:ascii="Arial" w:eastAsia="MS PGothic" w:hAnsi="Arial" w:cs="Arial"/>
          <w:kern w:val="0"/>
          <w:szCs w:val="21"/>
        </w:rPr>
      </w:pPr>
      <w:r>
        <w:rPr>
          <w:rFonts w:ascii="Arial" w:eastAsia="MS PGothic" w:hAnsi="Arial" w:cs="Arial"/>
          <w:kern w:val="0"/>
          <w:szCs w:val="21"/>
        </w:rPr>
        <w:t xml:space="preserve">Ono, E. </w:t>
      </w:r>
      <w:r>
        <w:rPr>
          <w:rFonts w:ascii="Arial" w:eastAsia="MS PGothic" w:hAnsi="Arial" w:cs="Arial"/>
          <w:i/>
          <w:iCs/>
          <w:kern w:val="0"/>
          <w:szCs w:val="21"/>
        </w:rPr>
        <w:t>et al.</w:t>
      </w:r>
      <w:r>
        <w:rPr>
          <w:rFonts w:ascii="Arial" w:eastAsia="MS PGothic" w:hAnsi="Arial" w:cs="Arial"/>
          <w:kern w:val="0"/>
          <w:szCs w:val="21"/>
        </w:rPr>
        <w:t xml:space="preserve"> Formation of two methylenedioxy bridges by a Sesamum CYP81Q protein yielding a furofuran lignan, (+)-sesamin. </w:t>
      </w:r>
      <w:r>
        <w:rPr>
          <w:rFonts w:ascii="Arial" w:eastAsia="MS PGothic" w:hAnsi="Arial" w:cs="Arial"/>
          <w:i/>
          <w:iCs/>
          <w:kern w:val="0"/>
          <w:szCs w:val="21"/>
        </w:rPr>
        <w:t>Proc. Natl. Acad. Sci. USA</w:t>
      </w:r>
      <w:r>
        <w:rPr>
          <w:rFonts w:ascii="Arial" w:eastAsia="MS PGothic" w:hAnsi="Arial" w:cs="Arial"/>
          <w:kern w:val="0"/>
          <w:szCs w:val="21"/>
        </w:rPr>
        <w:t xml:space="preserve"> </w:t>
      </w:r>
      <w:r>
        <w:rPr>
          <w:rFonts w:ascii="Arial" w:eastAsia="MS PGothic" w:hAnsi="Arial" w:cs="Arial"/>
          <w:b/>
          <w:bCs/>
          <w:kern w:val="0"/>
          <w:szCs w:val="21"/>
        </w:rPr>
        <w:t>103,</w:t>
      </w:r>
      <w:r>
        <w:rPr>
          <w:rFonts w:ascii="Arial" w:eastAsia="MS PGothic" w:hAnsi="Arial" w:cs="Arial"/>
          <w:kern w:val="0"/>
          <w:szCs w:val="21"/>
        </w:rPr>
        <w:t xml:space="preserve"> 10116–10121 (2006).</w:t>
      </w:r>
    </w:p>
    <w:p w14:paraId="77F8564C" w14:textId="77777777" w:rsidR="00F57EFE" w:rsidRDefault="00F57EFE" w:rsidP="00F57EFE">
      <w:pPr>
        <w:pStyle w:val="ListParagraph"/>
        <w:widowControl/>
        <w:numPr>
          <w:ilvl w:val="0"/>
          <w:numId w:val="1"/>
        </w:numPr>
        <w:spacing w:before="100" w:beforeAutospacing="1" w:after="100" w:afterAutospacing="1"/>
        <w:ind w:leftChars="0"/>
        <w:jc w:val="left"/>
        <w:rPr>
          <w:rFonts w:ascii="Arial" w:eastAsia="MS PGothic" w:hAnsi="Arial" w:cs="Arial"/>
          <w:kern w:val="0"/>
          <w:szCs w:val="21"/>
        </w:rPr>
      </w:pPr>
      <w:r>
        <w:rPr>
          <w:rFonts w:ascii="Arial" w:eastAsia="MS PGothic" w:hAnsi="Arial" w:cs="Arial"/>
          <w:kern w:val="0"/>
          <w:szCs w:val="21"/>
        </w:rPr>
        <w:t xml:space="preserve">Loke, J.C., Stahlberg, E.A., Strenski, D.G., Haas, B.J., Wood, P.C. &amp; Li, Q.Q. Compilation of mRNA polyadenylation signals in </w:t>
      </w:r>
      <w:r>
        <w:rPr>
          <w:rFonts w:ascii="Arial" w:eastAsia="MS PGothic" w:hAnsi="Arial" w:cs="Arial"/>
          <w:i/>
          <w:kern w:val="0"/>
          <w:szCs w:val="21"/>
        </w:rPr>
        <w:t>Arabidopsis</w:t>
      </w:r>
      <w:r>
        <w:rPr>
          <w:rFonts w:ascii="Arial" w:eastAsia="MS PGothic" w:hAnsi="Arial" w:cs="Arial"/>
          <w:kern w:val="0"/>
          <w:szCs w:val="21"/>
        </w:rPr>
        <w:t xml:space="preserve"> revealed a new signal element and potential secondary structures. </w:t>
      </w:r>
      <w:r>
        <w:rPr>
          <w:rFonts w:ascii="Arial" w:eastAsia="MS PGothic" w:hAnsi="Arial" w:cs="Arial"/>
          <w:i/>
          <w:kern w:val="0"/>
          <w:szCs w:val="21"/>
        </w:rPr>
        <w:t>Plant Physiol</w:t>
      </w:r>
      <w:r>
        <w:rPr>
          <w:rFonts w:ascii="Arial" w:eastAsia="MS PGothic" w:hAnsi="Arial" w:cs="Arial"/>
          <w:kern w:val="0"/>
          <w:szCs w:val="21"/>
        </w:rPr>
        <w:t xml:space="preserve">. </w:t>
      </w:r>
      <w:r>
        <w:rPr>
          <w:rFonts w:ascii="Arial" w:eastAsia="MS PGothic" w:hAnsi="Arial" w:cs="Arial"/>
          <w:b/>
          <w:kern w:val="0"/>
          <w:szCs w:val="21"/>
        </w:rPr>
        <w:t>138</w:t>
      </w:r>
      <w:r>
        <w:rPr>
          <w:rFonts w:ascii="Arial" w:eastAsia="MS PGothic" w:hAnsi="Arial" w:cs="Arial"/>
          <w:kern w:val="0"/>
          <w:szCs w:val="21"/>
        </w:rPr>
        <w:t>,1457-1468 (2005).</w:t>
      </w:r>
    </w:p>
    <w:p w14:paraId="0D139407" w14:textId="77777777" w:rsidR="00F57EFE" w:rsidRDefault="00F57EFE" w:rsidP="00F57EFE">
      <w:pPr>
        <w:pStyle w:val="ListParagraph"/>
        <w:widowControl/>
        <w:numPr>
          <w:ilvl w:val="0"/>
          <w:numId w:val="1"/>
        </w:numPr>
        <w:spacing w:before="100" w:beforeAutospacing="1" w:after="100" w:afterAutospacing="1"/>
        <w:ind w:leftChars="0"/>
        <w:jc w:val="left"/>
        <w:rPr>
          <w:rFonts w:ascii="Arial" w:eastAsia="MS PGothic" w:hAnsi="Arial" w:cs="Arial"/>
          <w:kern w:val="0"/>
          <w:szCs w:val="21"/>
        </w:rPr>
      </w:pPr>
      <w:r>
        <w:rPr>
          <w:rFonts w:ascii="Arial" w:eastAsia="MS PGothic" w:hAnsi="Arial" w:cs="Arial"/>
          <w:kern w:val="0"/>
          <w:szCs w:val="21"/>
        </w:rPr>
        <w:t xml:space="preserve">Pertea, M., Kim, D., Pertea, G.M., Leek, J.T. &amp; Salzberg, S.L. Transcript-level expression analysis of RNA-seq experiments with HISAT, StringTie and Ballgown, </w:t>
      </w:r>
      <w:r>
        <w:rPr>
          <w:rFonts w:ascii="Arial" w:eastAsia="MS PGothic" w:hAnsi="Arial" w:cs="Arial"/>
          <w:i/>
          <w:kern w:val="0"/>
          <w:szCs w:val="21"/>
        </w:rPr>
        <w:t>Nature Protocols</w:t>
      </w:r>
      <w:r>
        <w:rPr>
          <w:rFonts w:ascii="Arial" w:eastAsia="MS PGothic" w:hAnsi="Arial" w:cs="Arial"/>
          <w:kern w:val="0"/>
          <w:szCs w:val="21"/>
        </w:rPr>
        <w:t xml:space="preserve"> </w:t>
      </w:r>
      <w:r>
        <w:rPr>
          <w:rFonts w:ascii="Arial" w:eastAsia="MS PGothic" w:hAnsi="Arial" w:cs="Arial"/>
          <w:b/>
          <w:kern w:val="0"/>
          <w:szCs w:val="21"/>
        </w:rPr>
        <w:t>11</w:t>
      </w:r>
      <w:r>
        <w:rPr>
          <w:rFonts w:ascii="Arial" w:eastAsia="MS PGothic" w:hAnsi="Arial" w:cs="Arial"/>
          <w:kern w:val="0"/>
          <w:szCs w:val="21"/>
        </w:rPr>
        <w:t>, 1650-1667 (2016).</w:t>
      </w:r>
    </w:p>
    <w:p w14:paraId="4322921B" w14:textId="77777777" w:rsidR="00F57EFE" w:rsidRDefault="00F57EFE" w:rsidP="00F57EFE">
      <w:pPr>
        <w:pStyle w:val="ListParagraph"/>
        <w:widowControl/>
        <w:numPr>
          <w:ilvl w:val="0"/>
          <w:numId w:val="1"/>
        </w:numPr>
        <w:spacing w:before="100" w:beforeAutospacing="1" w:after="100" w:afterAutospacing="1"/>
        <w:ind w:leftChars="0"/>
        <w:jc w:val="left"/>
        <w:rPr>
          <w:rFonts w:ascii="Arial" w:eastAsia="MS PGothic" w:hAnsi="Arial" w:cs="Arial"/>
          <w:kern w:val="0"/>
          <w:szCs w:val="21"/>
        </w:rPr>
      </w:pPr>
      <w:r>
        <w:rPr>
          <w:rFonts w:ascii="Arial" w:eastAsia="MS PGothic" w:hAnsi="Arial" w:cs="Arial"/>
          <w:kern w:val="0"/>
          <w:szCs w:val="21"/>
        </w:rPr>
        <w:t xml:space="preserve">Tera, M. </w:t>
      </w:r>
      <w:r>
        <w:rPr>
          <w:rFonts w:ascii="Arial" w:eastAsia="MS PGothic" w:hAnsi="Arial" w:cs="Arial"/>
          <w:i/>
          <w:kern w:val="0"/>
          <w:szCs w:val="21"/>
        </w:rPr>
        <w:t>et al</w:t>
      </w:r>
      <w:r>
        <w:rPr>
          <w:rFonts w:ascii="Arial" w:eastAsia="MS PGothic" w:hAnsi="Arial" w:cs="Arial"/>
          <w:kern w:val="0"/>
          <w:szCs w:val="21"/>
        </w:rPr>
        <w:t xml:space="preserve">. Identification of a binding protein for sesamin and characterization of Its roles in plant growth. </w:t>
      </w:r>
      <w:r>
        <w:rPr>
          <w:rFonts w:ascii="Arial" w:eastAsia="MS PGothic" w:hAnsi="Arial" w:cs="Arial"/>
          <w:i/>
          <w:kern w:val="0"/>
          <w:szCs w:val="21"/>
        </w:rPr>
        <w:t>Sci. Rep</w:t>
      </w:r>
      <w:r>
        <w:rPr>
          <w:rFonts w:ascii="Arial" w:eastAsia="MS PGothic" w:hAnsi="Arial" w:cs="Arial"/>
          <w:kern w:val="0"/>
          <w:szCs w:val="21"/>
        </w:rPr>
        <w:t xml:space="preserve">. </w:t>
      </w:r>
      <w:r>
        <w:rPr>
          <w:rFonts w:ascii="Arial" w:eastAsia="MS PGothic" w:hAnsi="Arial" w:cs="Arial"/>
          <w:b/>
          <w:kern w:val="0"/>
          <w:szCs w:val="21"/>
        </w:rPr>
        <w:t>14</w:t>
      </w:r>
      <w:r>
        <w:rPr>
          <w:rFonts w:ascii="Arial" w:eastAsia="MS PGothic" w:hAnsi="Arial" w:cs="Arial"/>
          <w:kern w:val="0"/>
          <w:szCs w:val="21"/>
        </w:rPr>
        <w:t>, 8631 (2019).</w:t>
      </w:r>
    </w:p>
    <w:p w14:paraId="204BED2D" w14:textId="77777777" w:rsidR="00F57EFE" w:rsidRDefault="00F57EFE" w:rsidP="00F57EFE">
      <w:pPr>
        <w:pStyle w:val="ListParagraph"/>
        <w:widowControl/>
        <w:numPr>
          <w:ilvl w:val="0"/>
          <w:numId w:val="1"/>
        </w:numPr>
        <w:spacing w:before="100" w:beforeAutospacing="1" w:after="100" w:afterAutospacing="1"/>
        <w:ind w:leftChars="0"/>
        <w:jc w:val="left"/>
        <w:rPr>
          <w:rFonts w:ascii="Arial" w:eastAsia="MS PGothic" w:hAnsi="Arial" w:cs="Arial"/>
          <w:kern w:val="0"/>
          <w:szCs w:val="21"/>
        </w:rPr>
      </w:pPr>
      <w:r>
        <w:rPr>
          <w:rFonts w:ascii="Arial" w:eastAsia="MS PGothic" w:hAnsi="Arial" w:cs="Arial"/>
          <w:kern w:val="0"/>
          <w:szCs w:val="21"/>
        </w:rPr>
        <w:t xml:space="preserve">Harada, E., </w:t>
      </w:r>
      <w:r>
        <w:rPr>
          <w:rFonts w:ascii="Arial" w:eastAsia="MS PGothic" w:hAnsi="Arial" w:cs="Arial"/>
          <w:i/>
          <w:kern w:val="0"/>
          <w:szCs w:val="21"/>
        </w:rPr>
        <w:t>et al</w:t>
      </w:r>
      <w:r>
        <w:rPr>
          <w:rFonts w:ascii="Arial" w:eastAsia="MS PGothic" w:hAnsi="Arial" w:cs="Arial"/>
          <w:kern w:val="0"/>
          <w:szCs w:val="21"/>
        </w:rPr>
        <w:t xml:space="preserve">., (+)-Sesamin-oxidizing CYP92B14 shapes specialized lignan metabolism in sesame. </w:t>
      </w:r>
      <w:r>
        <w:rPr>
          <w:rFonts w:ascii="Arial" w:eastAsia="MS PGothic" w:hAnsi="Arial" w:cs="Arial"/>
          <w:i/>
          <w:kern w:val="0"/>
          <w:szCs w:val="21"/>
        </w:rPr>
        <w:t>Plant J</w:t>
      </w:r>
      <w:r>
        <w:rPr>
          <w:rFonts w:ascii="Arial" w:eastAsia="MS PGothic" w:hAnsi="Arial" w:cs="Arial"/>
          <w:kern w:val="0"/>
          <w:szCs w:val="21"/>
        </w:rPr>
        <w:t xml:space="preserve">. </w:t>
      </w:r>
      <w:r>
        <w:rPr>
          <w:rFonts w:ascii="Arial" w:eastAsia="MS PGothic" w:hAnsi="Arial" w:cs="Arial"/>
          <w:b/>
          <w:kern w:val="0"/>
          <w:szCs w:val="21"/>
        </w:rPr>
        <w:t>104</w:t>
      </w:r>
      <w:r>
        <w:rPr>
          <w:rFonts w:ascii="Arial" w:eastAsia="MS PGothic" w:hAnsi="Arial" w:cs="Arial"/>
          <w:kern w:val="0"/>
          <w:szCs w:val="21"/>
        </w:rPr>
        <w:t>, 1117-1128 (2020).</w:t>
      </w:r>
    </w:p>
    <w:p w14:paraId="1BD6A93F" w14:textId="77777777" w:rsidR="00F57EFE" w:rsidRDefault="00F57EFE" w:rsidP="00F57EFE">
      <w:pPr>
        <w:pStyle w:val="ListParagraph"/>
        <w:widowControl/>
        <w:numPr>
          <w:ilvl w:val="0"/>
          <w:numId w:val="1"/>
        </w:numPr>
        <w:spacing w:before="100" w:beforeAutospacing="1" w:after="100" w:afterAutospacing="1"/>
        <w:ind w:leftChars="0"/>
        <w:jc w:val="left"/>
        <w:rPr>
          <w:rFonts w:ascii="Arial" w:eastAsia="MS PGothic" w:hAnsi="Arial" w:cs="Arial"/>
          <w:kern w:val="0"/>
          <w:szCs w:val="21"/>
        </w:rPr>
      </w:pPr>
      <w:r>
        <w:rPr>
          <w:rFonts w:ascii="Arial" w:eastAsia="MS PGothic" w:hAnsi="Arial" w:cs="Arial"/>
          <w:kern w:val="0"/>
          <w:szCs w:val="21"/>
        </w:rPr>
        <w:t xml:space="preserve">Shiraishi, A., Murata, J., Matsumoto, E., Matsubara, S., Ono, E. &amp; Satake, H. </w:t>
      </w:r>
      <w:r>
        <w:rPr>
          <w:rFonts w:ascii="Arial" w:eastAsia="MS PGothic" w:hAnsi="Arial" w:cs="Arial"/>
          <w:i/>
          <w:kern w:val="0"/>
          <w:szCs w:val="21"/>
        </w:rPr>
        <w:t>De Novo</w:t>
      </w:r>
      <w:r>
        <w:rPr>
          <w:rFonts w:ascii="Arial" w:eastAsia="MS PGothic" w:hAnsi="Arial" w:cs="Arial"/>
          <w:kern w:val="0"/>
          <w:szCs w:val="21"/>
        </w:rPr>
        <w:t xml:space="preserve"> transcriptomes of </w:t>
      </w:r>
      <w:r>
        <w:rPr>
          <w:rFonts w:ascii="Arial" w:eastAsia="MS PGothic" w:hAnsi="Arial" w:cs="Arial"/>
          <w:i/>
          <w:kern w:val="0"/>
          <w:szCs w:val="21"/>
        </w:rPr>
        <w:t xml:space="preserve">Forsythia koreana </w:t>
      </w:r>
      <w:r>
        <w:rPr>
          <w:rFonts w:ascii="Arial" w:eastAsia="MS PGothic" w:hAnsi="Arial" w:cs="Arial"/>
          <w:kern w:val="0"/>
          <w:szCs w:val="21"/>
        </w:rPr>
        <w:t xml:space="preserve">using a novel assembly method: Insight into </w:t>
      </w:r>
      <w:r>
        <w:rPr>
          <w:rFonts w:ascii="Arial" w:eastAsia="MS PGothic" w:hAnsi="Arial" w:cs="Arial"/>
          <w:kern w:val="0"/>
          <w:szCs w:val="21"/>
        </w:rPr>
        <w:lastRenderedPageBreak/>
        <w:t xml:space="preserve">tissue- and species-specific expression of lignan biosynthesis-related Gene. </w:t>
      </w:r>
      <w:r>
        <w:rPr>
          <w:rFonts w:ascii="Arial" w:eastAsia="MS PGothic" w:hAnsi="Arial" w:cs="Arial"/>
          <w:i/>
          <w:kern w:val="0"/>
          <w:szCs w:val="21"/>
        </w:rPr>
        <w:t>PLoS One</w:t>
      </w:r>
      <w:r>
        <w:rPr>
          <w:rFonts w:ascii="Arial" w:eastAsia="MS PGothic" w:hAnsi="Arial" w:cs="Arial"/>
          <w:kern w:val="0"/>
          <w:szCs w:val="21"/>
        </w:rPr>
        <w:t xml:space="preserve"> </w:t>
      </w:r>
      <w:r>
        <w:rPr>
          <w:rFonts w:ascii="Arial" w:eastAsia="MS PGothic" w:hAnsi="Arial" w:cs="Arial"/>
          <w:b/>
          <w:kern w:val="0"/>
          <w:szCs w:val="21"/>
        </w:rPr>
        <w:t>11</w:t>
      </w:r>
      <w:r>
        <w:rPr>
          <w:rFonts w:ascii="Arial" w:eastAsia="MS PGothic" w:hAnsi="Arial" w:cs="Arial"/>
          <w:kern w:val="0"/>
          <w:szCs w:val="21"/>
        </w:rPr>
        <w:t>, e0164805 (2016).</w:t>
      </w:r>
    </w:p>
    <w:p w14:paraId="15279DD2" w14:textId="77777777" w:rsidR="00F57EFE" w:rsidRDefault="00F57EFE" w:rsidP="00F57EFE">
      <w:pPr>
        <w:pStyle w:val="ListParagraph"/>
        <w:widowControl/>
        <w:numPr>
          <w:ilvl w:val="0"/>
          <w:numId w:val="1"/>
        </w:numPr>
        <w:spacing w:before="100" w:beforeAutospacing="1" w:after="100" w:afterAutospacing="1"/>
        <w:ind w:leftChars="0"/>
        <w:jc w:val="left"/>
        <w:rPr>
          <w:rFonts w:ascii="Arial" w:eastAsia="MS PGothic" w:hAnsi="Arial" w:cs="Arial"/>
          <w:kern w:val="0"/>
          <w:szCs w:val="21"/>
        </w:rPr>
      </w:pPr>
      <w:r>
        <w:rPr>
          <w:rFonts w:ascii="Arial" w:eastAsia="MS PGothic" w:hAnsi="Arial" w:cs="Arial" w:hint="eastAsia"/>
          <w:kern w:val="0"/>
          <w:szCs w:val="21"/>
        </w:rPr>
        <w:t>S</w:t>
      </w:r>
      <w:r>
        <w:rPr>
          <w:rFonts w:ascii="Arial" w:eastAsia="MS PGothic" w:hAnsi="Arial" w:cs="Arial"/>
          <w:kern w:val="0"/>
          <w:szCs w:val="21"/>
        </w:rPr>
        <w:t xml:space="preserve">himizu, K., Hozumi, A. &amp; Aoki, K. Organization of vascular cells in the haustorium of the parasitic flowering plant </w:t>
      </w:r>
      <w:r>
        <w:rPr>
          <w:rFonts w:ascii="Arial" w:eastAsia="MS PGothic" w:hAnsi="Arial" w:cs="Arial"/>
          <w:i/>
          <w:kern w:val="0"/>
          <w:szCs w:val="21"/>
        </w:rPr>
        <w:t>Cuscuta japonica</w:t>
      </w:r>
      <w:r>
        <w:rPr>
          <w:rFonts w:ascii="Arial" w:eastAsia="MS PGothic" w:hAnsi="Arial" w:cs="Arial"/>
          <w:kern w:val="0"/>
          <w:szCs w:val="21"/>
        </w:rPr>
        <w:t xml:space="preserve">. </w:t>
      </w:r>
      <w:r>
        <w:rPr>
          <w:rFonts w:ascii="Arial" w:eastAsia="MS PGothic" w:hAnsi="Arial" w:cs="Arial"/>
          <w:i/>
          <w:kern w:val="0"/>
          <w:szCs w:val="21"/>
        </w:rPr>
        <w:t>Plant Cell Physiol</w:t>
      </w:r>
      <w:r>
        <w:rPr>
          <w:rFonts w:ascii="Arial" w:eastAsia="MS PGothic" w:hAnsi="Arial" w:cs="Arial"/>
          <w:kern w:val="0"/>
          <w:szCs w:val="21"/>
        </w:rPr>
        <w:t xml:space="preserve">. </w:t>
      </w:r>
      <w:r>
        <w:rPr>
          <w:rFonts w:ascii="Arial" w:eastAsia="MS PGothic" w:hAnsi="Arial" w:cs="Arial"/>
          <w:b/>
          <w:kern w:val="0"/>
          <w:szCs w:val="21"/>
        </w:rPr>
        <w:t>59</w:t>
      </w:r>
      <w:r>
        <w:rPr>
          <w:rFonts w:ascii="Arial" w:eastAsia="MS PGothic" w:hAnsi="Arial" w:cs="Arial"/>
          <w:kern w:val="0"/>
          <w:szCs w:val="21"/>
        </w:rPr>
        <w:t>, 720-728 (2018).</w:t>
      </w:r>
    </w:p>
    <w:p w14:paraId="2BDE4327" w14:textId="77777777" w:rsidR="00F57EFE" w:rsidRDefault="00F57EFE" w:rsidP="00F57EFE">
      <w:pPr>
        <w:pStyle w:val="ListParagraph"/>
        <w:widowControl/>
        <w:numPr>
          <w:ilvl w:val="0"/>
          <w:numId w:val="1"/>
        </w:numPr>
        <w:spacing w:before="100" w:beforeAutospacing="1" w:after="100" w:afterAutospacing="1"/>
        <w:ind w:leftChars="0"/>
        <w:jc w:val="left"/>
        <w:rPr>
          <w:rFonts w:ascii="Arial" w:eastAsia="MS PGothic" w:hAnsi="Arial" w:cs="Arial"/>
          <w:kern w:val="0"/>
          <w:szCs w:val="21"/>
        </w:rPr>
      </w:pPr>
      <w:r>
        <w:rPr>
          <w:rFonts w:ascii="Arial" w:eastAsia="MS PGothic" w:hAnsi="Arial" w:cs="Arial"/>
          <w:kern w:val="0"/>
          <w:szCs w:val="21"/>
        </w:rPr>
        <w:t xml:space="preserve">Ono, E. </w:t>
      </w:r>
      <w:r>
        <w:rPr>
          <w:rFonts w:ascii="Arial" w:eastAsia="MS PGothic" w:hAnsi="Arial" w:cs="Arial"/>
          <w:i/>
          <w:iCs/>
          <w:kern w:val="0"/>
          <w:szCs w:val="21"/>
        </w:rPr>
        <w:t>et al.</w:t>
      </w:r>
      <w:r>
        <w:rPr>
          <w:rFonts w:ascii="Arial" w:eastAsia="MS PGothic" w:hAnsi="Arial" w:cs="Arial"/>
          <w:kern w:val="0"/>
          <w:szCs w:val="21"/>
        </w:rPr>
        <w:t xml:space="preserve"> Formation of a methylenedioxy bridge in (+)-epipinoresinol by CYP81Q3 corroborates with diastereomeric specialization in sesame lignans. </w:t>
      </w:r>
      <w:r>
        <w:rPr>
          <w:rFonts w:ascii="Arial" w:eastAsia="MS PGothic" w:hAnsi="Arial" w:cs="Arial"/>
          <w:i/>
          <w:iCs/>
          <w:kern w:val="0"/>
          <w:szCs w:val="21"/>
        </w:rPr>
        <w:t>Plant Cell Physiol.</w:t>
      </w:r>
      <w:r>
        <w:rPr>
          <w:rFonts w:ascii="Arial" w:eastAsia="MS PGothic" w:hAnsi="Arial" w:cs="Arial"/>
          <w:kern w:val="0"/>
          <w:szCs w:val="21"/>
        </w:rPr>
        <w:t xml:space="preserve"> </w:t>
      </w:r>
      <w:r>
        <w:rPr>
          <w:rFonts w:ascii="Arial" w:eastAsia="MS PGothic" w:hAnsi="Arial" w:cs="Arial"/>
          <w:b/>
          <w:bCs/>
          <w:kern w:val="0"/>
          <w:szCs w:val="21"/>
        </w:rPr>
        <w:t>59,</w:t>
      </w:r>
      <w:r>
        <w:rPr>
          <w:rFonts w:ascii="Arial" w:eastAsia="MS PGothic" w:hAnsi="Arial" w:cs="Arial"/>
          <w:kern w:val="0"/>
          <w:szCs w:val="21"/>
        </w:rPr>
        <w:t xml:space="preserve"> 2278–2287 (2018).</w:t>
      </w:r>
    </w:p>
    <w:p w14:paraId="08C2FC0C" w14:textId="77777777" w:rsidR="00F57EFE" w:rsidRDefault="00F57EFE" w:rsidP="00F57EFE">
      <w:pPr>
        <w:pStyle w:val="ListParagraph"/>
        <w:widowControl/>
        <w:numPr>
          <w:ilvl w:val="0"/>
          <w:numId w:val="1"/>
        </w:numPr>
        <w:spacing w:before="100" w:beforeAutospacing="1" w:after="100" w:afterAutospacing="1"/>
        <w:ind w:leftChars="0"/>
        <w:jc w:val="left"/>
        <w:rPr>
          <w:rFonts w:ascii="Arial" w:eastAsia="MS PGothic" w:hAnsi="Arial" w:cs="Arial"/>
          <w:kern w:val="0"/>
          <w:szCs w:val="21"/>
        </w:rPr>
      </w:pPr>
      <w:r>
        <w:rPr>
          <w:rFonts w:ascii="Arial" w:eastAsia="MS PGothic" w:hAnsi="Arial" w:cs="Arial"/>
          <w:kern w:val="0"/>
          <w:szCs w:val="21"/>
        </w:rPr>
        <w:t xml:space="preserve">Mao, L. </w:t>
      </w:r>
      <w:r>
        <w:rPr>
          <w:rFonts w:ascii="Arial" w:eastAsia="MS PGothic" w:hAnsi="Arial" w:cs="Arial"/>
          <w:i/>
          <w:iCs/>
          <w:kern w:val="0"/>
          <w:szCs w:val="21"/>
        </w:rPr>
        <w:t>et al.</w:t>
      </w:r>
      <w:r>
        <w:rPr>
          <w:rFonts w:ascii="Arial" w:eastAsia="MS PGothic" w:hAnsi="Arial" w:cs="Arial"/>
          <w:kern w:val="0"/>
          <w:szCs w:val="21"/>
        </w:rPr>
        <w:t xml:space="preserve"> Genomic evidence for convergent evolution of gene clusters for momilactone biosynthesis in land plants. </w:t>
      </w:r>
      <w:r>
        <w:rPr>
          <w:rFonts w:ascii="Arial" w:eastAsia="MS PGothic" w:hAnsi="Arial" w:cs="Arial"/>
          <w:i/>
          <w:iCs/>
          <w:kern w:val="0"/>
          <w:szCs w:val="21"/>
        </w:rPr>
        <w:t>Proc. Natl. Acad. Sci. USA</w:t>
      </w:r>
      <w:r>
        <w:rPr>
          <w:rFonts w:ascii="Arial" w:eastAsia="MS PGothic" w:hAnsi="Arial" w:cs="Arial"/>
          <w:kern w:val="0"/>
          <w:szCs w:val="21"/>
        </w:rPr>
        <w:t xml:space="preserve"> </w:t>
      </w:r>
      <w:r>
        <w:rPr>
          <w:rFonts w:ascii="Arial" w:eastAsia="MS PGothic" w:hAnsi="Arial" w:cs="Arial"/>
          <w:b/>
          <w:kern w:val="0"/>
          <w:szCs w:val="21"/>
        </w:rPr>
        <w:t>117</w:t>
      </w:r>
      <w:r>
        <w:rPr>
          <w:rFonts w:ascii="Arial" w:eastAsia="MS PGothic" w:hAnsi="Arial" w:cs="Arial"/>
          <w:kern w:val="0"/>
          <w:szCs w:val="21"/>
        </w:rPr>
        <w:t>, 12472-12480 (2020).</w:t>
      </w:r>
    </w:p>
    <w:p w14:paraId="3B4C19C6" w14:textId="77777777" w:rsidR="00F57EFE" w:rsidRDefault="00F57EFE" w:rsidP="00F57EFE">
      <w:pPr>
        <w:pStyle w:val="ListParagraph"/>
        <w:widowControl/>
        <w:numPr>
          <w:ilvl w:val="0"/>
          <w:numId w:val="1"/>
        </w:numPr>
        <w:spacing w:before="100" w:beforeAutospacing="1" w:after="100" w:afterAutospacing="1"/>
        <w:ind w:leftChars="0"/>
        <w:jc w:val="left"/>
        <w:rPr>
          <w:rFonts w:ascii="Arial" w:eastAsia="MS PGothic" w:hAnsi="Arial" w:cs="Arial"/>
          <w:kern w:val="0"/>
          <w:szCs w:val="21"/>
        </w:rPr>
      </w:pPr>
      <w:r>
        <w:rPr>
          <w:rFonts w:ascii="Arial" w:eastAsia="MS PGothic" w:hAnsi="Arial" w:cs="Arial"/>
          <w:kern w:val="0"/>
          <w:szCs w:val="21"/>
        </w:rPr>
        <w:t xml:space="preserve">Olszewski, M., Dilliott, M., García-Ruiz, I., Bendarvandi, B. &amp; Costea, M. </w:t>
      </w:r>
      <w:r>
        <w:rPr>
          <w:rFonts w:ascii="Arial" w:eastAsia="MS PGothic" w:hAnsi="Arial" w:cs="Arial"/>
          <w:i/>
          <w:kern w:val="0"/>
          <w:szCs w:val="21"/>
        </w:rPr>
        <w:t xml:space="preserve">Cuscuta </w:t>
      </w:r>
      <w:r>
        <w:rPr>
          <w:rFonts w:ascii="Arial" w:eastAsia="MS PGothic" w:hAnsi="Arial" w:cs="Arial"/>
          <w:kern w:val="0"/>
          <w:szCs w:val="21"/>
        </w:rPr>
        <w:t xml:space="preserve">seeds: Diversity and evolution, value for systematics/identification and exploration of allometric relationships. </w:t>
      </w:r>
      <w:r>
        <w:rPr>
          <w:rFonts w:ascii="Arial" w:eastAsia="MS PGothic" w:hAnsi="Arial" w:cs="Arial"/>
          <w:i/>
          <w:kern w:val="0"/>
          <w:szCs w:val="21"/>
        </w:rPr>
        <w:t>PLoS One</w:t>
      </w:r>
      <w:r>
        <w:rPr>
          <w:rFonts w:ascii="Arial" w:eastAsia="MS PGothic" w:hAnsi="Arial" w:cs="Arial"/>
          <w:kern w:val="0"/>
          <w:szCs w:val="21"/>
        </w:rPr>
        <w:t xml:space="preserve"> </w:t>
      </w:r>
      <w:r>
        <w:rPr>
          <w:rFonts w:ascii="Arial" w:eastAsia="MS PGothic" w:hAnsi="Arial" w:cs="Arial"/>
          <w:b/>
          <w:kern w:val="0"/>
          <w:szCs w:val="21"/>
        </w:rPr>
        <w:t>15</w:t>
      </w:r>
      <w:r>
        <w:rPr>
          <w:rFonts w:ascii="Arial" w:eastAsia="MS PGothic" w:hAnsi="Arial" w:cs="Arial"/>
          <w:kern w:val="0"/>
          <w:szCs w:val="21"/>
        </w:rPr>
        <w:t>, e0234627 (2020).</w:t>
      </w:r>
    </w:p>
    <w:p w14:paraId="71858A5B" w14:textId="77777777" w:rsidR="00F57EFE" w:rsidRDefault="00F57EFE" w:rsidP="00F57EFE">
      <w:pPr>
        <w:pStyle w:val="ListParagraph"/>
        <w:widowControl/>
        <w:numPr>
          <w:ilvl w:val="0"/>
          <w:numId w:val="1"/>
        </w:numPr>
        <w:spacing w:before="100" w:beforeAutospacing="1" w:after="100" w:afterAutospacing="1"/>
        <w:ind w:leftChars="0"/>
        <w:jc w:val="left"/>
        <w:rPr>
          <w:rFonts w:ascii="Arial" w:eastAsia="MS PGothic" w:hAnsi="Arial" w:cs="Arial"/>
          <w:kern w:val="0"/>
          <w:szCs w:val="21"/>
        </w:rPr>
      </w:pPr>
      <w:r>
        <w:rPr>
          <w:rFonts w:ascii="Arial" w:eastAsia="MS PGothic" w:hAnsi="Arial" w:cs="Arial"/>
          <w:kern w:val="0"/>
          <w:szCs w:val="21"/>
        </w:rPr>
        <w:t xml:space="preserve">Yang, Z. </w:t>
      </w:r>
      <w:r>
        <w:rPr>
          <w:rFonts w:ascii="Arial" w:eastAsia="MS PGothic" w:hAnsi="Arial" w:cs="Arial"/>
          <w:i/>
          <w:iCs/>
          <w:kern w:val="0"/>
          <w:szCs w:val="21"/>
        </w:rPr>
        <w:t>et al.</w:t>
      </w:r>
      <w:r>
        <w:rPr>
          <w:rFonts w:ascii="Arial" w:eastAsia="MS PGothic" w:hAnsi="Arial" w:cs="Arial"/>
          <w:kern w:val="0"/>
          <w:szCs w:val="21"/>
        </w:rPr>
        <w:t xml:space="preserve"> Convergent horizontal gene transfer and cross-talk of mobile nucleic acids in parasitic plants. </w:t>
      </w:r>
      <w:r>
        <w:rPr>
          <w:rFonts w:ascii="Arial" w:eastAsia="MS PGothic" w:hAnsi="Arial" w:cs="Arial"/>
          <w:i/>
          <w:iCs/>
          <w:kern w:val="0"/>
          <w:szCs w:val="21"/>
        </w:rPr>
        <w:t>Nat. Plants</w:t>
      </w:r>
      <w:r>
        <w:rPr>
          <w:rFonts w:ascii="Arial" w:eastAsia="MS PGothic" w:hAnsi="Arial" w:cs="Arial"/>
          <w:kern w:val="0"/>
          <w:szCs w:val="21"/>
        </w:rPr>
        <w:t xml:space="preserve"> </w:t>
      </w:r>
      <w:r>
        <w:rPr>
          <w:rFonts w:ascii="Arial" w:eastAsia="MS PGothic" w:hAnsi="Arial" w:cs="Arial"/>
          <w:b/>
          <w:bCs/>
          <w:kern w:val="0"/>
          <w:szCs w:val="21"/>
        </w:rPr>
        <w:t>5,</w:t>
      </w:r>
      <w:r>
        <w:rPr>
          <w:rFonts w:ascii="Arial" w:eastAsia="MS PGothic" w:hAnsi="Arial" w:cs="Arial"/>
          <w:kern w:val="0"/>
          <w:szCs w:val="21"/>
        </w:rPr>
        <w:t xml:space="preserve"> 991–1001 (2019).</w:t>
      </w:r>
    </w:p>
    <w:p w14:paraId="2B19C590" w14:textId="77777777" w:rsidR="00F57EFE" w:rsidRDefault="00F57EFE" w:rsidP="00F57EFE">
      <w:pPr>
        <w:widowControl/>
        <w:spacing w:before="100" w:beforeAutospacing="1" w:after="100" w:afterAutospacing="1"/>
        <w:jc w:val="left"/>
        <w:rPr>
          <w:rFonts w:ascii="Arial" w:eastAsia="MS PGothic" w:hAnsi="Arial" w:cs="Arial"/>
          <w:kern w:val="0"/>
          <w:szCs w:val="21"/>
        </w:rPr>
      </w:pPr>
    </w:p>
    <w:p w14:paraId="16BCEC92" w14:textId="77777777" w:rsidR="00F57EFE" w:rsidRDefault="00F57EFE">
      <w:bookmarkStart w:id="0" w:name="_GoBack"/>
      <w:bookmarkEnd w:id="0"/>
    </w:p>
    <w:sectPr w:rsidR="00F57EFE">
      <w:headerReference w:type="default" r:id="rId5"/>
      <w:footerReference w:type="even" r:id="rId6"/>
      <w:footerReference w:type="default" r:id="rId7"/>
      <w:pgSz w:w="11906" w:h="16838"/>
      <w:pgMar w:top="1985" w:right="1701" w:bottom="1701" w:left="1701" w:header="851" w:footer="992" w:gutter="0"/>
      <w:lnNumType w:countBy="1" w:restart="continuous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00000000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186733249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ECD038D" w14:textId="77777777" w:rsidR="009C60CE" w:rsidRDefault="00BE707B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A0E2F96" w14:textId="77777777" w:rsidR="009C60CE" w:rsidRDefault="00BE707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438991836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3088643B" w14:textId="77777777" w:rsidR="009C60CE" w:rsidRDefault="00BE707B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7B79EFB1" w14:textId="77777777" w:rsidR="009C60CE" w:rsidRDefault="00BE707B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666746727"/>
      <w:docPartObj>
        <w:docPartGallery w:val="Watermarks"/>
        <w:docPartUnique/>
      </w:docPartObj>
    </w:sdtPr>
    <w:sdtEndPr/>
    <w:sdtContent>
      <w:p w14:paraId="159C03BF" w14:textId="77777777" w:rsidR="009C60CE" w:rsidRDefault="00BE707B">
        <w:pPr>
          <w:pStyle w:val="Header"/>
        </w:pPr>
        <w:r>
          <w:rPr>
            <w:noProof/>
          </w:rPr>
          <w:pict w14:anchorId="1A1FA9B8">
            <v:shapetype id="_x0000_t202" coordsize="21600,21600" o:spt="202" path="m,l,21600r21600,l21600,xe">
              <v:stroke joinstyle="miter"/>
              <v:path gradientshapeok="t" o:connecttype="rect"/>
            </v:shapetype>
            <v:shape id="PowerPlusWaterMarkObject357476642" o:spid="_x0000_s2049" type="#_x0000_t202" style="position:absolute;left:0;text-align:left;margin-left:0;margin-top:0;width:527.85pt;height:131.95pt;rotation:-45;z-index:-251657216;visibility:hidden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" o:allowincell="f" filled="f" stroked="f">
              <v:stroke joinstyle="round"/>
              <o:lock v:ext="edit" rotation="t" aspectratio="t" verticies="t" adjusthandles="t" grouping="t" shapetype="t"/>
              <v:textbox>
                <w:txbxContent>
                  <w:p w14:paraId="38539A3C" w14:textId="77777777" w:rsidR="00E90003" w:rsidRDefault="00BE707B" w:rsidP="00E90003">
                    <w:pPr>
                      <w:pStyle w:val="NormalWeb"/>
                      <w:jc w:val="center"/>
                    </w:pPr>
                    <w:r>
                      <w:rPr>
                        <w:rFonts w:ascii="Calibri" w:hAnsi="Calibri" w:cs="Calibri"/>
                        <w:color w:val="C0C0C0"/>
                        <w:sz w:val="72"/>
                        <w:szCs w:val="7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  <w:t>CONFIDENTIAL</w:t>
                    </w:r>
                  </w:p>
                </w:txbxContent>
              </v:textbox>
              <w10:wrap anchorx="margin" anchory="margin"/>
            </v:shape>
          </w:pict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39576F"/>
    <w:multiLevelType w:val="hybridMultilevel"/>
    <w:tmpl w:val="A7DAC098"/>
    <w:lvl w:ilvl="0" w:tplc="E71498D8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0"/>
    <w:lvlOverride w:ilvl="0">
      <w:lvl w:ilvl="0" w:tplc="E71498D8">
        <w:start w:val="1"/>
        <w:numFmt w:val="decimal"/>
        <w:lvlText w:val="%1."/>
        <w:lvlJc w:val="left"/>
        <w:pPr>
          <w:ind w:left="420" w:hanging="420"/>
        </w:pPr>
        <w:rPr>
          <w:rFonts w:hint="eastAsia"/>
        </w:rPr>
      </w:lvl>
    </w:lvlOverride>
    <w:lvlOverride w:ilvl="1">
      <w:lvl w:ilvl="1" w:tplc="04090017" w:tentative="1">
        <w:start w:val="1"/>
        <w:numFmt w:val="aiueoFullWidth"/>
        <w:lvlText w:val="(%2)"/>
        <w:lvlJc w:val="left"/>
        <w:pPr>
          <w:ind w:left="840" w:hanging="420"/>
        </w:pPr>
      </w:lvl>
    </w:lvlOverride>
    <w:lvlOverride w:ilvl="2">
      <w:lvl w:ilvl="2" w:tplc="04090011" w:tentative="1">
        <w:start w:val="1"/>
        <w:numFmt w:val="decimalEnclosedCircle"/>
        <w:lvlText w:val="%3"/>
        <w:lvlJc w:val="left"/>
        <w:pPr>
          <w:ind w:left="1260" w:hanging="42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1680" w:hanging="420"/>
        </w:pPr>
      </w:lvl>
    </w:lvlOverride>
    <w:lvlOverride w:ilvl="4">
      <w:lvl w:ilvl="4" w:tplc="04090017" w:tentative="1">
        <w:start w:val="1"/>
        <w:numFmt w:val="aiueoFullWidth"/>
        <w:lvlText w:val="(%5)"/>
        <w:lvlJc w:val="left"/>
        <w:pPr>
          <w:ind w:left="2100" w:hanging="420"/>
        </w:pPr>
      </w:lvl>
    </w:lvlOverride>
    <w:lvlOverride w:ilvl="5">
      <w:lvl w:ilvl="5" w:tplc="04090011" w:tentative="1">
        <w:start w:val="1"/>
        <w:numFmt w:val="decimalEnclosedCircle"/>
        <w:lvlText w:val="%6"/>
        <w:lvlJc w:val="left"/>
        <w:pPr>
          <w:ind w:left="2520" w:hanging="42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2940" w:hanging="420"/>
        </w:pPr>
      </w:lvl>
    </w:lvlOverride>
    <w:lvlOverride w:ilvl="7">
      <w:lvl w:ilvl="7" w:tplc="04090017" w:tentative="1">
        <w:start w:val="1"/>
        <w:numFmt w:val="aiueoFullWidth"/>
        <w:lvlText w:val="(%8)"/>
        <w:lvlJc w:val="left"/>
        <w:pPr>
          <w:ind w:left="3360" w:hanging="420"/>
        </w:pPr>
      </w:lvl>
    </w:lvlOverride>
    <w:lvlOverride w:ilvl="8">
      <w:lvl w:ilvl="8" w:tplc="04090011" w:tentative="1">
        <w:start w:val="1"/>
        <w:numFmt w:val="decimalEnclosedCircle"/>
        <w:lvlText w:val="%9"/>
        <w:lvlJc w:val="left"/>
        <w:pPr>
          <w:ind w:left="3780" w:hanging="420"/>
        </w:p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defaultTabStop w:val="720"/>
  <w:characterSpacingControl w:val="doNotCompress"/>
  <w:hdrShapeDefaults>
    <o:shapedefaults v:ext="edit" spidmax="2050"/>
    <o:shapelayout v:ext="edit">
      <o:idmap v:ext="edit" data="2"/>
    </o:shapelayout>
  </w:hdrShapeDefaults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7EFE"/>
    <w:rsid w:val="005368F7"/>
    <w:rsid w:val="00BE707B"/>
    <w:rsid w:val="00F57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41CFA9D3"/>
  <w15:chartTrackingRefBased/>
  <w15:docId w15:val="{F2A9278C-7F55-AA46-AD11-46B2139517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57EFE"/>
    <w:pPr>
      <w:widowControl w:val="0"/>
      <w:jc w:val="both"/>
    </w:pPr>
    <w:rPr>
      <w:kern w:val="2"/>
      <w:sz w:val="21"/>
      <w:szCs w:val="22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F57EFE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F57EFE"/>
    <w:rPr>
      <w:kern w:val="2"/>
      <w:sz w:val="21"/>
      <w:szCs w:val="22"/>
      <w:lang w:eastAsia="ja-JP"/>
    </w:rPr>
  </w:style>
  <w:style w:type="character" w:styleId="PageNumber">
    <w:name w:val="page number"/>
    <w:basedOn w:val="DefaultParagraphFont"/>
    <w:uiPriority w:val="99"/>
    <w:semiHidden/>
    <w:unhideWhenUsed/>
    <w:rsid w:val="00F57EFE"/>
  </w:style>
  <w:style w:type="paragraph" w:styleId="NormalWeb">
    <w:name w:val="Normal (Web)"/>
    <w:basedOn w:val="Normal"/>
    <w:uiPriority w:val="99"/>
    <w:semiHidden/>
    <w:unhideWhenUsed/>
    <w:rsid w:val="00F57EFE"/>
    <w:rPr>
      <w:rFonts w:ascii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F57EFE"/>
    <w:pPr>
      <w:ind w:leftChars="400" w:left="960"/>
    </w:pPr>
  </w:style>
  <w:style w:type="paragraph" w:styleId="Header">
    <w:name w:val="header"/>
    <w:basedOn w:val="Normal"/>
    <w:link w:val="HeaderChar"/>
    <w:uiPriority w:val="99"/>
    <w:unhideWhenUsed/>
    <w:rsid w:val="00F57EFE"/>
    <w:pPr>
      <w:tabs>
        <w:tab w:val="center" w:pos="4419"/>
        <w:tab w:val="right" w:pos="88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57EFE"/>
    <w:rPr>
      <w:kern w:val="2"/>
      <w:sz w:val="21"/>
      <w:szCs w:val="22"/>
      <w:lang w:eastAsia="ja-JP"/>
    </w:rPr>
  </w:style>
  <w:style w:type="character" w:styleId="LineNumber">
    <w:name w:val="line number"/>
    <w:basedOn w:val="DefaultParagraphFont"/>
    <w:uiPriority w:val="99"/>
    <w:semiHidden/>
    <w:unhideWhenUsed/>
    <w:rsid w:val="00F57E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867</Words>
  <Characters>4947</Characters>
  <Application>Microsoft Office Word</Application>
  <DocSecurity>0</DocSecurity>
  <Lines>41</Lines>
  <Paragraphs>11</Paragraphs>
  <ScaleCrop>false</ScaleCrop>
  <Company/>
  <LinksUpToDate>false</LinksUpToDate>
  <CharactersWithSpaces>5803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2021-09-09T17:10:00Z</dcterms:created>
  <dcterms:modified xsi:type="dcterms:W3CDTF">2021-09-09T17:10:00Z</dcterms:modified>
</cp:coreProperties>
</file>