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ECC" w:rsidRPr="000D1B43" w:rsidRDefault="00667ECC" w:rsidP="00667ECC">
      <w:pPr>
        <w:outlineLvl w:val="0"/>
        <w:rPr>
          <w:b/>
          <w:bCs/>
          <w:kern w:val="0"/>
          <w:szCs w:val="21"/>
        </w:rPr>
      </w:pPr>
      <w:r w:rsidRPr="000D1B43">
        <w:rPr>
          <w:b/>
          <w:szCs w:val="21"/>
        </w:rPr>
        <w:t xml:space="preserve">Table S1 </w:t>
      </w:r>
      <w:r w:rsidR="000D1B43">
        <w:rPr>
          <w:b/>
          <w:szCs w:val="21"/>
        </w:rPr>
        <w:t xml:space="preserve"> </w:t>
      </w:r>
      <w:r w:rsidRPr="000D1B43">
        <w:rPr>
          <w:b/>
          <w:bCs/>
          <w:kern w:val="0"/>
          <w:szCs w:val="21"/>
        </w:rPr>
        <w:t>Nucleotide sequence</w:t>
      </w:r>
      <w:r w:rsidR="00A13053" w:rsidRPr="000D1B43">
        <w:rPr>
          <w:b/>
          <w:bCs/>
          <w:kern w:val="0"/>
          <w:szCs w:val="21"/>
        </w:rPr>
        <w:t>s</w:t>
      </w:r>
      <w:r w:rsidRPr="000D1B43">
        <w:rPr>
          <w:b/>
          <w:bCs/>
          <w:kern w:val="0"/>
          <w:szCs w:val="21"/>
        </w:rPr>
        <w:t xml:space="preserve"> of primers and probes used in the this study</w:t>
      </w:r>
      <w:r w:rsidR="00A13053" w:rsidRPr="000D1B43">
        <w:rPr>
          <w:b/>
          <w:bCs/>
          <w:kern w:val="0"/>
          <w:szCs w:val="21"/>
        </w:rPr>
        <w:br/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716"/>
        <w:gridCol w:w="1701"/>
        <w:gridCol w:w="3686"/>
      </w:tblGrid>
      <w:tr w:rsidR="00667ECC" w:rsidRPr="00667ECC" w:rsidTr="00D47BE4">
        <w:trPr>
          <w:trHeight w:val="239"/>
        </w:trPr>
        <w:tc>
          <w:tcPr>
            <w:tcW w:w="3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7ECC" w:rsidRPr="00A13053" w:rsidRDefault="00A13053" w:rsidP="00632E01">
            <w:pPr>
              <w:rPr>
                <w:b/>
                <w:szCs w:val="21"/>
              </w:rPr>
            </w:pPr>
            <w:r w:rsidRPr="00A13053">
              <w:rPr>
                <w:b/>
                <w:szCs w:val="21"/>
              </w:rPr>
              <w:t>Genes           Primers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67ECC" w:rsidRPr="00A13053" w:rsidRDefault="00667ECC" w:rsidP="00632E01">
            <w:pPr>
              <w:rPr>
                <w:b/>
                <w:szCs w:val="21"/>
              </w:rPr>
            </w:pPr>
            <w:r w:rsidRPr="00A13053">
              <w:rPr>
                <w:b/>
                <w:bCs/>
                <w:kern w:val="0"/>
                <w:szCs w:val="21"/>
              </w:rPr>
              <w:t>Sequence</w:t>
            </w:r>
            <w:r w:rsidR="00A13053">
              <w:rPr>
                <w:b/>
                <w:bCs/>
                <w:kern w:val="0"/>
                <w:szCs w:val="21"/>
              </w:rPr>
              <w:t>s</w:t>
            </w:r>
            <w:r w:rsidRPr="00A13053">
              <w:rPr>
                <w:b/>
                <w:bCs/>
                <w:kern w:val="0"/>
                <w:szCs w:val="21"/>
              </w:rPr>
              <w:t xml:space="preserve"> (5’-3’)</w:t>
            </w:r>
          </w:p>
        </w:tc>
      </w:tr>
      <w:tr w:rsidR="00667ECC" w:rsidRPr="00667ECC" w:rsidTr="00D47BE4">
        <w:trPr>
          <w:trHeight w:val="357"/>
        </w:trPr>
        <w:tc>
          <w:tcPr>
            <w:tcW w:w="1716" w:type="dxa"/>
            <w:vMerge w:val="restart"/>
            <w:tcBorders>
              <w:top w:val="single" w:sz="4" w:space="0" w:color="auto"/>
            </w:tcBorders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szCs w:val="21"/>
              </w:rPr>
              <w:t>SFTSV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Forward Primer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szCs w:val="21"/>
              </w:rPr>
              <w:t>TAAACTTCTGTCTTGCTGGCTCC</w:t>
            </w:r>
          </w:p>
        </w:tc>
      </w:tr>
      <w:tr w:rsidR="00667ECC" w:rsidRPr="00667ECC" w:rsidTr="00D47BE4">
        <w:trPr>
          <w:trHeight w:val="210"/>
        </w:trPr>
        <w:tc>
          <w:tcPr>
            <w:tcW w:w="1716" w:type="dxa"/>
            <w:vMerge/>
          </w:tcPr>
          <w:p w:rsidR="00667ECC" w:rsidRPr="00667ECC" w:rsidRDefault="00667ECC" w:rsidP="00632E01">
            <w:pPr>
              <w:rPr>
                <w:szCs w:val="21"/>
              </w:rPr>
            </w:pPr>
          </w:p>
        </w:tc>
        <w:tc>
          <w:tcPr>
            <w:tcW w:w="1701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Reverse Primer</w:t>
            </w:r>
          </w:p>
        </w:tc>
        <w:tc>
          <w:tcPr>
            <w:tcW w:w="3686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szCs w:val="21"/>
              </w:rPr>
              <w:t>TGGCAAGATGCCTTCACCA</w:t>
            </w:r>
          </w:p>
        </w:tc>
      </w:tr>
      <w:tr w:rsidR="00667ECC" w:rsidRPr="00667ECC" w:rsidTr="00D47BE4">
        <w:trPr>
          <w:trHeight w:val="120"/>
        </w:trPr>
        <w:tc>
          <w:tcPr>
            <w:tcW w:w="1716" w:type="dxa"/>
            <w:vMerge/>
          </w:tcPr>
          <w:p w:rsidR="00667ECC" w:rsidRPr="00667ECC" w:rsidRDefault="00667ECC" w:rsidP="00632E01">
            <w:pPr>
              <w:rPr>
                <w:szCs w:val="21"/>
              </w:rPr>
            </w:pPr>
          </w:p>
        </w:tc>
        <w:tc>
          <w:tcPr>
            <w:tcW w:w="1701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MGB Probe</w:t>
            </w:r>
          </w:p>
        </w:tc>
        <w:tc>
          <w:tcPr>
            <w:tcW w:w="3686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szCs w:val="21"/>
              </w:rPr>
              <w:t>CGCATCTTCACATTGAT</w:t>
            </w:r>
          </w:p>
        </w:tc>
      </w:tr>
      <w:tr w:rsidR="00667ECC" w:rsidRPr="00667ECC" w:rsidTr="00D47BE4">
        <w:trPr>
          <w:trHeight w:val="255"/>
        </w:trPr>
        <w:tc>
          <w:tcPr>
            <w:tcW w:w="1716" w:type="dxa"/>
          </w:tcPr>
          <w:p w:rsidR="00667ECC" w:rsidRPr="00667ECC" w:rsidRDefault="009E57B4" w:rsidP="00632E01">
            <w:pPr>
              <w:rPr>
                <w:szCs w:val="21"/>
              </w:rPr>
            </w:pPr>
            <w:r>
              <w:rPr>
                <w:rFonts w:eastAsia="MinionPro-Regular"/>
                <w:kern w:val="0"/>
                <w:szCs w:val="21"/>
                <w:lang w:bidi="kn-IN"/>
              </w:rPr>
              <w:t>pro</w:t>
            </w:r>
            <w:r>
              <w:rPr>
                <w:rFonts w:eastAsia="MinionPro-Regular" w:hint="eastAsia"/>
                <w:kern w:val="0"/>
                <w:szCs w:val="21"/>
                <w:lang w:bidi="kn-IN"/>
              </w:rPr>
              <w:t>-</w:t>
            </w:r>
            <w:r w:rsidR="00667ECC" w:rsidRPr="00667ECC">
              <w:rPr>
                <w:rFonts w:eastAsia="MinionPro-Regular"/>
                <w:kern w:val="0"/>
                <w:szCs w:val="21"/>
                <w:lang w:bidi="kn-IN"/>
              </w:rPr>
              <w:t>IL-1</w:t>
            </w:r>
            <w:r w:rsidR="00667ECC" w:rsidRPr="00667ECC">
              <w:rPr>
                <w:rFonts w:eastAsia="SymbolGreekU-Identity-H"/>
                <w:kern w:val="0"/>
                <w:szCs w:val="21"/>
                <w:lang w:bidi="kn-IN"/>
              </w:rPr>
              <w:t>β</w:t>
            </w:r>
          </w:p>
        </w:tc>
        <w:tc>
          <w:tcPr>
            <w:tcW w:w="1701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Forward Primer</w:t>
            </w:r>
          </w:p>
        </w:tc>
        <w:tc>
          <w:tcPr>
            <w:tcW w:w="3686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rFonts w:eastAsia="MinionPro-Regular"/>
                <w:kern w:val="0"/>
                <w:szCs w:val="21"/>
                <w:lang w:bidi="kn-IN"/>
              </w:rPr>
              <w:t>CACGATGCACCTGTACGATCA</w:t>
            </w:r>
          </w:p>
        </w:tc>
      </w:tr>
      <w:tr w:rsidR="00667ECC" w:rsidRPr="00667ECC" w:rsidTr="00D47BE4">
        <w:trPr>
          <w:trHeight w:val="351"/>
        </w:trPr>
        <w:tc>
          <w:tcPr>
            <w:tcW w:w="1716" w:type="dxa"/>
          </w:tcPr>
          <w:p w:rsidR="00667ECC" w:rsidRPr="00667ECC" w:rsidRDefault="00667ECC" w:rsidP="00632E01">
            <w:pPr>
              <w:rPr>
                <w:szCs w:val="21"/>
              </w:rPr>
            </w:pPr>
          </w:p>
        </w:tc>
        <w:tc>
          <w:tcPr>
            <w:tcW w:w="1701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Reverse Primer</w:t>
            </w:r>
          </w:p>
        </w:tc>
        <w:tc>
          <w:tcPr>
            <w:tcW w:w="3686" w:type="dxa"/>
          </w:tcPr>
          <w:p w:rsidR="00667ECC" w:rsidRPr="00667ECC" w:rsidRDefault="00667ECC" w:rsidP="00632E01">
            <w:pPr>
              <w:rPr>
                <w:szCs w:val="21"/>
              </w:rPr>
            </w:pPr>
            <w:r w:rsidRPr="00667ECC">
              <w:rPr>
                <w:rFonts w:eastAsia="MinionPro-Regular"/>
                <w:kern w:val="0"/>
                <w:szCs w:val="21"/>
                <w:lang w:bidi="kn-IN"/>
              </w:rPr>
              <w:t>AGCACTGAAAGCATGA</w:t>
            </w:r>
          </w:p>
        </w:tc>
      </w:tr>
      <w:tr w:rsidR="00D47BE4" w:rsidRPr="00667ECC" w:rsidTr="00D47BE4">
        <w:trPr>
          <w:trHeight w:val="351"/>
        </w:trPr>
        <w:tc>
          <w:tcPr>
            <w:tcW w:w="1716" w:type="dxa"/>
          </w:tcPr>
          <w:p w:rsidR="00D47BE4" w:rsidRPr="00667ECC" w:rsidRDefault="00D47BE4" w:rsidP="00D47BE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GAPDH</w:t>
            </w:r>
          </w:p>
        </w:tc>
        <w:tc>
          <w:tcPr>
            <w:tcW w:w="1701" w:type="dxa"/>
          </w:tcPr>
          <w:p w:rsidR="00D47BE4" w:rsidRPr="00667ECC" w:rsidRDefault="00D47BE4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Forward Primer</w:t>
            </w:r>
          </w:p>
        </w:tc>
        <w:tc>
          <w:tcPr>
            <w:tcW w:w="3686" w:type="dxa"/>
          </w:tcPr>
          <w:p w:rsidR="00D47BE4" w:rsidRPr="00667ECC" w:rsidRDefault="00D47BE4" w:rsidP="00632E01">
            <w:pPr>
              <w:rPr>
                <w:rFonts w:eastAsia="MinionPro-Regular"/>
                <w:kern w:val="0"/>
                <w:szCs w:val="21"/>
                <w:lang w:bidi="kn-IN"/>
              </w:rPr>
            </w:pPr>
            <w:r>
              <w:rPr>
                <w:rFonts w:eastAsia="MinionPro-Regular" w:hint="eastAsia"/>
                <w:kern w:val="0"/>
                <w:szCs w:val="21"/>
                <w:lang w:bidi="kn-IN"/>
              </w:rPr>
              <w:t>ACAGTCAGCCGCATCTTCTT</w:t>
            </w:r>
          </w:p>
        </w:tc>
      </w:tr>
      <w:tr w:rsidR="00D47BE4" w:rsidRPr="00667ECC" w:rsidTr="00D47BE4">
        <w:trPr>
          <w:trHeight w:val="351"/>
        </w:trPr>
        <w:tc>
          <w:tcPr>
            <w:tcW w:w="1716" w:type="dxa"/>
            <w:tcBorders>
              <w:bottom w:val="single" w:sz="4" w:space="0" w:color="auto"/>
            </w:tcBorders>
          </w:tcPr>
          <w:p w:rsidR="00D47BE4" w:rsidRPr="00667ECC" w:rsidRDefault="00D47BE4" w:rsidP="00632E01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47BE4" w:rsidRPr="00667ECC" w:rsidRDefault="00D47BE4" w:rsidP="00632E01">
            <w:pPr>
              <w:rPr>
                <w:szCs w:val="21"/>
              </w:rPr>
            </w:pPr>
            <w:r w:rsidRPr="00667ECC">
              <w:rPr>
                <w:kern w:val="0"/>
                <w:szCs w:val="21"/>
              </w:rPr>
              <w:t>Reverse Primer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D47BE4" w:rsidRPr="00667ECC" w:rsidRDefault="00D47BE4" w:rsidP="00632E01">
            <w:pPr>
              <w:rPr>
                <w:rFonts w:eastAsia="MinionPro-Regular"/>
                <w:kern w:val="0"/>
                <w:szCs w:val="21"/>
                <w:lang w:bidi="kn-IN"/>
              </w:rPr>
            </w:pPr>
            <w:r>
              <w:rPr>
                <w:rFonts w:eastAsia="MinionPro-Regular" w:hint="eastAsia"/>
                <w:kern w:val="0"/>
                <w:szCs w:val="21"/>
                <w:lang w:bidi="kn-IN"/>
              </w:rPr>
              <w:t>ACGACCAAATCCGTTGACTC</w:t>
            </w:r>
          </w:p>
        </w:tc>
      </w:tr>
    </w:tbl>
    <w:p w:rsidR="00D73048" w:rsidRPr="00667ECC" w:rsidRDefault="00D73048">
      <w:pPr>
        <w:rPr>
          <w:szCs w:val="21"/>
        </w:rPr>
      </w:pPr>
      <w:bookmarkStart w:id="0" w:name="_GoBack"/>
      <w:bookmarkEnd w:id="0"/>
    </w:p>
    <w:sectPr w:rsidR="00D73048" w:rsidRPr="00667ECC" w:rsidSect="00D73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ECC" w:rsidRDefault="00667ECC" w:rsidP="00667ECC">
      <w:r>
        <w:separator/>
      </w:r>
    </w:p>
  </w:endnote>
  <w:endnote w:type="continuationSeparator" w:id="0">
    <w:p w:rsidR="00667ECC" w:rsidRDefault="00667ECC" w:rsidP="0066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Times New Roman"/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SymbolGreekU-Identity-H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ECC" w:rsidRDefault="00667ECC" w:rsidP="00667ECC">
      <w:r>
        <w:separator/>
      </w:r>
    </w:p>
  </w:footnote>
  <w:footnote w:type="continuationSeparator" w:id="0">
    <w:p w:rsidR="00667ECC" w:rsidRDefault="00667ECC" w:rsidP="00667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7ECC"/>
    <w:rsid w:val="000A026A"/>
    <w:rsid w:val="000D1B43"/>
    <w:rsid w:val="00667ECC"/>
    <w:rsid w:val="009E57B4"/>
    <w:rsid w:val="00A13053"/>
    <w:rsid w:val="00D47BE4"/>
    <w:rsid w:val="00D7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F151BE"/>
  <w15:docId w15:val="{E38DE3CB-80A4-4D43-BBC0-F61F0079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ECC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6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67EC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667E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67ECC"/>
    <w:rPr>
      <w:sz w:val="18"/>
      <w:szCs w:val="18"/>
    </w:rPr>
  </w:style>
  <w:style w:type="paragraph" w:customStyle="1" w:styleId="p0">
    <w:name w:val="p0"/>
    <w:basedOn w:val="Normal"/>
    <w:rsid w:val="00667ECC"/>
    <w:pPr>
      <w:widowControl/>
    </w:pPr>
    <w:rPr>
      <w:rFonts w:ascii="Calibri" w:hAnsi="Calibri" w:cs="Calibr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Owner</cp:lastModifiedBy>
  <cp:revision>6</cp:revision>
  <dcterms:created xsi:type="dcterms:W3CDTF">2019-04-19T08:48:00Z</dcterms:created>
  <dcterms:modified xsi:type="dcterms:W3CDTF">2021-05-18T23:07:00Z</dcterms:modified>
</cp:coreProperties>
</file>