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CE976" w14:textId="77777777" w:rsidR="0047207E" w:rsidRPr="00307206" w:rsidRDefault="0047207E" w:rsidP="0047207E">
      <w:pPr>
        <w:jc w:val="both"/>
        <w:rPr>
          <w:rFonts w:ascii="Arial" w:hAnsi="Arial" w:cs="Arial"/>
          <w:b/>
          <w:bCs/>
          <w:color w:val="000000" w:themeColor="text1"/>
          <w:sz w:val="28"/>
          <w:szCs w:val="28"/>
          <w:shd w:val="clear" w:color="auto" w:fill="FFFFFF"/>
          <w:lang w:val="en-US"/>
        </w:rPr>
      </w:pPr>
      <w:r w:rsidRPr="00307206">
        <w:rPr>
          <w:rFonts w:ascii="Arial" w:hAnsi="Arial" w:cs="Arial"/>
          <w:b/>
          <w:bCs/>
          <w:color w:val="000000" w:themeColor="text1"/>
          <w:sz w:val="28"/>
          <w:szCs w:val="28"/>
          <w:shd w:val="clear" w:color="auto" w:fill="FFFFFF"/>
          <w:lang w:val="en-US"/>
        </w:rPr>
        <w:t xml:space="preserve">Extensive mobilome dynamics in a widespread endosymbiont: long read metagenomics reveal dimeric plasmids and highly fragmented prophages in </w:t>
      </w:r>
      <w:r w:rsidRPr="00307206">
        <w:rPr>
          <w:rFonts w:ascii="Arial" w:hAnsi="Arial" w:cs="Arial"/>
          <w:b/>
          <w:bCs/>
          <w:i/>
          <w:iCs/>
          <w:color w:val="000000" w:themeColor="text1"/>
          <w:sz w:val="28"/>
          <w:szCs w:val="28"/>
          <w:shd w:val="clear" w:color="auto" w:fill="FFFFFF"/>
          <w:lang w:val="en-US"/>
        </w:rPr>
        <w:t>Wolbachia</w:t>
      </w:r>
      <w:r w:rsidRPr="00307206">
        <w:rPr>
          <w:rFonts w:ascii="Arial" w:hAnsi="Arial" w:cs="Arial"/>
          <w:b/>
          <w:bCs/>
          <w:color w:val="000000" w:themeColor="text1"/>
          <w:sz w:val="28"/>
          <w:szCs w:val="28"/>
          <w:shd w:val="clear" w:color="auto" w:fill="FFFFFF"/>
          <w:lang w:val="en-US"/>
        </w:rPr>
        <w:t xml:space="preserve"> from </w:t>
      </w:r>
      <w:r w:rsidRPr="00307206">
        <w:rPr>
          <w:rStyle w:val="Emphasis"/>
          <w:rFonts w:ascii="Arial" w:hAnsi="Arial" w:cs="Arial"/>
          <w:b/>
          <w:bCs/>
          <w:color w:val="000000" w:themeColor="text1"/>
          <w:sz w:val="28"/>
          <w:szCs w:val="28"/>
          <w:shd w:val="clear" w:color="auto" w:fill="FFFFFF"/>
          <w:lang w:val="en-US"/>
        </w:rPr>
        <w:t xml:space="preserve">Culex </w:t>
      </w:r>
      <w:proofErr w:type="spellStart"/>
      <w:r w:rsidRPr="00307206">
        <w:rPr>
          <w:rStyle w:val="Emphasis"/>
          <w:rFonts w:ascii="Arial" w:hAnsi="Arial" w:cs="Arial"/>
          <w:b/>
          <w:bCs/>
          <w:color w:val="000000" w:themeColor="text1"/>
          <w:sz w:val="28"/>
          <w:szCs w:val="28"/>
          <w:shd w:val="clear" w:color="auto" w:fill="FFFFFF"/>
          <w:lang w:val="en-US"/>
        </w:rPr>
        <w:t>pipiens</w:t>
      </w:r>
      <w:proofErr w:type="spellEnd"/>
      <w:r w:rsidRPr="00307206">
        <w:rPr>
          <w:rFonts w:ascii="Arial" w:hAnsi="Arial" w:cs="Arial"/>
          <w:b/>
          <w:bCs/>
          <w:color w:val="000000" w:themeColor="text1"/>
          <w:sz w:val="28"/>
          <w:szCs w:val="28"/>
          <w:shd w:val="clear" w:color="auto" w:fill="FFFFFF"/>
          <w:lang w:val="en-US"/>
        </w:rPr>
        <w:t> </w:t>
      </w:r>
    </w:p>
    <w:p w14:paraId="6A40F25C" w14:textId="3B6AF87A" w:rsidR="006E2813" w:rsidRPr="001F47DB" w:rsidRDefault="006E2813" w:rsidP="00D6155D">
      <w:pPr>
        <w:spacing w:line="360" w:lineRule="auto"/>
        <w:jc w:val="both"/>
        <w:rPr>
          <w:rFonts w:ascii="Arial" w:hAnsi="Arial" w:cs="Arial"/>
          <w:b/>
          <w:bCs/>
          <w:color w:val="000000" w:themeColor="text1"/>
          <w:sz w:val="22"/>
          <w:szCs w:val="22"/>
          <w:lang w:val="en-US"/>
        </w:rPr>
      </w:pPr>
    </w:p>
    <w:p w14:paraId="39C2BEF4" w14:textId="77777777" w:rsidR="006E2813" w:rsidRPr="001F47DB" w:rsidRDefault="006E2813" w:rsidP="00D6155D">
      <w:pPr>
        <w:spacing w:line="360" w:lineRule="auto"/>
        <w:jc w:val="both"/>
        <w:rPr>
          <w:rFonts w:ascii="Arial" w:hAnsi="Arial" w:cs="Arial"/>
          <w:sz w:val="22"/>
          <w:szCs w:val="22"/>
          <w:lang w:val="en-US"/>
        </w:rPr>
      </w:pPr>
    </w:p>
    <w:p w14:paraId="7F24672F" w14:textId="38161877" w:rsidR="006E2813" w:rsidRPr="004E04FB" w:rsidRDefault="00AA1B7B" w:rsidP="007C30AA">
      <w:pPr>
        <w:rPr>
          <w:rFonts w:ascii="Arial" w:hAnsi="Arial" w:cs="Arial"/>
          <w:b/>
          <w:bCs/>
          <w:sz w:val="28"/>
          <w:szCs w:val="28"/>
          <w:lang w:val="en-US"/>
        </w:rPr>
      </w:pPr>
      <w:r w:rsidRPr="004E04FB">
        <w:rPr>
          <w:rFonts w:ascii="Arial" w:hAnsi="Arial" w:cs="Arial"/>
          <w:b/>
          <w:bCs/>
          <w:sz w:val="28"/>
          <w:szCs w:val="28"/>
          <w:lang w:val="en-US"/>
        </w:rPr>
        <w:t>Supplementary Figures:</w:t>
      </w:r>
    </w:p>
    <w:p w14:paraId="32978065" w14:textId="77777777" w:rsidR="006E2813" w:rsidRPr="001F47DB" w:rsidRDefault="006E2813" w:rsidP="00D6155D">
      <w:pPr>
        <w:spacing w:line="360" w:lineRule="auto"/>
        <w:jc w:val="both"/>
        <w:rPr>
          <w:rFonts w:ascii="Arial" w:hAnsi="Arial" w:cs="Arial"/>
          <w:sz w:val="22"/>
          <w:szCs w:val="22"/>
          <w:lang w:val="en-US"/>
        </w:rPr>
      </w:pPr>
    </w:p>
    <w:p w14:paraId="79256201" w14:textId="7AAB698F" w:rsidR="006E2813" w:rsidRPr="001F47DB" w:rsidRDefault="009D46B0" w:rsidP="00D6155D">
      <w:pPr>
        <w:spacing w:line="360" w:lineRule="auto"/>
        <w:jc w:val="both"/>
        <w:rPr>
          <w:rFonts w:ascii="Arial" w:hAnsi="Arial" w:cs="Arial"/>
          <w:sz w:val="22"/>
          <w:szCs w:val="22"/>
          <w:lang w:val="en-US"/>
        </w:rPr>
      </w:pPr>
      <w:r w:rsidRPr="001F47DB">
        <w:rPr>
          <w:rFonts w:ascii="Arial" w:hAnsi="Arial" w:cs="Arial"/>
          <w:noProof/>
          <w:sz w:val="22"/>
          <w:szCs w:val="22"/>
          <w:lang w:val="en-US"/>
        </w:rPr>
        <w:drawing>
          <wp:inline distT="0" distB="0" distL="0" distR="0" wp14:anchorId="1CFD8F8F" wp14:editId="72CB24A3">
            <wp:extent cx="5702709" cy="3618230"/>
            <wp:effectExtent l="0" t="0" r="0" b="1270"/>
            <wp:docPr id="2147292830" name="Image 2" descr="Une image contenant texte, capture d’écran, reçu,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2830" name="Image 2" descr="Une image contenant texte, capture d’écran, reçu, Police&#10;&#10;Le contenu généré par l’IA peut être incorrect."/>
                    <pic:cNvPicPr/>
                  </pic:nvPicPr>
                  <pic:blipFill rotWithShape="1">
                    <a:blip r:embed="rId4" cstate="print">
                      <a:extLst>
                        <a:ext uri="{28A0092B-C50C-407E-A947-70E740481C1C}">
                          <a14:useLocalDpi xmlns:a14="http://schemas.microsoft.com/office/drawing/2010/main" val="0"/>
                        </a:ext>
                      </a:extLst>
                    </a:blip>
                    <a:srcRect r="1006" b="2464"/>
                    <a:stretch>
                      <a:fillRect/>
                    </a:stretch>
                  </pic:blipFill>
                  <pic:spPr bwMode="auto">
                    <a:xfrm>
                      <a:off x="0" y="0"/>
                      <a:ext cx="5702774" cy="3618271"/>
                    </a:xfrm>
                    <a:prstGeom prst="rect">
                      <a:avLst/>
                    </a:prstGeom>
                    <a:ln>
                      <a:noFill/>
                    </a:ln>
                    <a:extLst>
                      <a:ext uri="{53640926-AAD7-44D8-BBD7-CCE9431645EC}">
                        <a14:shadowObscured xmlns:a14="http://schemas.microsoft.com/office/drawing/2010/main"/>
                      </a:ext>
                    </a:extLst>
                  </pic:spPr>
                </pic:pic>
              </a:graphicData>
            </a:graphic>
          </wp:inline>
        </w:drawing>
      </w:r>
    </w:p>
    <w:p w14:paraId="2A2DACDC" w14:textId="43EB528C" w:rsidR="006E2813" w:rsidRPr="001F47DB" w:rsidRDefault="006E2813" w:rsidP="00D6155D">
      <w:pPr>
        <w:spacing w:line="360" w:lineRule="auto"/>
        <w:jc w:val="both"/>
        <w:rPr>
          <w:rFonts w:ascii="Arial" w:hAnsi="Arial" w:cs="Arial"/>
          <w:sz w:val="22"/>
          <w:szCs w:val="22"/>
          <w:lang w:val="en-US"/>
        </w:rPr>
      </w:pPr>
    </w:p>
    <w:p w14:paraId="354D4E5C" w14:textId="2B6FEEFB"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1:</w:t>
      </w:r>
      <w:r w:rsidRPr="001F47DB">
        <w:rPr>
          <w:rFonts w:ascii="Arial" w:hAnsi="Arial" w:cs="Arial"/>
          <w:sz w:val="22"/>
          <w:szCs w:val="22"/>
          <w:lang w:val="en-US"/>
        </w:rPr>
        <w:t xml:space="preserve"> </w:t>
      </w:r>
      <w:r w:rsidRPr="001F47DB">
        <w:rPr>
          <w:rFonts w:ascii="Arial" w:hAnsi="Arial" w:cs="Arial"/>
          <w:b/>
          <w:bCs/>
          <w:sz w:val="22"/>
          <w:szCs w:val="22"/>
          <w:lang w:val="en-US"/>
        </w:rPr>
        <w:t xml:space="preserve">Phylogenetic placement of </w:t>
      </w:r>
      <w:r w:rsidRPr="001F47DB">
        <w:rPr>
          <w:rFonts w:ascii="Arial" w:hAnsi="Arial" w:cs="Arial"/>
          <w:b/>
          <w:bCs/>
          <w:i/>
          <w:iCs/>
          <w:sz w:val="22"/>
          <w:szCs w:val="22"/>
          <w:lang w:val="en-US"/>
        </w:rPr>
        <w:t>w</w:t>
      </w:r>
      <w:r w:rsidRPr="001F47DB">
        <w:rPr>
          <w:rFonts w:ascii="Arial" w:hAnsi="Arial" w:cs="Arial"/>
          <w:b/>
          <w:bCs/>
          <w:sz w:val="22"/>
          <w:szCs w:val="22"/>
          <w:lang w:val="en-US"/>
        </w:rPr>
        <w:t xml:space="preserve">PipCelG within the </w:t>
      </w:r>
      <w:r w:rsidRPr="001F47DB">
        <w:rPr>
          <w:rFonts w:ascii="Arial" w:hAnsi="Arial" w:cs="Arial"/>
          <w:b/>
          <w:bCs/>
          <w:i/>
          <w:iCs/>
          <w:sz w:val="22"/>
          <w:szCs w:val="22"/>
          <w:lang w:val="en-US"/>
        </w:rPr>
        <w:t>w</w:t>
      </w:r>
      <w:r w:rsidRPr="001F47DB">
        <w:rPr>
          <w:rFonts w:ascii="Arial" w:hAnsi="Arial" w:cs="Arial"/>
          <w:b/>
          <w:bCs/>
          <w:sz w:val="22"/>
          <w:szCs w:val="22"/>
          <w:lang w:val="en-US"/>
        </w:rPr>
        <w:t>Pip groups</w:t>
      </w:r>
      <w:r w:rsidRPr="001F47DB">
        <w:rPr>
          <w:rFonts w:ascii="Arial" w:hAnsi="Arial" w:cs="Arial"/>
          <w:sz w:val="22"/>
          <w:szCs w:val="22"/>
          <w:lang w:val="en-US"/>
        </w:rPr>
        <w:t>. Maximum Likelihood phylogeny inferred from the concatenated alignment of six genes (</w:t>
      </w:r>
      <w:proofErr w:type="spellStart"/>
      <w:r w:rsidRPr="001F47DB">
        <w:rPr>
          <w:rFonts w:ascii="Arial" w:hAnsi="Arial" w:cs="Arial"/>
          <w:i/>
          <w:iCs/>
          <w:sz w:val="22"/>
          <w:szCs w:val="22"/>
          <w:lang w:val="en-US"/>
        </w:rPr>
        <w:t>mutL</w:t>
      </w:r>
      <w:proofErr w:type="spellEnd"/>
      <w:r w:rsidRPr="001F47DB">
        <w:rPr>
          <w:rFonts w:ascii="Arial" w:hAnsi="Arial" w:cs="Arial"/>
          <w:sz w:val="22"/>
          <w:szCs w:val="22"/>
          <w:lang w:val="en-US"/>
        </w:rPr>
        <w:t xml:space="preserve">, </w:t>
      </w:r>
      <w:r w:rsidRPr="001F47DB">
        <w:rPr>
          <w:rFonts w:ascii="Arial" w:hAnsi="Arial" w:cs="Arial"/>
          <w:i/>
          <w:iCs/>
          <w:sz w:val="22"/>
          <w:szCs w:val="22"/>
          <w:lang w:val="en-US"/>
        </w:rPr>
        <w:t>ank2</w:t>
      </w:r>
      <w:r w:rsidRPr="001F47DB">
        <w:rPr>
          <w:rFonts w:ascii="Arial" w:hAnsi="Arial" w:cs="Arial"/>
          <w:sz w:val="22"/>
          <w:szCs w:val="22"/>
          <w:lang w:val="en-US"/>
        </w:rPr>
        <w:t xml:space="preserve">, </w:t>
      </w:r>
      <w:r w:rsidRPr="001F47DB">
        <w:rPr>
          <w:rFonts w:ascii="Arial" w:hAnsi="Arial" w:cs="Arial"/>
          <w:i/>
          <w:iCs/>
          <w:sz w:val="22"/>
          <w:szCs w:val="22"/>
          <w:lang w:val="en-US"/>
        </w:rPr>
        <w:t>pk1</w:t>
      </w:r>
      <w:r w:rsidRPr="001F47DB">
        <w:rPr>
          <w:rFonts w:ascii="Arial" w:hAnsi="Arial" w:cs="Arial"/>
          <w:sz w:val="22"/>
          <w:szCs w:val="22"/>
          <w:lang w:val="en-US"/>
        </w:rPr>
        <w:t xml:space="preserve">, </w:t>
      </w:r>
      <w:r w:rsidRPr="001F47DB">
        <w:rPr>
          <w:rFonts w:ascii="Arial" w:hAnsi="Arial" w:cs="Arial"/>
          <w:i/>
          <w:iCs/>
          <w:sz w:val="22"/>
          <w:szCs w:val="22"/>
          <w:lang w:val="en-US"/>
        </w:rPr>
        <w:t>pk2</w:t>
      </w:r>
      <w:r w:rsidRPr="001F47DB">
        <w:rPr>
          <w:rFonts w:ascii="Arial" w:hAnsi="Arial" w:cs="Arial"/>
          <w:sz w:val="22"/>
          <w:szCs w:val="22"/>
          <w:lang w:val="en-US"/>
        </w:rPr>
        <w:t xml:space="preserve">, </w:t>
      </w:r>
      <w:r w:rsidRPr="001F47DB">
        <w:rPr>
          <w:rFonts w:ascii="Arial" w:hAnsi="Arial" w:cs="Arial"/>
          <w:i/>
          <w:iCs/>
          <w:sz w:val="22"/>
          <w:szCs w:val="22"/>
          <w:lang w:val="en-US"/>
        </w:rPr>
        <w:t>GP12</w:t>
      </w:r>
      <w:r w:rsidRPr="001F47DB">
        <w:rPr>
          <w:rFonts w:ascii="Arial" w:hAnsi="Arial" w:cs="Arial"/>
          <w:sz w:val="22"/>
          <w:szCs w:val="22"/>
          <w:lang w:val="en-US"/>
        </w:rPr>
        <w:t xml:space="preserve">, and </w:t>
      </w:r>
      <w:r w:rsidRPr="001F47DB">
        <w:rPr>
          <w:rFonts w:ascii="Arial" w:hAnsi="Arial" w:cs="Arial"/>
          <w:i/>
          <w:iCs/>
          <w:sz w:val="22"/>
          <w:szCs w:val="22"/>
          <w:lang w:val="en-US"/>
        </w:rPr>
        <w:t>GP15</w:t>
      </w:r>
      <w:r w:rsidRPr="001F47DB">
        <w:rPr>
          <w:rFonts w:ascii="Arial" w:hAnsi="Arial" w:cs="Arial"/>
          <w:sz w:val="22"/>
          <w:szCs w:val="22"/>
          <w:lang w:val="en-US"/>
        </w:rPr>
        <w:t xml:space="preserve">) totaling 5,423 bp. </w:t>
      </w:r>
      <w:r w:rsidR="00760B51" w:rsidRPr="001F47DB">
        <w:rPr>
          <w:rFonts w:ascii="Arial" w:hAnsi="Arial" w:cs="Arial"/>
          <w:sz w:val="22"/>
          <w:szCs w:val="22"/>
          <w:lang w:val="en-US"/>
        </w:rPr>
        <w:t xml:space="preserve">Bootstrap values were estimated using 1,000 replicates. </w:t>
      </w:r>
      <w:r w:rsidRPr="001F47DB">
        <w:rPr>
          <w:rFonts w:ascii="Arial" w:hAnsi="Arial" w:cs="Arial"/>
          <w:sz w:val="22"/>
          <w:szCs w:val="22"/>
          <w:lang w:val="en-US"/>
        </w:rPr>
        <w:t>The tree was constructed using the GTR+I substitution model.</w:t>
      </w:r>
    </w:p>
    <w:p w14:paraId="71C40279" w14:textId="77777777" w:rsidR="006E2813" w:rsidRPr="001F47DB" w:rsidRDefault="006E2813" w:rsidP="00D6155D">
      <w:pPr>
        <w:spacing w:line="360" w:lineRule="auto"/>
        <w:jc w:val="both"/>
        <w:rPr>
          <w:rFonts w:ascii="Arial" w:hAnsi="Arial" w:cs="Arial"/>
          <w:sz w:val="22"/>
          <w:szCs w:val="22"/>
          <w:lang w:val="en-US"/>
        </w:rPr>
      </w:pPr>
    </w:p>
    <w:p w14:paraId="079FE11C" w14:textId="77777777" w:rsidR="006E2813" w:rsidRPr="001F47DB" w:rsidRDefault="006E2813" w:rsidP="00D6155D">
      <w:pPr>
        <w:spacing w:line="360" w:lineRule="auto"/>
        <w:jc w:val="both"/>
        <w:rPr>
          <w:rFonts w:ascii="Arial" w:hAnsi="Arial" w:cs="Arial"/>
          <w:sz w:val="22"/>
          <w:szCs w:val="22"/>
          <w:lang w:val="en-US"/>
        </w:rPr>
      </w:pPr>
    </w:p>
    <w:p w14:paraId="1B8B9A1C" w14:textId="77777777" w:rsidR="006E2813" w:rsidRPr="001F47DB" w:rsidRDefault="006E2813" w:rsidP="00D6155D">
      <w:pPr>
        <w:spacing w:line="360" w:lineRule="auto"/>
        <w:jc w:val="both"/>
        <w:rPr>
          <w:rFonts w:ascii="Arial" w:hAnsi="Arial" w:cs="Arial"/>
          <w:sz w:val="22"/>
          <w:szCs w:val="22"/>
          <w:lang w:val="en-US"/>
        </w:rPr>
      </w:pPr>
    </w:p>
    <w:p w14:paraId="55A3DAB8" w14:textId="77777777"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noProof/>
          <w:sz w:val="22"/>
          <w:szCs w:val="22"/>
        </w:rPr>
        <w:lastRenderedPageBreak/>
        <w:drawing>
          <wp:inline distT="0" distB="0" distL="0" distR="0" wp14:anchorId="15883F67" wp14:editId="26F4FD0E">
            <wp:extent cx="3797935" cy="3671570"/>
            <wp:effectExtent l="0" t="0" r="0" b="0"/>
            <wp:docPr id="2" name="Image 4" descr="Une image contenant texte, cercl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Une image contenant texte, cercle, capture d’écran, diagramme&#10;&#10;Le contenu généré par l’IA peut être incorrect."/>
                    <pic:cNvPicPr>
                      <a:picLocks noChangeAspect="1" noChangeArrowheads="1"/>
                    </pic:cNvPicPr>
                  </pic:nvPicPr>
                  <pic:blipFill>
                    <a:blip r:embed="rId5"/>
                    <a:stretch>
                      <a:fillRect/>
                    </a:stretch>
                  </pic:blipFill>
                  <pic:spPr bwMode="auto">
                    <a:xfrm>
                      <a:off x="0" y="0"/>
                      <a:ext cx="3797935" cy="3671570"/>
                    </a:xfrm>
                    <a:prstGeom prst="rect">
                      <a:avLst/>
                    </a:prstGeom>
                  </pic:spPr>
                </pic:pic>
              </a:graphicData>
            </a:graphic>
          </wp:inline>
        </w:drawing>
      </w:r>
    </w:p>
    <w:p w14:paraId="0A0AA7AE" w14:textId="77777777" w:rsidR="006E2813" w:rsidRPr="001F47DB" w:rsidRDefault="006E2813" w:rsidP="00D6155D">
      <w:pPr>
        <w:spacing w:line="360" w:lineRule="auto"/>
        <w:jc w:val="both"/>
        <w:rPr>
          <w:rFonts w:ascii="Arial" w:hAnsi="Arial" w:cs="Arial"/>
          <w:sz w:val="22"/>
          <w:szCs w:val="22"/>
          <w:lang w:val="en-US"/>
        </w:rPr>
      </w:pPr>
    </w:p>
    <w:p w14:paraId="55CF61BA" w14:textId="77777777"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2</w:t>
      </w:r>
      <w:r w:rsidRPr="001F47DB">
        <w:rPr>
          <w:rFonts w:ascii="Arial" w:hAnsi="Arial" w:cs="Arial"/>
          <w:sz w:val="22"/>
          <w:szCs w:val="22"/>
          <w:lang w:val="en-US"/>
        </w:rPr>
        <w:t xml:space="preserve">: </w:t>
      </w:r>
      <w:r w:rsidRPr="001F47DB">
        <w:rPr>
          <w:rFonts w:ascii="Arial" w:hAnsi="Arial" w:cs="Arial"/>
          <w:b/>
          <w:bCs/>
          <w:sz w:val="22"/>
          <w:szCs w:val="22"/>
          <w:lang w:val="en-US"/>
        </w:rPr>
        <w:t xml:space="preserve">Pangenome with </w:t>
      </w:r>
      <w:proofErr w:type="spellStart"/>
      <w:r w:rsidRPr="001F47DB">
        <w:rPr>
          <w:rFonts w:ascii="Arial" w:hAnsi="Arial" w:cs="Arial"/>
          <w:b/>
          <w:bCs/>
          <w:i/>
          <w:iCs/>
          <w:sz w:val="22"/>
          <w:szCs w:val="22"/>
          <w:lang w:val="en-US"/>
        </w:rPr>
        <w:t>w</w:t>
      </w:r>
      <w:r w:rsidRPr="001F47DB">
        <w:rPr>
          <w:rFonts w:ascii="Arial" w:hAnsi="Arial" w:cs="Arial"/>
          <w:b/>
          <w:bCs/>
          <w:sz w:val="22"/>
          <w:szCs w:val="22"/>
          <w:lang w:val="en-US"/>
        </w:rPr>
        <w:t>PipCelG</w:t>
      </w:r>
      <w:proofErr w:type="spellEnd"/>
      <w:r w:rsidRPr="001F47DB">
        <w:rPr>
          <w:rFonts w:ascii="Arial" w:hAnsi="Arial" w:cs="Arial"/>
          <w:b/>
          <w:bCs/>
          <w:sz w:val="22"/>
          <w:szCs w:val="22"/>
          <w:lang w:val="en-US"/>
        </w:rPr>
        <w:t xml:space="preserve">, </w:t>
      </w:r>
      <w:proofErr w:type="spellStart"/>
      <w:r w:rsidRPr="001F47DB">
        <w:rPr>
          <w:rFonts w:ascii="Arial" w:hAnsi="Arial" w:cs="Arial"/>
          <w:b/>
          <w:bCs/>
          <w:i/>
          <w:iCs/>
          <w:sz w:val="22"/>
          <w:szCs w:val="22"/>
          <w:lang w:val="en-US"/>
        </w:rPr>
        <w:t>w</w:t>
      </w:r>
      <w:r w:rsidRPr="001F47DB">
        <w:rPr>
          <w:rFonts w:ascii="Arial" w:hAnsi="Arial" w:cs="Arial"/>
          <w:b/>
          <w:bCs/>
          <w:sz w:val="22"/>
          <w:szCs w:val="22"/>
          <w:lang w:val="en-US"/>
        </w:rPr>
        <w:t>PipPel</w:t>
      </w:r>
      <w:proofErr w:type="spellEnd"/>
      <w:r w:rsidRPr="001F47DB">
        <w:rPr>
          <w:rFonts w:ascii="Arial" w:hAnsi="Arial" w:cs="Arial"/>
          <w:b/>
          <w:bCs/>
          <w:sz w:val="22"/>
          <w:szCs w:val="22"/>
          <w:lang w:val="en-US"/>
        </w:rPr>
        <w:t xml:space="preserve">, </w:t>
      </w:r>
      <w:proofErr w:type="spellStart"/>
      <w:r w:rsidRPr="001F47DB">
        <w:rPr>
          <w:rFonts w:ascii="Arial" w:hAnsi="Arial" w:cs="Arial"/>
          <w:b/>
          <w:bCs/>
          <w:i/>
          <w:iCs/>
          <w:sz w:val="22"/>
          <w:szCs w:val="22"/>
          <w:lang w:val="en-US"/>
        </w:rPr>
        <w:t>w</w:t>
      </w:r>
      <w:r w:rsidRPr="001F47DB">
        <w:rPr>
          <w:rFonts w:ascii="Arial" w:hAnsi="Arial" w:cs="Arial"/>
          <w:b/>
          <w:bCs/>
          <w:sz w:val="22"/>
          <w:szCs w:val="22"/>
          <w:lang w:val="en-US"/>
        </w:rPr>
        <w:t>PipJHB</w:t>
      </w:r>
      <w:proofErr w:type="spellEnd"/>
      <w:r w:rsidRPr="001F47DB">
        <w:rPr>
          <w:rFonts w:ascii="Arial" w:hAnsi="Arial" w:cs="Arial"/>
          <w:b/>
          <w:bCs/>
          <w:sz w:val="22"/>
          <w:szCs w:val="22"/>
          <w:lang w:val="en-US"/>
        </w:rPr>
        <w:t xml:space="preserve"> and </w:t>
      </w:r>
      <w:proofErr w:type="spellStart"/>
      <w:r w:rsidRPr="001F47DB">
        <w:rPr>
          <w:rFonts w:ascii="Arial" w:hAnsi="Arial" w:cs="Arial"/>
          <w:b/>
          <w:bCs/>
          <w:i/>
          <w:iCs/>
          <w:sz w:val="22"/>
          <w:szCs w:val="22"/>
          <w:lang w:val="en-US"/>
        </w:rPr>
        <w:t>w</w:t>
      </w:r>
      <w:r w:rsidRPr="001F47DB">
        <w:rPr>
          <w:rFonts w:ascii="Arial" w:hAnsi="Arial" w:cs="Arial"/>
          <w:b/>
          <w:bCs/>
          <w:sz w:val="22"/>
          <w:szCs w:val="22"/>
          <w:lang w:val="en-US"/>
        </w:rPr>
        <w:t>PipMol</w:t>
      </w:r>
      <w:proofErr w:type="spellEnd"/>
      <w:r w:rsidRPr="001F47DB">
        <w:rPr>
          <w:rFonts w:ascii="Arial" w:hAnsi="Arial" w:cs="Arial"/>
          <w:sz w:val="22"/>
          <w:szCs w:val="22"/>
          <w:lang w:val="en-US"/>
        </w:rPr>
        <w:t xml:space="preserve">. A total of 1,166 gene clusters were identified and hierarchically clustered in the dendrogram based on their presence/absence patterns. The heatmap displays, from top to bottom: </w:t>
      </w:r>
      <w:proofErr w:type="spellStart"/>
      <w:r w:rsidRPr="001F47DB">
        <w:rPr>
          <w:rFonts w:ascii="Arial" w:hAnsi="Arial" w:cs="Arial"/>
          <w:sz w:val="22"/>
          <w:szCs w:val="22"/>
          <w:lang w:val="en-US"/>
        </w:rPr>
        <w:t>ANIm</w:t>
      </w:r>
      <w:proofErr w:type="spellEnd"/>
      <w:r w:rsidRPr="001F47DB">
        <w:rPr>
          <w:rFonts w:ascii="Arial" w:hAnsi="Arial" w:cs="Arial"/>
          <w:sz w:val="22"/>
          <w:szCs w:val="22"/>
          <w:lang w:val="en-US"/>
        </w:rPr>
        <w:t xml:space="preserve"> alignment nucleotide identity, number of gene clusters, number of singleton gene clusters, number genes by </w:t>
      </w:r>
      <w:proofErr w:type="spellStart"/>
      <w:r w:rsidRPr="001F47DB">
        <w:rPr>
          <w:rFonts w:ascii="Arial" w:hAnsi="Arial" w:cs="Arial"/>
          <w:sz w:val="22"/>
          <w:szCs w:val="22"/>
          <w:lang w:val="en-US"/>
        </w:rPr>
        <w:t>kbp</w:t>
      </w:r>
      <w:proofErr w:type="spellEnd"/>
      <w:r w:rsidRPr="001F47DB">
        <w:rPr>
          <w:rFonts w:ascii="Arial" w:hAnsi="Arial" w:cs="Arial"/>
          <w:sz w:val="22"/>
          <w:szCs w:val="22"/>
          <w:lang w:val="en-US"/>
        </w:rPr>
        <w:t xml:space="preserve">, GC content, and total genome length. </w:t>
      </w:r>
    </w:p>
    <w:p w14:paraId="0FE4FA29" w14:textId="77777777" w:rsidR="006E2813" w:rsidRPr="001F47DB" w:rsidRDefault="006E2813" w:rsidP="00D6155D">
      <w:pPr>
        <w:spacing w:line="360" w:lineRule="auto"/>
        <w:jc w:val="both"/>
        <w:rPr>
          <w:rFonts w:ascii="Arial" w:hAnsi="Arial" w:cs="Arial"/>
          <w:sz w:val="22"/>
          <w:szCs w:val="22"/>
          <w:lang w:val="en-US"/>
        </w:rPr>
      </w:pPr>
    </w:p>
    <w:p w14:paraId="5E5DA559" w14:textId="77777777" w:rsidR="006E2813" w:rsidRPr="001F47DB" w:rsidRDefault="006E2813" w:rsidP="00D6155D">
      <w:pPr>
        <w:spacing w:line="360" w:lineRule="auto"/>
        <w:jc w:val="both"/>
        <w:rPr>
          <w:rFonts w:ascii="Arial" w:hAnsi="Arial" w:cs="Arial"/>
          <w:sz w:val="22"/>
          <w:szCs w:val="22"/>
          <w:lang w:val="en-US"/>
        </w:rPr>
      </w:pPr>
    </w:p>
    <w:p w14:paraId="499D38D9" w14:textId="77777777"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noProof/>
          <w:sz w:val="22"/>
          <w:szCs w:val="22"/>
        </w:rPr>
        <w:drawing>
          <wp:inline distT="0" distB="0" distL="0" distR="0" wp14:anchorId="1F9CC320" wp14:editId="5BF66F93">
            <wp:extent cx="6314440" cy="2516505"/>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pic:cNvPicPr>
                      <a:picLocks noChangeAspect="1" noChangeArrowheads="1"/>
                    </pic:cNvPicPr>
                  </pic:nvPicPr>
                  <pic:blipFill>
                    <a:blip r:embed="rId6"/>
                    <a:stretch>
                      <a:fillRect/>
                    </a:stretch>
                  </pic:blipFill>
                  <pic:spPr bwMode="auto">
                    <a:xfrm>
                      <a:off x="0" y="0"/>
                      <a:ext cx="6314440" cy="2516505"/>
                    </a:xfrm>
                    <a:prstGeom prst="rect">
                      <a:avLst/>
                    </a:prstGeom>
                  </pic:spPr>
                </pic:pic>
              </a:graphicData>
            </a:graphic>
          </wp:inline>
        </w:drawing>
      </w:r>
      <w:r w:rsidRPr="001F47DB">
        <w:rPr>
          <w:rFonts w:ascii="Arial" w:hAnsi="Arial" w:cs="Arial"/>
          <w:b/>
          <w:bCs/>
          <w:sz w:val="22"/>
          <w:szCs w:val="22"/>
          <w:lang w:val="en-US"/>
        </w:rPr>
        <w:t>Supplementary Figure 3</w:t>
      </w:r>
      <w:r w:rsidRPr="001F47DB">
        <w:rPr>
          <w:rFonts w:ascii="Arial" w:hAnsi="Arial" w:cs="Arial"/>
          <w:sz w:val="22"/>
          <w:szCs w:val="22"/>
          <w:lang w:val="en-US"/>
        </w:rPr>
        <w:t xml:space="preserve">: </w:t>
      </w:r>
      <w:r w:rsidRPr="001F47DB">
        <w:rPr>
          <w:rFonts w:ascii="Arial" w:hAnsi="Arial" w:cs="Arial"/>
          <w:b/>
          <w:bCs/>
          <w:sz w:val="22"/>
          <w:szCs w:val="22"/>
          <w:lang w:val="en-US"/>
        </w:rPr>
        <w:t xml:space="preserve">Sequence alignment between the dimeric pWCP contig of </w:t>
      </w:r>
      <w:r w:rsidRPr="001F47DB">
        <w:rPr>
          <w:rFonts w:ascii="Arial" w:hAnsi="Arial" w:cs="Arial"/>
          <w:b/>
          <w:bCs/>
          <w:i/>
          <w:iCs/>
          <w:sz w:val="22"/>
          <w:szCs w:val="22"/>
          <w:lang w:val="en-US"/>
        </w:rPr>
        <w:t>w</w:t>
      </w:r>
      <w:r w:rsidRPr="001F47DB">
        <w:rPr>
          <w:rFonts w:ascii="Arial" w:hAnsi="Arial" w:cs="Arial"/>
          <w:b/>
          <w:bCs/>
          <w:sz w:val="22"/>
          <w:szCs w:val="22"/>
          <w:lang w:val="en-US"/>
        </w:rPr>
        <w:t>PipCelG and the reference pWCP.</w:t>
      </w:r>
      <w:r w:rsidRPr="001F47DB">
        <w:rPr>
          <w:rFonts w:ascii="Arial" w:hAnsi="Arial" w:cs="Arial"/>
          <w:sz w:val="22"/>
          <w:szCs w:val="22"/>
          <w:lang w:val="en-US"/>
        </w:rPr>
        <w:t xml:space="preserve"> The dimeric plasmid contig was split into two monomeric </w:t>
      </w:r>
      <w:r w:rsidRPr="001F47DB">
        <w:rPr>
          <w:rFonts w:ascii="Arial" w:hAnsi="Arial" w:cs="Arial"/>
          <w:sz w:val="22"/>
          <w:szCs w:val="22"/>
          <w:lang w:val="en-US"/>
        </w:rPr>
        <w:lastRenderedPageBreak/>
        <w:t xml:space="preserve">units (positions 1–9,242 and 9,243–18,485) and aligned independently to the reference pWCP to assess sequence identity and confirm the dimeric configuration. </w:t>
      </w:r>
    </w:p>
    <w:p w14:paraId="2F9ABDCA" w14:textId="77777777" w:rsidR="006E2813" w:rsidRPr="001F47DB" w:rsidRDefault="006E2813" w:rsidP="00D6155D">
      <w:pPr>
        <w:spacing w:line="360" w:lineRule="auto"/>
        <w:jc w:val="both"/>
        <w:rPr>
          <w:rFonts w:ascii="Arial" w:hAnsi="Arial" w:cs="Arial"/>
          <w:sz w:val="22"/>
          <w:szCs w:val="22"/>
          <w:lang w:val="en-US"/>
        </w:rPr>
      </w:pPr>
    </w:p>
    <w:p w14:paraId="5E6FC9DE" w14:textId="77777777" w:rsidR="006E2813" w:rsidRPr="001F47DB" w:rsidRDefault="006E2813" w:rsidP="00D6155D">
      <w:pPr>
        <w:spacing w:line="360" w:lineRule="auto"/>
        <w:jc w:val="both"/>
        <w:rPr>
          <w:rFonts w:ascii="Arial" w:hAnsi="Arial" w:cs="Arial"/>
          <w:sz w:val="22"/>
          <w:szCs w:val="22"/>
          <w:lang w:val="en-US"/>
        </w:rPr>
      </w:pPr>
    </w:p>
    <w:p w14:paraId="01A0418A" w14:textId="77777777" w:rsidR="006E2813" w:rsidRPr="001F47DB" w:rsidRDefault="006E2813" w:rsidP="00D6155D">
      <w:pPr>
        <w:spacing w:line="360" w:lineRule="auto"/>
        <w:jc w:val="both"/>
        <w:rPr>
          <w:rFonts w:ascii="Arial" w:hAnsi="Arial" w:cs="Arial"/>
          <w:sz w:val="22"/>
          <w:szCs w:val="22"/>
          <w:lang w:val="en-US"/>
        </w:rPr>
      </w:pPr>
    </w:p>
    <w:p w14:paraId="7BFEF038" w14:textId="5047D516" w:rsidR="006E2813" w:rsidRPr="001F47DB" w:rsidRDefault="006E2813" w:rsidP="00D6155D">
      <w:pPr>
        <w:spacing w:line="360" w:lineRule="auto"/>
        <w:jc w:val="both"/>
        <w:rPr>
          <w:rFonts w:ascii="Arial" w:hAnsi="Arial" w:cs="Arial"/>
          <w:sz w:val="22"/>
          <w:szCs w:val="22"/>
          <w:lang w:val="en-US"/>
        </w:rPr>
      </w:pPr>
    </w:p>
    <w:p w14:paraId="7E52912C" w14:textId="280E343B" w:rsidR="006E2813" w:rsidRPr="001F47DB" w:rsidRDefault="009D46B0" w:rsidP="00D6155D">
      <w:pPr>
        <w:spacing w:line="360" w:lineRule="auto"/>
        <w:jc w:val="both"/>
        <w:rPr>
          <w:rFonts w:ascii="Arial" w:hAnsi="Arial" w:cs="Arial"/>
          <w:sz w:val="22"/>
          <w:szCs w:val="22"/>
          <w:lang w:val="en-US"/>
        </w:rPr>
      </w:pPr>
      <w:r w:rsidRPr="001F47DB">
        <w:rPr>
          <w:rFonts w:ascii="Arial" w:hAnsi="Arial" w:cs="Arial"/>
          <w:noProof/>
          <w:sz w:val="22"/>
          <w:szCs w:val="22"/>
          <w:lang w:val="en-US"/>
        </w:rPr>
        <w:drawing>
          <wp:inline distT="0" distB="0" distL="0" distR="0" wp14:anchorId="43F6884F" wp14:editId="66C370CC">
            <wp:extent cx="5760720" cy="2218690"/>
            <wp:effectExtent l="0" t="0" r="5080" b="3810"/>
            <wp:docPr id="923812296" name="Image 3" descr="Une image contenant cercle, capture d’écran,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12296" name="Image 3" descr="Une image contenant cercle, capture d’écran, texte, diagramm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218690"/>
                    </a:xfrm>
                    <a:prstGeom prst="rect">
                      <a:avLst/>
                    </a:prstGeom>
                  </pic:spPr>
                </pic:pic>
              </a:graphicData>
            </a:graphic>
          </wp:inline>
        </w:drawing>
      </w:r>
    </w:p>
    <w:p w14:paraId="27EF7AA8" w14:textId="77777777" w:rsidR="009D46B0" w:rsidRPr="001F47DB" w:rsidRDefault="009D46B0" w:rsidP="00D6155D">
      <w:pPr>
        <w:spacing w:line="360" w:lineRule="auto"/>
        <w:jc w:val="both"/>
        <w:rPr>
          <w:rFonts w:ascii="Arial" w:hAnsi="Arial" w:cs="Arial"/>
          <w:b/>
          <w:bCs/>
          <w:sz w:val="22"/>
          <w:szCs w:val="22"/>
          <w:lang w:val="en-US"/>
        </w:rPr>
      </w:pPr>
    </w:p>
    <w:p w14:paraId="4785DC84" w14:textId="77777777" w:rsidR="009D46B0" w:rsidRPr="001F47DB" w:rsidRDefault="009D46B0" w:rsidP="00D6155D">
      <w:pPr>
        <w:spacing w:line="360" w:lineRule="auto"/>
        <w:jc w:val="both"/>
        <w:rPr>
          <w:rFonts w:ascii="Arial" w:hAnsi="Arial" w:cs="Arial"/>
          <w:b/>
          <w:bCs/>
          <w:sz w:val="22"/>
          <w:szCs w:val="22"/>
          <w:lang w:val="en-US"/>
        </w:rPr>
      </w:pPr>
    </w:p>
    <w:p w14:paraId="409841E4" w14:textId="294141CB"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4: Hypothetical model of theta-replication in the pWCP plasmid</w:t>
      </w:r>
      <w:r w:rsidRPr="001F47DB">
        <w:rPr>
          <w:rFonts w:ascii="Arial" w:hAnsi="Arial" w:cs="Arial"/>
          <w:sz w:val="22"/>
          <w:szCs w:val="22"/>
          <w:lang w:val="en-US"/>
        </w:rPr>
        <w:t xml:space="preserve">. (A) Representative reads were mapped to the 9,228 monomeric pWCP reference sequence (B) Schematic interpretation of forward and reverse strand potentially from a single DNA molecule undergoing theta replication (C) Example of a plasmid read containing overlapping sense and antisense regions consistent with replication fork progression. </w:t>
      </w:r>
    </w:p>
    <w:p w14:paraId="2C2499E0" w14:textId="77777777" w:rsidR="006E2813" w:rsidRPr="001F47DB" w:rsidRDefault="006E2813" w:rsidP="00D6155D">
      <w:pPr>
        <w:spacing w:line="360" w:lineRule="auto"/>
        <w:jc w:val="both"/>
        <w:rPr>
          <w:rFonts w:ascii="Arial" w:hAnsi="Arial" w:cs="Arial"/>
          <w:sz w:val="22"/>
          <w:szCs w:val="22"/>
          <w:lang w:val="en-US"/>
        </w:rPr>
      </w:pPr>
    </w:p>
    <w:p w14:paraId="132FFC3F" w14:textId="77777777" w:rsidR="006E2813" w:rsidRPr="001F47DB" w:rsidRDefault="006E2813" w:rsidP="00D6155D">
      <w:pPr>
        <w:spacing w:line="360" w:lineRule="auto"/>
        <w:jc w:val="both"/>
        <w:rPr>
          <w:rFonts w:ascii="Arial" w:hAnsi="Arial" w:cs="Arial"/>
          <w:sz w:val="22"/>
          <w:szCs w:val="22"/>
          <w:lang w:val="en-US"/>
        </w:rPr>
      </w:pPr>
    </w:p>
    <w:p w14:paraId="32ECB682" w14:textId="77777777" w:rsidR="006E2813" w:rsidRPr="001F47DB" w:rsidRDefault="006E2813" w:rsidP="00D6155D">
      <w:pPr>
        <w:spacing w:line="360" w:lineRule="auto"/>
        <w:jc w:val="both"/>
        <w:rPr>
          <w:rFonts w:ascii="Arial" w:hAnsi="Arial" w:cs="Arial"/>
          <w:sz w:val="22"/>
          <w:szCs w:val="22"/>
          <w:lang w:val="en-US"/>
        </w:rPr>
      </w:pPr>
    </w:p>
    <w:p w14:paraId="3E2266DA" w14:textId="77777777"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noProof/>
          <w:sz w:val="22"/>
          <w:szCs w:val="22"/>
        </w:rPr>
        <w:drawing>
          <wp:inline distT="0" distB="0" distL="0" distR="0" wp14:anchorId="2609BF0D" wp14:editId="5EF31962">
            <wp:extent cx="5760720" cy="2705735"/>
            <wp:effectExtent l="0" t="0" r="0" b="0"/>
            <wp:docPr id="5" name="Image 2" descr="Une image contenant texte, capture d’écran, cerc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Une image contenant texte, capture d’écran, cercle, diagramme&#10;&#10;Le contenu généré par l’IA peut être incorrect."/>
                    <pic:cNvPicPr>
                      <a:picLocks noChangeAspect="1" noChangeArrowheads="1"/>
                    </pic:cNvPicPr>
                  </pic:nvPicPr>
                  <pic:blipFill>
                    <a:blip r:embed="rId8"/>
                    <a:stretch>
                      <a:fillRect/>
                    </a:stretch>
                  </pic:blipFill>
                  <pic:spPr bwMode="auto">
                    <a:xfrm>
                      <a:off x="0" y="0"/>
                      <a:ext cx="5760720" cy="2705735"/>
                    </a:xfrm>
                    <a:prstGeom prst="rect">
                      <a:avLst/>
                    </a:prstGeom>
                  </pic:spPr>
                </pic:pic>
              </a:graphicData>
            </a:graphic>
          </wp:inline>
        </w:drawing>
      </w:r>
    </w:p>
    <w:p w14:paraId="48D099ED" w14:textId="77777777" w:rsidR="006E2813" w:rsidRPr="001F47DB" w:rsidRDefault="006E2813" w:rsidP="00D6155D">
      <w:pPr>
        <w:spacing w:line="360" w:lineRule="auto"/>
        <w:jc w:val="both"/>
        <w:rPr>
          <w:rFonts w:ascii="Arial" w:hAnsi="Arial" w:cs="Arial"/>
          <w:b/>
          <w:bCs/>
          <w:sz w:val="22"/>
          <w:szCs w:val="22"/>
          <w:lang w:val="en-US"/>
        </w:rPr>
      </w:pPr>
    </w:p>
    <w:p w14:paraId="05AE060C" w14:textId="4DF169A7" w:rsidR="006E2813" w:rsidRPr="001F47DB" w:rsidRDefault="00000000"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5: Identification of a putative origin of replication (</w:t>
      </w:r>
      <w:proofErr w:type="spellStart"/>
      <w:r w:rsidRPr="001F47DB">
        <w:rPr>
          <w:rFonts w:ascii="Arial" w:hAnsi="Arial" w:cs="Arial"/>
          <w:b/>
          <w:bCs/>
          <w:sz w:val="22"/>
          <w:szCs w:val="22"/>
          <w:lang w:val="en-US"/>
        </w:rPr>
        <w:t>oriV</w:t>
      </w:r>
      <w:proofErr w:type="spellEnd"/>
      <w:r w:rsidRPr="001F47DB">
        <w:rPr>
          <w:rFonts w:ascii="Arial" w:hAnsi="Arial" w:cs="Arial"/>
          <w:b/>
          <w:bCs/>
          <w:sz w:val="22"/>
          <w:szCs w:val="22"/>
          <w:lang w:val="en-US"/>
        </w:rPr>
        <w:t xml:space="preserve">) in the </w:t>
      </w:r>
      <w:proofErr w:type="spellStart"/>
      <w:r w:rsidRPr="001F47DB">
        <w:rPr>
          <w:rFonts w:ascii="Arial" w:hAnsi="Arial" w:cs="Arial"/>
          <w:b/>
          <w:bCs/>
          <w:sz w:val="22"/>
          <w:szCs w:val="22"/>
          <w:lang w:val="en-US"/>
        </w:rPr>
        <w:t>pWCP</w:t>
      </w:r>
      <w:proofErr w:type="spellEnd"/>
      <w:r w:rsidRPr="001F47DB">
        <w:rPr>
          <w:rFonts w:ascii="Arial" w:hAnsi="Arial" w:cs="Arial"/>
          <w:b/>
          <w:bCs/>
          <w:sz w:val="22"/>
          <w:szCs w:val="22"/>
          <w:lang w:val="en-US"/>
        </w:rPr>
        <w:t xml:space="preserve"> plasmid. </w:t>
      </w:r>
      <w:r w:rsidRPr="001F47DB">
        <w:rPr>
          <w:rFonts w:ascii="Arial" w:hAnsi="Arial" w:cs="Arial"/>
          <w:sz w:val="22"/>
          <w:szCs w:val="22"/>
          <w:lang w:val="en-US"/>
        </w:rPr>
        <w:t xml:space="preserve">The </w:t>
      </w:r>
      <w:proofErr w:type="spellStart"/>
      <w:r w:rsidRPr="001F47DB">
        <w:rPr>
          <w:rFonts w:ascii="Arial" w:hAnsi="Arial" w:cs="Arial"/>
          <w:sz w:val="22"/>
          <w:szCs w:val="22"/>
          <w:lang w:val="en-US"/>
        </w:rPr>
        <w:t>oriV</w:t>
      </w:r>
      <w:proofErr w:type="spellEnd"/>
      <w:r w:rsidRPr="001F47DB">
        <w:rPr>
          <w:rFonts w:ascii="Arial" w:hAnsi="Arial" w:cs="Arial"/>
          <w:sz w:val="22"/>
          <w:szCs w:val="22"/>
          <w:lang w:val="en-US"/>
        </w:rPr>
        <w:t xml:space="preserve"> region was predicted using </w:t>
      </w:r>
      <w:proofErr w:type="spellStart"/>
      <w:r w:rsidRPr="001F47DB">
        <w:rPr>
          <w:rFonts w:ascii="Arial" w:hAnsi="Arial" w:cs="Arial"/>
          <w:sz w:val="22"/>
          <w:szCs w:val="22"/>
          <w:lang w:val="en-US"/>
        </w:rPr>
        <w:t>OriV</w:t>
      </w:r>
      <w:proofErr w:type="spellEnd"/>
      <w:r w:rsidRPr="001F47DB">
        <w:rPr>
          <w:rFonts w:ascii="Arial" w:hAnsi="Arial" w:cs="Arial"/>
          <w:sz w:val="22"/>
          <w:szCs w:val="22"/>
          <w:lang w:val="en-US"/>
        </w:rPr>
        <w:t>-Finder</w:t>
      </w:r>
      <w:r w:rsidR="007E7FD1">
        <w:rPr>
          <w:rFonts w:ascii="Arial" w:hAnsi="Arial" w:cs="Arial"/>
          <w:sz w:val="22"/>
          <w:szCs w:val="22"/>
          <w:lang w:val="en-US"/>
        </w:rPr>
        <w:t xml:space="preserve"> </w:t>
      </w:r>
      <w:r w:rsidR="007E7FD1">
        <w:rPr>
          <w:rFonts w:ascii="Arial" w:hAnsi="Arial" w:cs="Arial"/>
          <w:sz w:val="22"/>
          <w:szCs w:val="22"/>
          <w:lang w:val="en-US"/>
        </w:rPr>
        <w:fldChar w:fldCharType="begin"/>
      </w:r>
      <w:r w:rsidR="007E7FD1">
        <w:rPr>
          <w:rFonts w:ascii="Arial" w:hAnsi="Arial" w:cs="Arial"/>
          <w:sz w:val="22"/>
          <w:szCs w:val="22"/>
          <w:lang w:val="en-US"/>
        </w:rPr>
        <w:instrText xml:space="preserve"> ADDIN ZOTERO_ITEM CSL_CITATION {"citationID":"APSWEkUw","properties":{"formattedCitation":"[1]","plainCitation":"[1]","noteIndex":0},"citationItems":[{"id":917,"uris":["http://zotero.org/users/19036682/items/K8TIXGUV"],"itemData":{"id":917,"type":"article-journal","abstract":"To rapidly identify and systematically analyse the vegetative replication origins (oriVs) of bacterial plasmids, we present OriV-Finder, a comprehensive web server for bacterial plasmid replication origin analysis. To fulfil this purpose, we collected 470 replication initiation proteins (RIPs) reported in the literature, identified 35 conserved domains associated with RIPs, and summarized conserved features of oriVs for various replication initiation mechanisms. Therefore, OriV-Finder could accurately identify the homologous genes of RIPs and then assess the likelihood of each intergenic sequence as a potential oriV based on the information of RIPs and conserved features. Consequently, the potential oriVs could be designated using a priority-based scoring system. As a user-friendly web server, OriV-Finder integrates visualization modules of oriVs, RIPs, and genomes, which facilitates the analysis and validation of oriVs. OriV-Finder is freely available to all users without any login requirement at https://tubic.org/OriV-Finder/.","container-title":"Nucleic Acids Research","DOI":"10.1093/nar/gkaf341","ISSN":"1362-4962","journalAbbreviation":"Nucleic Acids Research","page":"gkaf341","source":"Silverchair","title":"OriV-Finder: a comprehensive web server for bacterial plasmid replication origin analysis","title-short":"OriV-Finder","author":[{"family":"Li","given":"Yujie"},{"family":"Gao","given":"Feng"}],"issued":{"date-parts":[["2025",4,29]]}}}],"schema":"https://github.com/citation-style-language/schema/raw/master/csl-citation.json"} </w:instrText>
      </w:r>
      <w:r w:rsidR="007E7FD1">
        <w:rPr>
          <w:rFonts w:ascii="Arial" w:hAnsi="Arial" w:cs="Arial"/>
          <w:sz w:val="22"/>
          <w:szCs w:val="22"/>
          <w:lang w:val="en-US"/>
        </w:rPr>
        <w:fldChar w:fldCharType="separate"/>
      </w:r>
      <w:r w:rsidR="007E7FD1">
        <w:rPr>
          <w:rFonts w:ascii="Arial" w:hAnsi="Arial" w:cs="Arial"/>
          <w:noProof/>
          <w:sz w:val="22"/>
          <w:szCs w:val="22"/>
          <w:lang w:val="en-US"/>
        </w:rPr>
        <w:t>[1]</w:t>
      </w:r>
      <w:r w:rsidR="007E7FD1">
        <w:rPr>
          <w:rFonts w:ascii="Arial" w:hAnsi="Arial" w:cs="Arial"/>
          <w:sz w:val="22"/>
          <w:szCs w:val="22"/>
          <w:lang w:val="en-US"/>
        </w:rPr>
        <w:fldChar w:fldCharType="end"/>
      </w:r>
      <w:r w:rsidRPr="001F47DB">
        <w:rPr>
          <w:rFonts w:ascii="Arial" w:hAnsi="Arial" w:cs="Arial"/>
          <w:sz w:val="22"/>
          <w:szCs w:val="22"/>
          <w:lang w:val="en-US"/>
        </w:rPr>
        <w:t xml:space="preserve"> and is located between positions 6,363 and 6,513 bp of the pWCP sequence. This region overlaps with a tandem repeat zone previously annotated as a VNTR and contains a set of putative iterons (dark brown), characteristic of iteron-based replication initiation mechanisms.</w:t>
      </w:r>
    </w:p>
    <w:p w14:paraId="3E7B9F62" w14:textId="0A0E36A2" w:rsidR="00BA7C0F" w:rsidRPr="001F47DB" w:rsidRDefault="00BA7C0F" w:rsidP="00D6155D">
      <w:pPr>
        <w:spacing w:line="360" w:lineRule="auto"/>
        <w:jc w:val="both"/>
        <w:rPr>
          <w:rFonts w:ascii="Arial" w:hAnsi="Arial" w:cs="Arial"/>
          <w:b/>
          <w:bCs/>
          <w:sz w:val="22"/>
          <w:szCs w:val="22"/>
          <w:lang w:val="en-US"/>
        </w:rPr>
      </w:pPr>
    </w:p>
    <w:p w14:paraId="0A318AA7" w14:textId="1BD39852" w:rsidR="00A947CF" w:rsidRPr="001F47DB" w:rsidRDefault="009D46B0" w:rsidP="00D6155D">
      <w:pPr>
        <w:spacing w:line="360" w:lineRule="auto"/>
        <w:jc w:val="both"/>
        <w:rPr>
          <w:rFonts w:ascii="Arial" w:hAnsi="Arial" w:cs="Arial"/>
          <w:b/>
          <w:bCs/>
          <w:sz w:val="22"/>
          <w:szCs w:val="22"/>
          <w:lang w:val="en-US"/>
        </w:rPr>
      </w:pPr>
      <w:r w:rsidRPr="001F47DB">
        <w:rPr>
          <w:rFonts w:ascii="Arial" w:hAnsi="Arial" w:cs="Arial"/>
          <w:b/>
          <w:bCs/>
          <w:noProof/>
          <w:sz w:val="22"/>
          <w:szCs w:val="22"/>
          <w:lang w:val="en-US"/>
        </w:rPr>
        <w:drawing>
          <wp:inline distT="0" distB="0" distL="0" distR="0" wp14:anchorId="1F873305" wp14:editId="0BB04BBC">
            <wp:extent cx="6641756" cy="1964267"/>
            <wp:effectExtent l="0" t="0" r="635" b="4445"/>
            <wp:docPr id="7807370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37070" name="Image 780737070"/>
                    <pic:cNvPicPr/>
                  </pic:nvPicPr>
                  <pic:blipFill>
                    <a:blip r:embed="rId9">
                      <a:extLst>
                        <a:ext uri="{28A0092B-C50C-407E-A947-70E740481C1C}">
                          <a14:useLocalDpi xmlns:a14="http://schemas.microsoft.com/office/drawing/2010/main" val="0"/>
                        </a:ext>
                      </a:extLst>
                    </a:blip>
                    <a:stretch>
                      <a:fillRect/>
                    </a:stretch>
                  </pic:blipFill>
                  <pic:spPr>
                    <a:xfrm>
                      <a:off x="0" y="0"/>
                      <a:ext cx="6668207" cy="1972090"/>
                    </a:xfrm>
                    <a:prstGeom prst="rect">
                      <a:avLst/>
                    </a:prstGeom>
                  </pic:spPr>
                </pic:pic>
              </a:graphicData>
            </a:graphic>
          </wp:inline>
        </w:drawing>
      </w:r>
    </w:p>
    <w:p w14:paraId="35F155A9" w14:textId="77777777" w:rsidR="00736CA2" w:rsidRPr="001F47DB" w:rsidRDefault="00736CA2" w:rsidP="00D6155D">
      <w:pPr>
        <w:spacing w:line="360" w:lineRule="auto"/>
        <w:jc w:val="both"/>
        <w:rPr>
          <w:rFonts w:ascii="Arial" w:hAnsi="Arial" w:cs="Arial"/>
          <w:b/>
          <w:bCs/>
          <w:sz w:val="22"/>
          <w:szCs w:val="22"/>
          <w:lang w:val="en-US"/>
        </w:rPr>
      </w:pPr>
    </w:p>
    <w:p w14:paraId="279E3CDB" w14:textId="2E7B8191" w:rsidR="00BA7C0F" w:rsidRPr="001F47DB" w:rsidRDefault="00BA7C0F"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6</w:t>
      </w:r>
      <w:r w:rsidRPr="001F47DB">
        <w:rPr>
          <w:rFonts w:ascii="Arial" w:hAnsi="Arial" w:cs="Arial"/>
          <w:sz w:val="22"/>
          <w:szCs w:val="22"/>
          <w:lang w:val="en-US"/>
        </w:rPr>
        <w:t xml:space="preserve">: </w:t>
      </w:r>
      <w:r w:rsidRPr="001F47DB">
        <w:rPr>
          <w:rFonts w:ascii="Arial" w:hAnsi="Arial" w:cs="Arial"/>
          <w:b/>
          <w:bCs/>
          <w:sz w:val="22"/>
          <w:szCs w:val="22"/>
          <w:lang w:val="en-US"/>
        </w:rPr>
        <w:t xml:space="preserve">Genome organization and annotation of phage associated contigs in </w:t>
      </w:r>
      <w:r w:rsidRPr="001F47DB">
        <w:rPr>
          <w:rFonts w:ascii="Arial" w:hAnsi="Arial" w:cs="Arial"/>
          <w:b/>
          <w:bCs/>
          <w:i/>
          <w:iCs/>
          <w:sz w:val="22"/>
          <w:szCs w:val="22"/>
          <w:lang w:val="en-US"/>
        </w:rPr>
        <w:t>w</w:t>
      </w:r>
      <w:r w:rsidRPr="001F47DB">
        <w:rPr>
          <w:rFonts w:ascii="Arial" w:hAnsi="Arial" w:cs="Arial"/>
          <w:b/>
          <w:bCs/>
          <w:sz w:val="22"/>
          <w:szCs w:val="22"/>
          <w:lang w:val="en-US"/>
        </w:rPr>
        <w:t>PipCelG</w:t>
      </w:r>
      <w:r w:rsidRPr="001F47DB">
        <w:rPr>
          <w:rFonts w:ascii="Arial" w:hAnsi="Arial" w:cs="Arial"/>
          <w:sz w:val="22"/>
          <w:szCs w:val="22"/>
          <w:lang w:val="en-US"/>
        </w:rPr>
        <w:t xml:space="preserve">.  (A) Schematic representation of the </w:t>
      </w:r>
      <w:r w:rsidRPr="001F47DB">
        <w:rPr>
          <w:rFonts w:ascii="Arial" w:hAnsi="Arial" w:cs="Arial"/>
          <w:i/>
          <w:iCs/>
          <w:sz w:val="22"/>
          <w:szCs w:val="22"/>
          <w:lang w:val="en-US"/>
        </w:rPr>
        <w:t>Wolbachia</w:t>
      </w:r>
      <w:r w:rsidRPr="001F47DB">
        <w:rPr>
          <w:rFonts w:ascii="Arial" w:hAnsi="Arial" w:cs="Arial"/>
          <w:sz w:val="22"/>
          <w:szCs w:val="22"/>
          <w:lang w:val="en-US"/>
        </w:rPr>
        <w:t xml:space="preserve"> MAG </w:t>
      </w:r>
      <w:r w:rsidRPr="001F47DB">
        <w:rPr>
          <w:rFonts w:ascii="Arial" w:hAnsi="Arial" w:cs="Arial"/>
          <w:i/>
          <w:iCs/>
          <w:sz w:val="22"/>
          <w:szCs w:val="22"/>
          <w:lang w:val="en-US"/>
        </w:rPr>
        <w:t>w</w:t>
      </w:r>
      <w:r w:rsidRPr="001F47DB">
        <w:rPr>
          <w:rFonts w:ascii="Arial" w:hAnsi="Arial" w:cs="Arial"/>
          <w:sz w:val="22"/>
          <w:szCs w:val="22"/>
          <w:lang w:val="en-US"/>
        </w:rPr>
        <w:t xml:space="preserve">PipCelG, showing the position of the predicted origin of replication (ORI) and the fragmented contigs corresponding to phage-associated regions, illustrating the overall genome organization obtained from long-read sequencing. (B) Phage-associated contigs larger than 7 kb are displayed, showing their gene synteny and the sequencing coverage profile for each contig, highlighting structural organization and depth of </w:t>
      </w:r>
      <w:r w:rsidR="007D64A1" w:rsidRPr="001F47DB">
        <w:rPr>
          <w:rFonts w:ascii="Arial" w:hAnsi="Arial" w:cs="Arial"/>
          <w:sz w:val="22"/>
          <w:szCs w:val="22"/>
          <w:lang w:val="en-US"/>
        </w:rPr>
        <w:t xml:space="preserve">mapping </w:t>
      </w:r>
      <w:r w:rsidRPr="001F47DB">
        <w:rPr>
          <w:rFonts w:ascii="Arial" w:hAnsi="Arial" w:cs="Arial"/>
          <w:sz w:val="22"/>
          <w:szCs w:val="22"/>
          <w:lang w:val="en-US"/>
        </w:rPr>
        <w:t>across these phage regions.</w:t>
      </w:r>
    </w:p>
    <w:p w14:paraId="76B51CA9" w14:textId="77777777" w:rsidR="009F1ACD" w:rsidRPr="001F47DB" w:rsidRDefault="009F1ACD" w:rsidP="00D6155D">
      <w:pPr>
        <w:spacing w:line="360" w:lineRule="auto"/>
        <w:jc w:val="both"/>
        <w:rPr>
          <w:rFonts w:ascii="Arial" w:hAnsi="Arial" w:cs="Arial"/>
          <w:sz w:val="22"/>
          <w:szCs w:val="22"/>
          <w:lang w:val="en-US"/>
        </w:rPr>
      </w:pPr>
    </w:p>
    <w:p w14:paraId="2D7E874D" w14:textId="77777777" w:rsidR="004B730D" w:rsidRPr="001F47DB" w:rsidRDefault="004B730D" w:rsidP="00D6155D">
      <w:pPr>
        <w:spacing w:line="360" w:lineRule="auto"/>
        <w:jc w:val="both"/>
        <w:rPr>
          <w:rFonts w:ascii="Arial" w:hAnsi="Arial" w:cs="Arial"/>
          <w:sz w:val="22"/>
          <w:szCs w:val="22"/>
          <w:lang w:val="en-US"/>
        </w:rPr>
      </w:pPr>
    </w:p>
    <w:p w14:paraId="5BCE4DB4" w14:textId="77777777" w:rsidR="004B730D" w:rsidRPr="001F47DB" w:rsidRDefault="004B730D" w:rsidP="00D6155D">
      <w:pPr>
        <w:spacing w:line="360" w:lineRule="auto"/>
        <w:jc w:val="both"/>
        <w:rPr>
          <w:rFonts w:ascii="Arial" w:hAnsi="Arial" w:cs="Arial"/>
          <w:sz w:val="22"/>
          <w:szCs w:val="22"/>
          <w:lang w:val="en-US"/>
        </w:rPr>
      </w:pPr>
      <w:r w:rsidRPr="001F47DB">
        <w:rPr>
          <w:rFonts w:ascii="Arial" w:hAnsi="Arial" w:cs="Arial"/>
          <w:noProof/>
          <w:sz w:val="22"/>
          <w:szCs w:val="22"/>
        </w:rPr>
        <w:lastRenderedPageBreak/>
        <w:drawing>
          <wp:inline distT="0" distB="0" distL="0" distR="0" wp14:anchorId="39FD563C" wp14:editId="399D5A7A">
            <wp:extent cx="4798646" cy="3866756"/>
            <wp:effectExtent l="0" t="0" r="2540" b="0"/>
            <wp:docPr id="7" name="Image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Une image contenant texte, diagramme, capture d’écran, ligne&#10;&#10;Le contenu généré par l’IA peut être incorrect."/>
                    <pic:cNvPicPr>
                      <a:picLocks noChangeAspect="1" noChangeArrowheads="1"/>
                    </pic:cNvPicPr>
                  </pic:nvPicPr>
                  <pic:blipFill rotWithShape="1">
                    <a:blip r:embed="rId10"/>
                    <a:srcRect l="2930" t="2961" r="2510" b="2957"/>
                    <a:stretch>
                      <a:fillRect/>
                    </a:stretch>
                  </pic:blipFill>
                  <pic:spPr bwMode="auto">
                    <a:xfrm>
                      <a:off x="0" y="0"/>
                      <a:ext cx="4856722" cy="3913554"/>
                    </a:xfrm>
                    <a:prstGeom prst="rect">
                      <a:avLst/>
                    </a:prstGeom>
                    <a:ln>
                      <a:noFill/>
                    </a:ln>
                    <a:extLst>
                      <a:ext uri="{53640926-AAD7-44D8-BBD7-CCE9431645EC}">
                        <a14:shadowObscured xmlns:a14="http://schemas.microsoft.com/office/drawing/2010/main"/>
                      </a:ext>
                    </a:extLst>
                  </pic:spPr>
                </pic:pic>
              </a:graphicData>
            </a:graphic>
          </wp:inline>
        </w:drawing>
      </w:r>
    </w:p>
    <w:p w14:paraId="1487D4D9" w14:textId="4D40D6E5" w:rsidR="004B730D" w:rsidRPr="001F47DB" w:rsidRDefault="004B730D"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7</w:t>
      </w:r>
      <w:r w:rsidRPr="001F47DB">
        <w:rPr>
          <w:rFonts w:ascii="Arial" w:hAnsi="Arial" w:cs="Arial"/>
          <w:sz w:val="22"/>
          <w:szCs w:val="22"/>
          <w:lang w:val="en-US"/>
        </w:rPr>
        <w:t xml:space="preserve">: </w:t>
      </w:r>
      <w:r w:rsidRPr="001F47DB">
        <w:rPr>
          <w:rFonts w:ascii="Arial" w:hAnsi="Arial" w:cs="Arial"/>
          <w:b/>
          <w:bCs/>
          <w:sz w:val="22"/>
          <w:szCs w:val="22"/>
          <w:lang w:val="en-US"/>
        </w:rPr>
        <w:t>Phylogeny on the serine recombinase of WO</w:t>
      </w:r>
      <w:r w:rsidRPr="001F47DB">
        <w:rPr>
          <w:rFonts w:ascii="Arial" w:hAnsi="Arial" w:cs="Arial"/>
          <w:sz w:val="22"/>
          <w:szCs w:val="22"/>
          <w:lang w:val="en-US"/>
        </w:rPr>
        <w:t xml:space="preserve">. Maximum Likelihood tree inferred from amino acid sequences of large serine recombinases (LSRs) encoded by WO prophages, including sequences from the reference </w:t>
      </w:r>
      <w:proofErr w:type="spellStart"/>
      <w:r w:rsidRPr="001F47DB">
        <w:rPr>
          <w:rFonts w:ascii="Arial" w:hAnsi="Arial" w:cs="Arial"/>
          <w:i/>
          <w:iCs/>
          <w:sz w:val="22"/>
          <w:szCs w:val="22"/>
          <w:lang w:val="en-US"/>
        </w:rPr>
        <w:t>w</w:t>
      </w:r>
      <w:r w:rsidRPr="001F47DB">
        <w:rPr>
          <w:rFonts w:ascii="Arial" w:hAnsi="Arial" w:cs="Arial"/>
          <w:sz w:val="22"/>
          <w:szCs w:val="22"/>
          <w:lang w:val="en-US"/>
        </w:rPr>
        <w:t>Mel</w:t>
      </w:r>
      <w:proofErr w:type="spellEnd"/>
      <w:r w:rsidRPr="001F47DB">
        <w:rPr>
          <w:rFonts w:ascii="Arial" w:hAnsi="Arial" w:cs="Arial"/>
          <w:sz w:val="22"/>
          <w:szCs w:val="22"/>
          <w:lang w:val="en-US"/>
        </w:rPr>
        <w:t xml:space="preserve"> genome (WD_0288 and WD_0634) and representative members of the four </w:t>
      </w:r>
      <w:proofErr w:type="spellStart"/>
      <w:r w:rsidRPr="001F47DB">
        <w:rPr>
          <w:rFonts w:ascii="Arial" w:hAnsi="Arial" w:cs="Arial"/>
          <w:sz w:val="22"/>
          <w:szCs w:val="22"/>
          <w:lang w:val="en-US"/>
        </w:rPr>
        <w:t>srWO</w:t>
      </w:r>
      <w:proofErr w:type="spellEnd"/>
      <w:r w:rsidRPr="001F47DB">
        <w:rPr>
          <w:rFonts w:ascii="Arial" w:hAnsi="Arial" w:cs="Arial"/>
          <w:sz w:val="22"/>
          <w:szCs w:val="22"/>
          <w:lang w:val="en-US"/>
        </w:rPr>
        <w:t xml:space="preserve"> clades defined by Bordenstein &amp; Bordenstein (2022). Newly identified sequences from this study are highlighted in red. Node support values represent bootstrap percentages (1,000 replicates), and the tree is midpoint-rooted.</w:t>
      </w:r>
    </w:p>
    <w:p w14:paraId="5E9F4DF7" w14:textId="77777777" w:rsidR="00BA7C0F" w:rsidRPr="001F47DB" w:rsidRDefault="00BA7C0F" w:rsidP="00D6155D">
      <w:pPr>
        <w:spacing w:line="360" w:lineRule="auto"/>
        <w:jc w:val="both"/>
        <w:rPr>
          <w:rFonts w:ascii="Arial" w:hAnsi="Arial" w:cs="Arial"/>
          <w:sz w:val="22"/>
          <w:szCs w:val="22"/>
          <w:lang w:val="en-US"/>
        </w:rPr>
      </w:pPr>
    </w:p>
    <w:p w14:paraId="00F6F56F" w14:textId="2FB67160" w:rsidR="006E2813" w:rsidRPr="001F47DB" w:rsidRDefault="00DD0C06" w:rsidP="00D6155D">
      <w:pPr>
        <w:spacing w:line="360" w:lineRule="auto"/>
        <w:jc w:val="both"/>
        <w:rPr>
          <w:rFonts w:ascii="Arial" w:hAnsi="Arial" w:cs="Arial"/>
          <w:sz w:val="22"/>
          <w:szCs w:val="22"/>
          <w:lang w:val="en-US"/>
        </w:rPr>
      </w:pPr>
      <w:r w:rsidRPr="001F47DB">
        <w:rPr>
          <w:rFonts w:ascii="Arial" w:hAnsi="Arial" w:cs="Arial"/>
          <w:noProof/>
          <w:sz w:val="22"/>
          <w:szCs w:val="22"/>
          <w:lang w:val="en-US"/>
        </w:rPr>
        <w:lastRenderedPageBreak/>
        <w:drawing>
          <wp:inline distT="0" distB="0" distL="0" distR="0" wp14:anchorId="05284B97" wp14:editId="3D6FDCC0">
            <wp:extent cx="5579390" cy="7823570"/>
            <wp:effectExtent l="0" t="0" r="0" b="0"/>
            <wp:docPr id="1499287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87638" name="Image 1499287638"/>
                    <pic:cNvPicPr/>
                  </pic:nvPicPr>
                  <pic:blipFill>
                    <a:blip r:embed="rId11"/>
                    <a:stretch>
                      <a:fillRect/>
                    </a:stretch>
                  </pic:blipFill>
                  <pic:spPr>
                    <a:xfrm>
                      <a:off x="0" y="0"/>
                      <a:ext cx="5583565" cy="7829425"/>
                    </a:xfrm>
                    <a:prstGeom prst="rect">
                      <a:avLst/>
                    </a:prstGeom>
                  </pic:spPr>
                </pic:pic>
              </a:graphicData>
            </a:graphic>
          </wp:inline>
        </w:drawing>
      </w:r>
    </w:p>
    <w:p w14:paraId="1D325DFF" w14:textId="77777777" w:rsidR="006E2813" w:rsidRPr="001F47DB" w:rsidRDefault="006E2813" w:rsidP="00D6155D">
      <w:pPr>
        <w:spacing w:line="360" w:lineRule="auto"/>
        <w:jc w:val="both"/>
        <w:rPr>
          <w:rFonts w:ascii="Arial" w:hAnsi="Arial" w:cs="Arial"/>
          <w:b/>
          <w:bCs/>
          <w:sz w:val="22"/>
          <w:szCs w:val="22"/>
          <w:lang w:val="en-US"/>
        </w:rPr>
      </w:pPr>
    </w:p>
    <w:p w14:paraId="528AD930" w14:textId="6E8C6A4D" w:rsidR="005E0D41" w:rsidRPr="001F47DB" w:rsidRDefault="00000000"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 xml:space="preserve">Supplementary Figure </w:t>
      </w:r>
      <w:r w:rsidR="00BA7C0F" w:rsidRPr="001F47DB">
        <w:rPr>
          <w:rFonts w:ascii="Arial" w:hAnsi="Arial" w:cs="Arial"/>
          <w:b/>
          <w:bCs/>
          <w:sz w:val="22"/>
          <w:szCs w:val="22"/>
          <w:lang w:val="en-US"/>
        </w:rPr>
        <w:t>8</w:t>
      </w:r>
      <w:r w:rsidRPr="001F47DB">
        <w:rPr>
          <w:rFonts w:ascii="Arial" w:hAnsi="Arial" w:cs="Arial"/>
          <w:sz w:val="22"/>
          <w:szCs w:val="22"/>
          <w:lang w:val="en-US"/>
        </w:rPr>
        <w:t xml:space="preserve">: </w:t>
      </w:r>
      <w:r w:rsidRPr="001F47DB">
        <w:rPr>
          <w:rFonts w:ascii="Arial" w:hAnsi="Arial" w:cs="Arial"/>
          <w:b/>
          <w:bCs/>
          <w:sz w:val="22"/>
          <w:szCs w:val="22"/>
          <w:lang w:val="en-US"/>
        </w:rPr>
        <w:t xml:space="preserve">Coverage of </w:t>
      </w:r>
      <w:r w:rsidR="00AA1B7B">
        <w:rPr>
          <w:rFonts w:ascii="Arial" w:hAnsi="Arial" w:cs="Arial"/>
          <w:b/>
          <w:bCs/>
          <w:sz w:val="22"/>
          <w:szCs w:val="22"/>
          <w:lang w:val="en-US"/>
        </w:rPr>
        <w:t>filtered</w:t>
      </w:r>
      <w:r w:rsidR="00AA1B7B" w:rsidRPr="001F47DB">
        <w:rPr>
          <w:rFonts w:ascii="Arial" w:hAnsi="Arial" w:cs="Arial"/>
          <w:b/>
          <w:bCs/>
          <w:sz w:val="22"/>
          <w:szCs w:val="22"/>
          <w:lang w:val="en-US"/>
        </w:rPr>
        <w:t xml:space="preserve"> </w:t>
      </w:r>
      <w:r w:rsidRPr="001F47DB">
        <w:rPr>
          <w:rFonts w:ascii="Arial" w:hAnsi="Arial" w:cs="Arial"/>
          <w:b/>
          <w:bCs/>
          <w:sz w:val="22"/>
          <w:szCs w:val="22"/>
          <w:lang w:val="en-US"/>
        </w:rPr>
        <w:t>reads mapped to phage WO genes clusters and estimation of gene copy numbers</w:t>
      </w:r>
      <w:r w:rsidRPr="001F47DB">
        <w:rPr>
          <w:rFonts w:ascii="Arial" w:hAnsi="Arial" w:cs="Arial"/>
          <w:sz w:val="22"/>
          <w:szCs w:val="22"/>
          <w:lang w:val="en-US"/>
        </w:rPr>
        <w:t xml:space="preserve">. </w:t>
      </w:r>
      <w:r w:rsidR="00AA1B7B" w:rsidRPr="007F6254">
        <w:rPr>
          <w:rFonts w:ascii="Arial" w:hAnsi="Arial" w:cs="Arial"/>
          <w:sz w:val="22"/>
          <w:szCs w:val="22"/>
          <w:lang w:val="en-US"/>
        </w:rPr>
        <w:t>Filtered</w:t>
      </w:r>
      <w:r w:rsidR="00AA1B7B" w:rsidRPr="001F47DB">
        <w:rPr>
          <w:rFonts w:ascii="Arial" w:hAnsi="Arial" w:cs="Arial"/>
          <w:sz w:val="22"/>
          <w:szCs w:val="22"/>
          <w:lang w:val="en-US"/>
        </w:rPr>
        <w:t xml:space="preserve"> </w:t>
      </w:r>
      <w:r w:rsidRPr="001F47DB">
        <w:rPr>
          <w:rFonts w:ascii="Arial" w:hAnsi="Arial" w:cs="Arial"/>
          <w:sz w:val="22"/>
          <w:szCs w:val="22"/>
          <w:lang w:val="en-US"/>
        </w:rPr>
        <w:t xml:space="preserve">reads were mapped to representative sequences of phage WO gene clusters, and coverage depth is shown alongside </w:t>
      </w:r>
      <w:r w:rsidRPr="001F47DB">
        <w:rPr>
          <w:rFonts w:ascii="Arial" w:hAnsi="Arial" w:cs="Arial"/>
          <w:sz w:val="22"/>
          <w:szCs w:val="22"/>
          <w:lang w:val="en-US"/>
        </w:rPr>
        <w:lastRenderedPageBreak/>
        <w:t xml:space="preserve">estimated gene copy numbers in </w:t>
      </w:r>
      <w:r w:rsidRPr="001F47DB">
        <w:rPr>
          <w:rFonts w:ascii="Arial" w:hAnsi="Arial" w:cs="Arial"/>
          <w:i/>
          <w:iCs/>
          <w:sz w:val="22"/>
          <w:szCs w:val="22"/>
          <w:lang w:val="en-US"/>
        </w:rPr>
        <w:t>w</w:t>
      </w:r>
      <w:r w:rsidRPr="001F47DB">
        <w:rPr>
          <w:rFonts w:ascii="Arial" w:hAnsi="Arial" w:cs="Arial"/>
          <w:sz w:val="22"/>
          <w:szCs w:val="22"/>
          <w:lang w:val="en-US"/>
        </w:rPr>
        <w:t xml:space="preserve">PipCelG (in red), assembled copies in </w:t>
      </w:r>
      <w:r w:rsidRPr="001F47DB">
        <w:rPr>
          <w:rFonts w:ascii="Arial" w:hAnsi="Arial" w:cs="Arial"/>
          <w:i/>
          <w:iCs/>
          <w:sz w:val="22"/>
          <w:szCs w:val="22"/>
          <w:lang w:val="en-US"/>
        </w:rPr>
        <w:t>w</w:t>
      </w:r>
      <w:r w:rsidRPr="001F47DB">
        <w:rPr>
          <w:rFonts w:ascii="Arial" w:hAnsi="Arial" w:cs="Arial"/>
          <w:sz w:val="22"/>
          <w:szCs w:val="22"/>
          <w:lang w:val="en-US"/>
        </w:rPr>
        <w:t xml:space="preserve">PipCelG (in green), and in </w:t>
      </w:r>
      <w:r w:rsidRPr="001F47DB">
        <w:rPr>
          <w:rFonts w:ascii="Arial" w:hAnsi="Arial" w:cs="Arial"/>
          <w:i/>
          <w:iCs/>
          <w:sz w:val="22"/>
          <w:szCs w:val="22"/>
          <w:lang w:val="en-US"/>
        </w:rPr>
        <w:t>w</w:t>
      </w:r>
      <w:r w:rsidRPr="001F47DB">
        <w:rPr>
          <w:rFonts w:ascii="Arial" w:hAnsi="Arial" w:cs="Arial"/>
          <w:sz w:val="22"/>
          <w:szCs w:val="22"/>
          <w:lang w:val="en-US"/>
        </w:rPr>
        <w:t xml:space="preserve">PipPel (in blue). Gene clusters were generated during </w:t>
      </w:r>
      <w:proofErr w:type="spellStart"/>
      <w:r w:rsidRPr="001F47DB">
        <w:rPr>
          <w:rFonts w:ascii="Arial" w:hAnsi="Arial" w:cs="Arial"/>
          <w:sz w:val="22"/>
          <w:szCs w:val="22"/>
          <w:lang w:val="en-US"/>
        </w:rPr>
        <w:t>pangenomic</w:t>
      </w:r>
      <w:proofErr w:type="spellEnd"/>
      <w:r w:rsidRPr="001F47DB">
        <w:rPr>
          <w:rFonts w:ascii="Arial" w:hAnsi="Arial" w:cs="Arial"/>
          <w:sz w:val="22"/>
          <w:szCs w:val="22"/>
          <w:lang w:val="en-US"/>
        </w:rPr>
        <w:t xml:space="preserve"> analyses, and each coverage value corresponds to the mapping depth on the longest gene of the cluster.</w:t>
      </w:r>
    </w:p>
    <w:p w14:paraId="6C48E3A7" w14:textId="77777777" w:rsidR="005E0D41" w:rsidRPr="001F47DB" w:rsidRDefault="005E0D41" w:rsidP="00D6155D">
      <w:pPr>
        <w:spacing w:line="360" w:lineRule="auto"/>
        <w:jc w:val="both"/>
        <w:rPr>
          <w:rFonts w:ascii="Arial" w:hAnsi="Arial" w:cs="Arial"/>
          <w:sz w:val="22"/>
          <w:szCs w:val="22"/>
          <w:lang w:val="en-US"/>
        </w:rPr>
      </w:pPr>
      <w:r w:rsidRPr="001F47DB">
        <w:rPr>
          <w:rFonts w:ascii="Arial" w:hAnsi="Arial" w:cs="Arial"/>
          <w:sz w:val="22"/>
          <w:szCs w:val="22"/>
          <w:lang w:val="en-US"/>
        </w:rPr>
        <w:t xml:space="preserve">The figure aggregates all modules, including integration/replication (transposases, ankyrin repeats, connector/baseplate, replication/repair), structural and effector components (tail, head, tail fiber, toxins, cytoplasmic incompatibility factors), and additional modules of interest (repair machinery, transcriptional regulators, DUF1016, </w:t>
      </w:r>
      <w:r w:rsidRPr="001F47DB">
        <w:rPr>
          <w:rFonts w:ascii="Arial" w:hAnsi="Arial" w:cs="Arial"/>
          <w:i/>
          <w:iCs/>
          <w:sz w:val="22"/>
          <w:szCs w:val="22"/>
          <w:lang w:val="en-US"/>
        </w:rPr>
        <w:t>WO-PC1</w:t>
      </w:r>
      <w:r w:rsidRPr="001F47DB">
        <w:rPr>
          <w:rFonts w:ascii="Arial" w:hAnsi="Arial" w:cs="Arial"/>
          <w:sz w:val="22"/>
          <w:szCs w:val="22"/>
          <w:lang w:val="en-US"/>
        </w:rPr>
        <w:t xml:space="preserve">, </w:t>
      </w:r>
      <w:proofErr w:type="spellStart"/>
      <w:r w:rsidRPr="001F47DB">
        <w:rPr>
          <w:rFonts w:ascii="Arial" w:hAnsi="Arial" w:cs="Arial"/>
          <w:sz w:val="22"/>
          <w:szCs w:val="22"/>
          <w:lang w:val="en-US"/>
        </w:rPr>
        <w:t>patatin</w:t>
      </w:r>
      <w:proofErr w:type="spellEnd"/>
      <w:r w:rsidRPr="001F47DB">
        <w:rPr>
          <w:rFonts w:ascii="Arial" w:hAnsi="Arial" w:cs="Arial"/>
          <w:sz w:val="22"/>
          <w:szCs w:val="22"/>
          <w:lang w:val="en-US"/>
        </w:rPr>
        <w:t xml:space="preserve"> phospholipases, chaperones, metabolism-related genes, and six remaining individual genes). The average estimated copy number per module (red value) is indicated in the upper-right inset of each panel.</w:t>
      </w:r>
    </w:p>
    <w:p w14:paraId="48D4A463" w14:textId="77777777" w:rsidR="006E2813" w:rsidRPr="001F47DB" w:rsidRDefault="006E2813" w:rsidP="00D6155D">
      <w:pPr>
        <w:spacing w:line="360" w:lineRule="auto"/>
        <w:jc w:val="both"/>
        <w:rPr>
          <w:rFonts w:ascii="Arial" w:hAnsi="Arial" w:cs="Arial"/>
          <w:sz w:val="22"/>
          <w:szCs w:val="22"/>
          <w:lang w:val="en-US"/>
        </w:rPr>
      </w:pPr>
    </w:p>
    <w:p w14:paraId="3A6CE6DC" w14:textId="77777777" w:rsidR="004B730D" w:rsidRPr="001F47DB" w:rsidRDefault="004B730D" w:rsidP="00D6155D">
      <w:pPr>
        <w:spacing w:line="360" w:lineRule="auto"/>
        <w:jc w:val="both"/>
        <w:rPr>
          <w:rFonts w:ascii="Arial" w:hAnsi="Arial" w:cs="Arial"/>
          <w:sz w:val="22"/>
          <w:szCs w:val="22"/>
          <w:lang w:val="en-US"/>
        </w:rPr>
      </w:pPr>
      <w:r w:rsidRPr="001F47DB">
        <w:rPr>
          <w:rFonts w:ascii="Arial" w:hAnsi="Arial" w:cs="Arial"/>
          <w:noProof/>
          <w:sz w:val="22"/>
          <w:szCs w:val="22"/>
          <w:lang w:val="en-US"/>
        </w:rPr>
        <w:drawing>
          <wp:inline distT="0" distB="0" distL="0" distR="0" wp14:anchorId="2E15A2A8" wp14:editId="0F0DD4A9">
            <wp:extent cx="6149340" cy="3751152"/>
            <wp:effectExtent l="0" t="0" r="0" b="0"/>
            <wp:docPr id="64381284" name="Image 1" descr="Une image contenant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284" name="Image 1" descr="Une image contenant capture d’écran, diagramme, lign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70336" cy="3763960"/>
                    </a:xfrm>
                    <a:prstGeom prst="rect">
                      <a:avLst/>
                    </a:prstGeom>
                  </pic:spPr>
                </pic:pic>
              </a:graphicData>
            </a:graphic>
          </wp:inline>
        </w:drawing>
      </w:r>
    </w:p>
    <w:p w14:paraId="7EE14EE6" w14:textId="77777777" w:rsidR="004B730D" w:rsidRPr="001F47DB" w:rsidRDefault="004B730D" w:rsidP="00D6155D">
      <w:pPr>
        <w:spacing w:line="360" w:lineRule="auto"/>
        <w:jc w:val="both"/>
        <w:rPr>
          <w:rFonts w:ascii="Arial" w:hAnsi="Arial" w:cs="Arial"/>
          <w:sz w:val="22"/>
          <w:szCs w:val="22"/>
          <w:lang w:val="en-US"/>
        </w:rPr>
      </w:pPr>
    </w:p>
    <w:p w14:paraId="20B33844" w14:textId="111D28A9" w:rsidR="006E2813" w:rsidRDefault="004B730D" w:rsidP="00D6155D">
      <w:pPr>
        <w:spacing w:line="360" w:lineRule="auto"/>
        <w:jc w:val="both"/>
        <w:rPr>
          <w:rFonts w:ascii="Arial" w:hAnsi="Arial" w:cs="Arial"/>
          <w:sz w:val="22"/>
          <w:szCs w:val="22"/>
          <w:lang w:val="en-US"/>
        </w:rPr>
      </w:pPr>
      <w:r w:rsidRPr="001F47DB">
        <w:rPr>
          <w:rFonts w:ascii="Arial" w:hAnsi="Arial" w:cs="Arial"/>
          <w:b/>
          <w:bCs/>
          <w:sz w:val="22"/>
          <w:szCs w:val="22"/>
          <w:lang w:val="en-US"/>
        </w:rPr>
        <w:t>Supplementary Figure 9</w:t>
      </w:r>
      <w:r w:rsidRPr="001F47DB">
        <w:rPr>
          <w:rFonts w:ascii="Arial" w:hAnsi="Arial" w:cs="Arial"/>
          <w:sz w:val="22"/>
          <w:szCs w:val="22"/>
          <w:lang w:val="en-US"/>
        </w:rPr>
        <w:t xml:space="preserve">: </w:t>
      </w:r>
      <w:r w:rsidRPr="001F47DB">
        <w:rPr>
          <w:rFonts w:ascii="Arial" w:hAnsi="Arial" w:cs="Arial"/>
          <w:b/>
          <w:bCs/>
          <w:sz w:val="22"/>
          <w:szCs w:val="22"/>
          <w:lang w:val="en-US"/>
        </w:rPr>
        <w:t xml:space="preserve">The </w:t>
      </w:r>
      <w:r w:rsidRPr="001F47DB">
        <w:rPr>
          <w:rFonts w:ascii="Arial" w:hAnsi="Arial" w:cs="Arial"/>
          <w:b/>
          <w:bCs/>
          <w:i/>
          <w:iCs/>
          <w:sz w:val="22"/>
          <w:szCs w:val="22"/>
          <w:lang w:val="en-US"/>
        </w:rPr>
        <w:t>cifA</w:t>
      </w:r>
      <w:r w:rsidRPr="001F47DB">
        <w:rPr>
          <w:rFonts w:ascii="Arial" w:hAnsi="Arial" w:cs="Arial"/>
          <w:b/>
          <w:bCs/>
          <w:sz w:val="22"/>
          <w:szCs w:val="22"/>
          <w:lang w:val="en-US"/>
        </w:rPr>
        <w:t xml:space="preserve"> (Type I) synteny puzzle: long-read gene-adjacency graph.</w:t>
      </w:r>
      <w:r w:rsidRPr="001F47DB">
        <w:rPr>
          <w:rFonts w:ascii="Arial" w:hAnsi="Arial" w:cs="Arial"/>
          <w:sz w:val="22"/>
          <w:szCs w:val="22"/>
          <w:lang w:val="en-US"/>
        </w:rPr>
        <w:t xml:space="preserve"> Directed gene-adjacency graph derived from 60 annotated Nanopore reads (≥10 kb) that contained </w:t>
      </w:r>
      <w:r w:rsidR="00AA1B7B">
        <w:rPr>
          <w:rFonts w:ascii="Arial" w:hAnsi="Arial" w:cs="Arial"/>
          <w:i/>
          <w:iCs/>
          <w:sz w:val="22"/>
          <w:szCs w:val="22"/>
          <w:lang w:val="en-US"/>
        </w:rPr>
        <w:t>c</w:t>
      </w:r>
      <w:r w:rsidR="00AA1B7B" w:rsidRPr="001F47DB">
        <w:rPr>
          <w:rFonts w:ascii="Arial" w:hAnsi="Arial" w:cs="Arial"/>
          <w:i/>
          <w:iCs/>
          <w:sz w:val="22"/>
          <w:szCs w:val="22"/>
          <w:lang w:val="en-US"/>
        </w:rPr>
        <w:t xml:space="preserve">if </w:t>
      </w:r>
      <w:r w:rsidRPr="001F47DB">
        <w:rPr>
          <w:rFonts w:ascii="Arial" w:hAnsi="Arial" w:cs="Arial"/>
          <w:i/>
          <w:iCs/>
          <w:sz w:val="22"/>
          <w:szCs w:val="22"/>
          <w:lang w:val="en-US"/>
        </w:rPr>
        <w:t>(</w:t>
      </w:r>
      <w:r w:rsidRPr="001F47DB">
        <w:rPr>
          <w:rFonts w:ascii="Arial" w:hAnsi="Arial" w:cs="Arial"/>
          <w:sz w:val="22"/>
          <w:szCs w:val="22"/>
          <w:lang w:val="en-US"/>
        </w:rPr>
        <w:t>Type I or IV) and/or genes from the region near these loci (</w:t>
      </w:r>
      <w:r w:rsidRPr="007F6254">
        <w:rPr>
          <w:rFonts w:ascii="Arial" w:hAnsi="Arial" w:cs="Arial"/>
          <w:i/>
          <w:iCs/>
          <w:sz w:val="22"/>
          <w:szCs w:val="22"/>
          <w:lang w:val="en-US"/>
        </w:rPr>
        <w:t>e.g.</w:t>
      </w:r>
      <w:r w:rsidRPr="001F47DB">
        <w:rPr>
          <w:rFonts w:ascii="Arial" w:hAnsi="Arial" w:cs="Arial"/>
          <w:sz w:val="22"/>
          <w:szCs w:val="22"/>
          <w:lang w:val="en-US"/>
        </w:rPr>
        <w:t xml:space="preserve">, transposases WP0281/WP0291, </w:t>
      </w:r>
      <w:proofErr w:type="spellStart"/>
      <w:r w:rsidRPr="007F6254">
        <w:rPr>
          <w:rFonts w:ascii="Arial" w:hAnsi="Arial" w:cs="Arial"/>
          <w:i/>
          <w:iCs/>
          <w:sz w:val="22"/>
          <w:szCs w:val="22"/>
          <w:lang w:val="en-US"/>
        </w:rPr>
        <w:t>rnhA</w:t>
      </w:r>
      <w:proofErr w:type="spellEnd"/>
      <w:r w:rsidRPr="001F47DB">
        <w:rPr>
          <w:rFonts w:ascii="Arial" w:hAnsi="Arial" w:cs="Arial"/>
          <w:sz w:val="22"/>
          <w:szCs w:val="22"/>
          <w:lang w:val="en-US"/>
        </w:rPr>
        <w:t xml:space="preserve"> WP0279, </w:t>
      </w:r>
      <w:r w:rsidR="00AA1B7B" w:rsidRPr="007F6254">
        <w:rPr>
          <w:rFonts w:ascii="Arial" w:hAnsi="Arial" w:cs="Arial"/>
          <w:i/>
          <w:iCs/>
          <w:sz w:val="22"/>
          <w:szCs w:val="22"/>
          <w:lang w:val="en-US"/>
        </w:rPr>
        <w:t>mut</w:t>
      </w:r>
      <w:r w:rsidR="00AA1B7B">
        <w:rPr>
          <w:rFonts w:ascii="Arial" w:hAnsi="Arial" w:cs="Arial"/>
          <w:i/>
          <w:iCs/>
          <w:sz w:val="22"/>
          <w:szCs w:val="22"/>
          <w:lang w:val="en-US"/>
        </w:rPr>
        <w:t>L</w:t>
      </w:r>
      <w:r w:rsidRPr="001F47DB">
        <w:rPr>
          <w:rFonts w:ascii="Arial" w:hAnsi="Arial" w:cs="Arial"/>
          <w:sz w:val="22"/>
          <w:szCs w:val="22"/>
          <w:lang w:val="en-US"/>
        </w:rPr>
        <w:t xml:space="preserve">WP0278, </w:t>
      </w:r>
      <w:proofErr w:type="spellStart"/>
      <w:r w:rsidRPr="007F6254">
        <w:rPr>
          <w:rFonts w:ascii="Arial" w:hAnsi="Arial" w:cs="Arial"/>
          <w:i/>
          <w:iCs/>
          <w:sz w:val="22"/>
          <w:szCs w:val="22"/>
          <w:lang w:val="en-US"/>
        </w:rPr>
        <w:t>intII</w:t>
      </w:r>
      <w:proofErr w:type="spellEnd"/>
      <w:r w:rsidRPr="001F47DB">
        <w:rPr>
          <w:rFonts w:ascii="Arial" w:hAnsi="Arial" w:cs="Arial"/>
          <w:sz w:val="22"/>
          <w:szCs w:val="22"/>
          <w:lang w:val="en-US"/>
        </w:rPr>
        <w:t xml:space="preserve"> WP0280, TR/</w:t>
      </w:r>
      <w:proofErr w:type="spellStart"/>
      <w:r w:rsidRPr="001F47DB">
        <w:rPr>
          <w:rFonts w:ascii="Arial" w:hAnsi="Arial" w:cs="Arial"/>
          <w:sz w:val="22"/>
          <w:szCs w:val="22"/>
          <w:lang w:val="en-US"/>
        </w:rPr>
        <w:t>wmk</w:t>
      </w:r>
      <w:proofErr w:type="spellEnd"/>
      <w:r w:rsidRPr="001F47DB">
        <w:rPr>
          <w:rFonts w:ascii="Arial" w:hAnsi="Arial" w:cs="Arial"/>
          <w:sz w:val="22"/>
          <w:szCs w:val="22"/>
          <w:lang w:val="en-US"/>
        </w:rPr>
        <w:t xml:space="preserve">-like). For each long read, WO gene hits were ordered by their coordinates on the read, and every consecutive pair was tallied as an adjacency event. Nodes represent genes; edges represent observed adjacencies, labeled with the number of adjacency events aggregated across reads, and drawn with widths proportional to this count. The layout is rooted at </w:t>
      </w:r>
      <w:r w:rsidRPr="001F47DB">
        <w:rPr>
          <w:rFonts w:ascii="Arial" w:hAnsi="Arial" w:cs="Arial"/>
          <w:i/>
          <w:iCs/>
          <w:sz w:val="22"/>
          <w:szCs w:val="22"/>
          <w:lang w:val="en-US"/>
        </w:rPr>
        <w:t>cifA</w:t>
      </w:r>
      <w:r w:rsidRPr="001F47DB">
        <w:rPr>
          <w:rFonts w:ascii="Arial" w:hAnsi="Arial" w:cs="Arial"/>
          <w:sz w:val="22"/>
          <w:szCs w:val="22"/>
          <w:lang w:val="en-US"/>
        </w:rPr>
        <w:t xml:space="preserve"> (WP0282) to emphasize alternative routes emanating from this gene.</w:t>
      </w:r>
    </w:p>
    <w:p w14:paraId="3BE14AB3" w14:textId="77777777" w:rsidR="00A74A70" w:rsidRPr="004E04FB" w:rsidRDefault="00A74A70" w:rsidP="00A74A70">
      <w:pPr>
        <w:rPr>
          <w:rFonts w:ascii="Arial" w:hAnsi="Arial" w:cs="Arial"/>
          <w:b/>
          <w:bCs/>
          <w:sz w:val="28"/>
          <w:szCs w:val="28"/>
          <w:lang w:val="en-US"/>
        </w:rPr>
      </w:pPr>
      <w:r w:rsidRPr="004E04FB">
        <w:rPr>
          <w:rFonts w:ascii="Arial" w:hAnsi="Arial" w:cs="Arial"/>
          <w:b/>
          <w:bCs/>
          <w:sz w:val="28"/>
          <w:szCs w:val="28"/>
          <w:lang w:val="en-US"/>
        </w:rPr>
        <w:lastRenderedPageBreak/>
        <w:t>Supplementary Tables:</w:t>
      </w:r>
    </w:p>
    <w:p w14:paraId="4CFB7816" w14:textId="77777777" w:rsidR="00A74A70" w:rsidRPr="001F47DB" w:rsidRDefault="00A74A70" w:rsidP="00A74A70">
      <w:pPr>
        <w:rPr>
          <w:rFonts w:ascii="Arial" w:hAnsi="Arial" w:cs="Arial"/>
          <w:b/>
          <w:bCs/>
          <w:sz w:val="22"/>
          <w:szCs w:val="22"/>
          <w:lang w:val="en-US"/>
        </w:rPr>
      </w:pPr>
    </w:p>
    <w:p w14:paraId="663AD3A2" w14:textId="77777777" w:rsidR="00A74A70" w:rsidRPr="001F47DB" w:rsidRDefault="00A74A70" w:rsidP="00A74A70">
      <w:pPr>
        <w:rPr>
          <w:rFonts w:ascii="Arial" w:hAnsi="Arial" w:cs="Arial"/>
          <w:b/>
          <w:bCs/>
          <w:sz w:val="22"/>
          <w:szCs w:val="22"/>
          <w:lang w:val="en-US"/>
        </w:rPr>
      </w:pPr>
    </w:p>
    <w:p w14:paraId="79D5E06A" w14:textId="77777777" w:rsidR="00A74A70" w:rsidRPr="001F47DB" w:rsidRDefault="00A74A70" w:rsidP="00A74A70">
      <w:pPr>
        <w:spacing w:line="360" w:lineRule="auto"/>
        <w:jc w:val="both"/>
        <w:rPr>
          <w:rFonts w:ascii="Arial" w:eastAsia="Times New Roman" w:hAnsi="Arial" w:cs="Arial"/>
          <w:color w:val="000000"/>
          <w:kern w:val="0"/>
          <w:sz w:val="22"/>
          <w:szCs w:val="22"/>
          <w:lang w:val="en-US" w:eastAsia="fr-FR"/>
          <w14:ligatures w14:val="none"/>
        </w:rPr>
      </w:pPr>
      <w:r w:rsidRPr="001F47DB">
        <w:rPr>
          <w:rFonts w:ascii="Arial" w:eastAsia="Times New Roman" w:hAnsi="Arial" w:cs="Arial"/>
          <w:b/>
          <w:bCs/>
          <w:color w:val="000000"/>
          <w:kern w:val="0"/>
          <w:sz w:val="22"/>
          <w:szCs w:val="22"/>
          <w:lang w:val="en-US" w:eastAsia="fr-FR"/>
          <w14:ligatures w14:val="none"/>
        </w:rPr>
        <w:t>Supplementary Table 1</w:t>
      </w:r>
      <w:r w:rsidRPr="001F47DB">
        <w:rPr>
          <w:rFonts w:ascii="Arial" w:eastAsia="Times New Roman" w:hAnsi="Arial" w:cs="Arial"/>
          <w:color w:val="000000"/>
          <w:kern w:val="0"/>
          <w:sz w:val="22"/>
          <w:szCs w:val="22"/>
          <w:lang w:val="en-US" w:eastAsia="fr-FR"/>
          <w14:ligatures w14:val="none"/>
        </w:rPr>
        <w:t xml:space="preserve">: </w:t>
      </w:r>
      <w:r w:rsidRPr="001F47DB">
        <w:rPr>
          <w:rFonts w:ascii="Arial" w:eastAsia="Times New Roman" w:hAnsi="Arial" w:cs="Arial"/>
          <w:b/>
          <w:bCs/>
          <w:color w:val="000000"/>
          <w:kern w:val="0"/>
          <w:sz w:val="22"/>
          <w:szCs w:val="22"/>
          <w:lang w:val="en-US" w:eastAsia="fr-FR"/>
          <w14:ligatures w14:val="none"/>
        </w:rPr>
        <w:t>Details of sample preparation for long-read sequencing</w:t>
      </w:r>
    </w:p>
    <w:p w14:paraId="1D0F384C" w14:textId="77777777" w:rsidR="00A74A70" w:rsidRPr="001F47DB" w:rsidRDefault="00A74A70" w:rsidP="00A74A70">
      <w:pPr>
        <w:spacing w:line="360" w:lineRule="auto"/>
        <w:jc w:val="both"/>
        <w:rPr>
          <w:rFonts w:ascii="Arial" w:hAnsi="Arial" w:cs="Arial"/>
          <w:sz w:val="22"/>
          <w:szCs w:val="22"/>
          <w:u w:val="single"/>
          <w:lang w:val="en-US"/>
        </w:rPr>
      </w:pPr>
    </w:p>
    <w:p w14:paraId="6BEF83C3" w14:textId="77777777" w:rsidR="00A74A70" w:rsidRPr="001F47DB" w:rsidRDefault="00A74A70" w:rsidP="00A74A70">
      <w:pPr>
        <w:spacing w:line="360" w:lineRule="auto"/>
        <w:jc w:val="both"/>
        <w:rPr>
          <w:rFonts w:ascii="Arial" w:hAnsi="Arial" w:cs="Arial"/>
          <w:sz w:val="22"/>
          <w:szCs w:val="22"/>
          <w:lang w:val="en-US"/>
        </w:rPr>
      </w:pPr>
      <w:r w:rsidRPr="001F47DB">
        <w:rPr>
          <w:rFonts w:ascii="Arial" w:eastAsia="Times New Roman" w:hAnsi="Arial" w:cs="Arial"/>
          <w:b/>
          <w:bCs/>
          <w:color w:val="000000"/>
          <w:kern w:val="0"/>
          <w:sz w:val="22"/>
          <w:szCs w:val="22"/>
          <w:lang w:val="en-US" w:eastAsia="fr-FR"/>
          <w14:ligatures w14:val="none"/>
        </w:rPr>
        <w:t xml:space="preserve">Supplementary Table 2: </w:t>
      </w:r>
      <w:r w:rsidRPr="001F47DB">
        <w:rPr>
          <w:rFonts w:ascii="Arial" w:hAnsi="Arial" w:cs="Arial"/>
          <w:b/>
          <w:bCs/>
          <w:sz w:val="22"/>
          <w:szCs w:val="22"/>
          <w:lang w:val="en-US"/>
        </w:rPr>
        <w:t>Summary of contig-level assembly metrics and sequencing</w:t>
      </w:r>
    </w:p>
    <w:p w14:paraId="5E9ECCF8" w14:textId="77777777" w:rsidR="00A74A70" w:rsidRPr="001F47DB" w:rsidRDefault="00A74A70" w:rsidP="00A74A70">
      <w:pPr>
        <w:spacing w:line="360" w:lineRule="auto"/>
        <w:jc w:val="both"/>
        <w:rPr>
          <w:rFonts w:ascii="Arial" w:hAnsi="Arial" w:cs="Arial"/>
          <w:sz w:val="22"/>
          <w:szCs w:val="22"/>
          <w:lang w:val="en-US"/>
        </w:rPr>
      </w:pPr>
      <w:r w:rsidRPr="001F47DB">
        <w:rPr>
          <w:rFonts w:ascii="Arial" w:hAnsi="Arial" w:cs="Arial"/>
          <w:sz w:val="22"/>
          <w:szCs w:val="22"/>
          <w:lang w:val="en-US"/>
        </w:rPr>
        <w:t xml:space="preserve">This table reports the characteristics of each contig identified in the </w:t>
      </w:r>
      <w:r w:rsidRPr="001F47DB">
        <w:rPr>
          <w:rFonts w:ascii="Arial" w:hAnsi="Arial" w:cs="Arial"/>
          <w:i/>
          <w:iCs/>
          <w:sz w:val="22"/>
          <w:szCs w:val="22"/>
          <w:lang w:val="en-US"/>
        </w:rPr>
        <w:t>w</w:t>
      </w:r>
      <w:r w:rsidRPr="001F47DB">
        <w:rPr>
          <w:rFonts w:ascii="Arial" w:hAnsi="Arial" w:cs="Arial"/>
          <w:sz w:val="22"/>
          <w:szCs w:val="22"/>
          <w:lang w:val="en-US"/>
        </w:rPr>
        <w:t xml:space="preserve">PipCelG assembly, shown separately for raw mapping data (before quality filtering) and after applying a mapping quality filter of </w:t>
      </w:r>
      <w:proofErr w:type="spellStart"/>
      <w:r w:rsidRPr="001F47DB">
        <w:rPr>
          <w:rFonts w:ascii="Arial" w:hAnsi="Arial" w:cs="Arial"/>
          <w:sz w:val="22"/>
          <w:szCs w:val="22"/>
          <w:lang w:val="en-US"/>
        </w:rPr>
        <w:t>MapQ</w:t>
      </w:r>
      <w:proofErr w:type="spellEnd"/>
      <w:r w:rsidRPr="001F47DB">
        <w:rPr>
          <w:rFonts w:ascii="Arial" w:hAnsi="Arial" w:cs="Arial"/>
          <w:sz w:val="22"/>
          <w:szCs w:val="22"/>
          <w:lang w:val="en-US"/>
        </w:rPr>
        <w:t xml:space="preserve"> &gt; 2. The columns indicate: </w:t>
      </w:r>
      <w:proofErr w:type="spellStart"/>
      <w:r w:rsidRPr="001F47DB">
        <w:rPr>
          <w:rFonts w:ascii="Arial" w:hAnsi="Arial" w:cs="Arial"/>
          <w:sz w:val="22"/>
          <w:szCs w:val="22"/>
          <w:lang w:val="en-US"/>
        </w:rPr>
        <w:t>BLAST_identification</w:t>
      </w:r>
      <w:proofErr w:type="spellEnd"/>
      <w:r w:rsidRPr="001F47DB">
        <w:rPr>
          <w:rFonts w:ascii="Arial" w:hAnsi="Arial" w:cs="Arial"/>
          <w:sz w:val="22"/>
          <w:szCs w:val="22"/>
          <w:lang w:val="en-US"/>
        </w:rPr>
        <w:t xml:space="preserve">: best BLAST hit obtained for the contig, indicating its associated phage type when applicable. </w:t>
      </w:r>
      <w:proofErr w:type="spellStart"/>
      <w:r w:rsidRPr="001F47DB">
        <w:rPr>
          <w:rFonts w:ascii="Arial" w:hAnsi="Arial" w:cs="Arial"/>
          <w:sz w:val="22"/>
          <w:szCs w:val="22"/>
          <w:lang w:val="en-US"/>
        </w:rPr>
        <w:t>Coverage_qc_of_splits</w:t>
      </w:r>
      <w:proofErr w:type="spellEnd"/>
      <w:r w:rsidRPr="001F47DB">
        <w:rPr>
          <w:rFonts w:ascii="Arial" w:hAnsi="Arial" w:cs="Arial"/>
          <w:sz w:val="22"/>
          <w:szCs w:val="22"/>
          <w:lang w:val="en-US"/>
        </w:rPr>
        <w:t xml:space="preserve">: sequencing depth across different splits of the dataset. </w:t>
      </w:r>
      <w:proofErr w:type="spellStart"/>
      <w:r w:rsidRPr="001F47DB">
        <w:rPr>
          <w:rFonts w:ascii="Arial" w:hAnsi="Arial" w:cs="Arial"/>
          <w:sz w:val="22"/>
          <w:szCs w:val="22"/>
          <w:lang w:val="en-US"/>
        </w:rPr>
        <w:t>Longest_read</w:t>
      </w:r>
      <w:proofErr w:type="spellEnd"/>
      <w:r w:rsidRPr="001F47DB">
        <w:rPr>
          <w:rFonts w:ascii="Arial" w:hAnsi="Arial" w:cs="Arial"/>
          <w:sz w:val="22"/>
          <w:szCs w:val="22"/>
          <w:lang w:val="en-US"/>
        </w:rPr>
        <w:t xml:space="preserve">: length (in bp) of the longest read mapped to the contig. </w:t>
      </w:r>
      <w:proofErr w:type="spellStart"/>
      <w:r w:rsidRPr="001F47DB">
        <w:rPr>
          <w:rFonts w:ascii="Arial" w:hAnsi="Arial" w:cs="Arial"/>
          <w:sz w:val="22"/>
          <w:szCs w:val="22"/>
          <w:lang w:val="en-US"/>
        </w:rPr>
        <w:t>Mean_read_length</w:t>
      </w:r>
      <w:proofErr w:type="spellEnd"/>
      <w:r w:rsidRPr="001F47DB">
        <w:rPr>
          <w:rFonts w:ascii="Arial" w:hAnsi="Arial" w:cs="Arial"/>
          <w:sz w:val="22"/>
          <w:szCs w:val="22"/>
          <w:lang w:val="en-US"/>
        </w:rPr>
        <w:t>: mean length (in bp) of the reads mapped to the contig. N50_reads: N50 value for the reads mapped to the contig, representing the read length above which 50% of the mapped bases are contained. Detection: proportion of samples or splits in which the contig was detected.</w:t>
      </w:r>
    </w:p>
    <w:p w14:paraId="0D2A2D20" w14:textId="77777777" w:rsidR="00A74A70" w:rsidRPr="001F47DB" w:rsidRDefault="00A74A70" w:rsidP="00A74A70">
      <w:pPr>
        <w:spacing w:line="360" w:lineRule="auto"/>
        <w:jc w:val="both"/>
        <w:rPr>
          <w:rFonts w:ascii="Arial" w:hAnsi="Arial" w:cs="Arial"/>
          <w:sz w:val="22"/>
          <w:szCs w:val="22"/>
          <w:lang w:val="en-US"/>
        </w:rPr>
      </w:pPr>
    </w:p>
    <w:p w14:paraId="2611CEBD" w14:textId="77777777" w:rsidR="00A74A70" w:rsidRPr="001F47DB" w:rsidRDefault="00A74A70" w:rsidP="00A74A70">
      <w:pPr>
        <w:spacing w:line="360" w:lineRule="auto"/>
        <w:jc w:val="both"/>
        <w:rPr>
          <w:rFonts w:ascii="Arial" w:hAnsi="Arial" w:cs="Arial"/>
          <w:b/>
          <w:bCs/>
          <w:sz w:val="22"/>
          <w:szCs w:val="22"/>
          <w:lang w:val="en-US"/>
        </w:rPr>
      </w:pPr>
      <w:r w:rsidRPr="001F47DB">
        <w:rPr>
          <w:rFonts w:ascii="Arial" w:hAnsi="Arial" w:cs="Arial"/>
          <w:b/>
          <w:bCs/>
          <w:sz w:val="22"/>
          <w:szCs w:val="22"/>
          <w:lang w:val="en-US"/>
        </w:rPr>
        <w:t xml:space="preserve">Supplementary Table 3: qPCR-based quantification of </w:t>
      </w:r>
      <w:r w:rsidRPr="001F47DB">
        <w:rPr>
          <w:rFonts w:ascii="Arial" w:hAnsi="Arial" w:cs="Arial"/>
          <w:b/>
          <w:bCs/>
          <w:i/>
          <w:iCs/>
          <w:sz w:val="22"/>
          <w:szCs w:val="22"/>
          <w:lang w:val="en-US"/>
        </w:rPr>
        <w:t>Wolbachia</w:t>
      </w:r>
      <w:r w:rsidRPr="001F47DB">
        <w:rPr>
          <w:rFonts w:ascii="Arial" w:hAnsi="Arial" w:cs="Arial"/>
          <w:b/>
          <w:bCs/>
          <w:sz w:val="22"/>
          <w:szCs w:val="22"/>
          <w:lang w:val="en-US"/>
        </w:rPr>
        <w:t>, WO and pWCP plasmid</w:t>
      </w:r>
    </w:p>
    <w:p w14:paraId="1434DF49" w14:textId="77777777" w:rsidR="00A74A70" w:rsidRPr="001F47DB" w:rsidRDefault="00A74A70" w:rsidP="00A74A70">
      <w:pPr>
        <w:spacing w:line="360" w:lineRule="auto"/>
        <w:jc w:val="both"/>
        <w:rPr>
          <w:rFonts w:ascii="Arial" w:hAnsi="Arial" w:cs="Arial"/>
          <w:sz w:val="22"/>
          <w:szCs w:val="22"/>
          <w:lang w:val="en-US"/>
        </w:rPr>
      </w:pPr>
    </w:p>
    <w:p w14:paraId="4B66B6F4" w14:textId="77777777" w:rsidR="00A74A70" w:rsidRPr="001F47DB" w:rsidRDefault="00A74A70" w:rsidP="00A74A70">
      <w:pPr>
        <w:spacing w:line="360" w:lineRule="auto"/>
        <w:jc w:val="both"/>
        <w:rPr>
          <w:rFonts w:ascii="Arial" w:eastAsia="Times New Roman" w:hAnsi="Arial" w:cs="Arial"/>
          <w:b/>
          <w:bCs/>
          <w:color w:val="000000"/>
          <w:kern w:val="0"/>
          <w:sz w:val="22"/>
          <w:szCs w:val="22"/>
          <w:lang w:val="en-US" w:eastAsia="fr-FR"/>
          <w14:ligatures w14:val="none"/>
        </w:rPr>
      </w:pPr>
      <w:r w:rsidRPr="001F47DB">
        <w:rPr>
          <w:rFonts w:ascii="Arial" w:eastAsia="Times New Roman" w:hAnsi="Arial" w:cs="Arial"/>
          <w:b/>
          <w:bCs/>
          <w:color w:val="000000"/>
          <w:kern w:val="0"/>
          <w:sz w:val="22"/>
          <w:szCs w:val="22"/>
          <w:lang w:val="en-US" w:eastAsia="fr-FR"/>
          <w14:ligatures w14:val="none"/>
        </w:rPr>
        <w:t>Supplementary Table 4: List of the 10 genes unique to</w:t>
      </w:r>
      <w:r w:rsidRPr="001F47DB">
        <w:rPr>
          <w:rFonts w:ascii="Arial" w:eastAsia="Times New Roman" w:hAnsi="Arial" w:cs="Arial"/>
          <w:b/>
          <w:bCs/>
          <w:i/>
          <w:iCs/>
          <w:color w:val="000000"/>
          <w:kern w:val="0"/>
          <w:sz w:val="22"/>
          <w:szCs w:val="22"/>
          <w:lang w:val="en-US" w:eastAsia="fr-FR"/>
          <w14:ligatures w14:val="none"/>
        </w:rPr>
        <w:t xml:space="preserve"> w</w:t>
      </w:r>
      <w:r w:rsidRPr="001F47DB">
        <w:rPr>
          <w:rFonts w:ascii="Arial" w:eastAsia="Times New Roman" w:hAnsi="Arial" w:cs="Arial"/>
          <w:b/>
          <w:bCs/>
          <w:color w:val="000000"/>
          <w:kern w:val="0"/>
          <w:sz w:val="22"/>
          <w:szCs w:val="22"/>
          <w:lang w:val="en-US" w:eastAsia="fr-FR"/>
          <w14:ligatures w14:val="none"/>
        </w:rPr>
        <w:t xml:space="preserve">PipCelG and 8 genes not present in </w:t>
      </w:r>
      <w:r w:rsidRPr="001F47DB">
        <w:rPr>
          <w:rFonts w:ascii="Arial" w:eastAsia="Times New Roman" w:hAnsi="Arial" w:cs="Arial"/>
          <w:b/>
          <w:bCs/>
          <w:i/>
          <w:iCs/>
          <w:color w:val="000000"/>
          <w:kern w:val="0"/>
          <w:sz w:val="22"/>
          <w:szCs w:val="22"/>
          <w:lang w:val="en-US" w:eastAsia="fr-FR"/>
          <w14:ligatures w14:val="none"/>
        </w:rPr>
        <w:t>w</w:t>
      </w:r>
      <w:r w:rsidRPr="001F47DB">
        <w:rPr>
          <w:rFonts w:ascii="Arial" w:eastAsia="Times New Roman" w:hAnsi="Arial" w:cs="Arial"/>
          <w:b/>
          <w:bCs/>
          <w:color w:val="000000"/>
          <w:kern w:val="0"/>
          <w:sz w:val="22"/>
          <w:szCs w:val="22"/>
          <w:lang w:val="en-US" w:eastAsia="fr-FR"/>
          <w14:ligatures w14:val="none"/>
        </w:rPr>
        <w:t>PipCelG</w:t>
      </w:r>
    </w:p>
    <w:p w14:paraId="3E859AC3" w14:textId="77777777" w:rsidR="00A74A70" w:rsidRPr="001F47DB" w:rsidRDefault="00A74A70" w:rsidP="00A74A70">
      <w:pPr>
        <w:rPr>
          <w:rFonts w:ascii="Arial" w:hAnsi="Arial" w:cs="Arial"/>
          <w:sz w:val="22"/>
          <w:szCs w:val="22"/>
          <w:lang w:val="en-US"/>
        </w:rPr>
      </w:pPr>
    </w:p>
    <w:p w14:paraId="5C5E1072" w14:textId="30D28B57" w:rsidR="007E7FD1" w:rsidRPr="009F1F94" w:rsidRDefault="00734419" w:rsidP="00D6155D">
      <w:pPr>
        <w:spacing w:line="360" w:lineRule="auto"/>
        <w:jc w:val="both"/>
        <w:rPr>
          <w:rFonts w:ascii="Arial" w:hAnsi="Arial" w:cs="Arial"/>
          <w:b/>
          <w:bCs/>
          <w:lang w:val="en-US"/>
        </w:rPr>
      </w:pPr>
      <w:r w:rsidRPr="009F1F94">
        <w:rPr>
          <w:rFonts w:ascii="Arial" w:hAnsi="Arial" w:cs="Arial"/>
          <w:b/>
          <w:bCs/>
          <w:lang w:val="en-US"/>
        </w:rPr>
        <w:t>References</w:t>
      </w:r>
    </w:p>
    <w:p w14:paraId="7C2FFAB6" w14:textId="42E9A655" w:rsidR="007E7FD1" w:rsidRPr="007E7FD1" w:rsidRDefault="007E7FD1" w:rsidP="007E7FD1">
      <w:pPr>
        <w:pStyle w:val="Bibliography"/>
        <w:rPr>
          <w:rFonts w:ascii="Arial" w:hAnsi="Arial" w:cs="Arial"/>
          <w:sz w:val="22"/>
        </w:rPr>
      </w:pPr>
      <w:r>
        <w:rPr>
          <w:rFonts w:ascii="Arial" w:hAnsi="Arial" w:cs="Arial"/>
          <w:sz w:val="22"/>
          <w:szCs w:val="22"/>
          <w:lang w:val="en-US"/>
        </w:rPr>
        <w:fldChar w:fldCharType="begin"/>
      </w:r>
      <w:r>
        <w:rPr>
          <w:rFonts w:ascii="Arial" w:hAnsi="Arial" w:cs="Arial"/>
          <w:sz w:val="22"/>
          <w:szCs w:val="22"/>
          <w:lang w:val="en-US"/>
        </w:rPr>
        <w:instrText xml:space="preserve"> ADDIN ZOTERO_BIBL {"uncited":[],"omitted":[],"custom":[]} CSL_BIBLIOGRAPHY </w:instrText>
      </w:r>
      <w:r>
        <w:rPr>
          <w:rFonts w:ascii="Arial" w:hAnsi="Arial" w:cs="Arial"/>
          <w:sz w:val="22"/>
          <w:szCs w:val="22"/>
          <w:lang w:val="en-US"/>
        </w:rPr>
        <w:fldChar w:fldCharType="separate"/>
      </w:r>
      <w:r w:rsidRPr="004E04FB">
        <w:rPr>
          <w:rFonts w:ascii="Arial" w:hAnsi="Arial" w:cs="Arial"/>
          <w:sz w:val="22"/>
          <w:lang w:val="en-US"/>
        </w:rPr>
        <w:t xml:space="preserve">1. Li Y, Gao F. OriV-Finder: a comprehensive web server for bacterial plasmid replication origin analysis. </w:t>
      </w:r>
      <w:r w:rsidRPr="007E7FD1">
        <w:rPr>
          <w:rFonts w:ascii="Arial" w:hAnsi="Arial" w:cs="Arial"/>
          <w:sz w:val="22"/>
        </w:rPr>
        <w:t>Nucleic Acids Research. 2025;gkaf341.</w:t>
      </w:r>
    </w:p>
    <w:p w14:paraId="52CC7C3A" w14:textId="57B214CC" w:rsidR="007E7FD1" w:rsidRPr="001F47DB" w:rsidRDefault="007E7FD1" w:rsidP="00D6155D">
      <w:pPr>
        <w:spacing w:line="360" w:lineRule="auto"/>
        <w:jc w:val="both"/>
        <w:rPr>
          <w:rFonts w:ascii="Arial" w:hAnsi="Arial" w:cs="Arial"/>
          <w:sz w:val="22"/>
          <w:szCs w:val="22"/>
          <w:lang w:val="en-US"/>
        </w:rPr>
      </w:pPr>
      <w:r>
        <w:rPr>
          <w:rFonts w:ascii="Arial" w:hAnsi="Arial" w:cs="Arial"/>
          <w:sz w:val="22"/>
          <w:szCs w:val="22"/>
          <w:lang w:val="en-US"/>
        </w:rPr>
        <w:fldChar w:fldCharType="end"/>
      </w:r>
    </w:p>
    <w:sectPr w:rsidR="007E7FD1" w:rsidRPr="001F47DB" w:rsidSect="00A74A70">
      <w:pgSz w:w="11906" w:h="16838"/>
      <w:pgMar w:top="1417" w:right="1417" w:bottom="1417" w:left="1417" w:header="0" w:footer="0" w:gutter="0"/>
      <w:lnNumType w:countBy="1" w:restart="continuou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813"/>
    <w:rsid w:val="001F47DB"/>
    <w:rsid w:val="002E4785"/>
    <w:rsid w:val="002E4E96"/>
    <w:rsid w:val="00320658"/>
    <w:rsid w:val="003439A1"/>
    <w:rsid w:val="003F4677"/>
    <w:rsid w:val="00462D06"/>
    <w:rsid w:val="0047207E"/>
    <w:rsid w:val="004B730D"/>
    <w:rsid w:val="004E04FB"/>
    <w:rsid w:val="004E4844"/>
    <w:rsid w:val="004F7273"/>
    <w:rsid w:val="00525F31"/>
    <w:rsid w:val="005D14C1"/>
    <w:rsid w:val="005E0D41"/>
    <w:rsid w:val="006230B0"/>
    <w:rsid w:val="006E2813"/>
    <w:rsid w:val="007154DE"/>
    <w:rsid w:val="00734419"/>
    <w:rsid w:val="00736CA2"/>
    <w:rsid w:val="00760B51"/>
    <w:rsid w:val="00763EAA"/>
    <w:rsid w:val="007C30AA"/>
    <w:rsid w:val="007D64A1"/>
    <w:rsid w:val="007E7FD1"/>
    <w:rsid w:val="007F6254"/>
    <w:rsid w:val="00871920"/>
    <w:rsid w:val="008A22D5"/>
    <w:rsid w:val="00917B2A"/>
    <w:rsid w:val="00932346"/>
    <w:rsid w:val="00972AA4"/>
    <w:rsid w:val="009D46B0"/>
    <w:rsid w:val="009E4C5B"/>
    <w:rsid w:val="009F1ACD"/>
    <w:rsid w:val="009F1F94"/>
    <w:rsid w:val="00A57C2F"/>
    <w:rsid w:val="00A7404D"/>
    <w:rsid w:val="00A74A70"/>
    <w:rsid w:val="00A947CF"/>
    <w:rsid w:val="00AA1B7B"/>
    <w:rsid w:val="00B102AA"/>
    <w:rsid w:val="00BA743A"/>
    <w:rsid w:val="00BA7C0F"/>
    <w:rsid w:val="00BC5AFA"/>
    <w:rsid w:val="00BD650F"/>
    <w:rsid w:val="00C07CF5"/>
    <w:rsid w:val="00C95932"/>
    <w:rsid w:val="00CF4663"/>
    <w:rsid w:val="00D6155D"/>
    <w:rsid w:val="00DA33B2"/>
    <w:rsid w:val="00DC1A6F"/>
    <w:rsid w:val="00DD0C06"/>
    <w:rsid w:val="00E5493F"/>
    <w:rsid w:val="00E63B5E"/>
    <w:rsid w:val="00F27EE4"/>
    <w:rsid w:val="00F37877"/>
    <w:rsid w:val="00F41F9A"/>
    <w:rsid w:val="00FF0E3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092FB"/>
  <w15:docId w15:val="{A435A32D-3DC5-FE43-BE5C-225A5A53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231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31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1C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1C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1C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1C0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1C0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1C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1C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31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231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31C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31C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31C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31C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31C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31C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31C0E"/>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31C0E"/>
    <w:rPr>
      <w:rFonts w:asciiTheme="majorHAnsi" w:eastAsiaTheme="majorEastAsia" w:hAnsiTheme="majorHAnsi" w:cstheme="majorBidi"/>
      <w:spacing w:val="-10"/>
      <w:kern w:val="2"/>
      <w:sz w:val="56"/>
      <w:szCs w:val="56"/>
    </w:rPr>
  </w:style>
  <w:style w:type="character" w:customStyle="1" w:styleId="Sous-titreCar">
    <w:name w:val="Sous-titre Car"/>
    <w:basedOn w:val="DefaultParagraphFont"/>
    <w:uiPriority w:val="11"/>
    <w:qFormat/>
    <w:rsid w:val="00231C0E"/>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31C0E"/>
    <w:rPr>
      <w:i/>
      <w:iCs/>
      <w:color w:val="404040" w:themeColor="text1" w:themeTint="BF"/>
    </w:rPr>
  </w:style>
  <w:style w:type="character" w:styleId="IntenseEmphasis">
    <w:name w:val="Intense Emphasis"/>
    <w:basedOn w:val="DefaultParagraphFont"/>
    <w:uiPriority w:val="21"/>
    <w:qFormat/>
    <w:rsid w:val="00231C0E"/>
    <w:rPr>
      <w:i/>
      <w:iCs/>
      <w:color w:val="0F4761" w:themeColor="accent1" w:themeShade="BF"/>
    </w:rPr>
  </w:style>
  <w:style w:type="character" w:customStyle="1" w:styleId="IntenseQuoteChar">
    <w:name w:val="Intense Quote Char"/>
    <w:basedOn w:val="DefaultParagraphFont"/>
    <w:link w:val="IntenseQuote"/>
    <w:uiPriority w:val="30"/>
    <w:qFormat/>
    <w:rsid w:val="00231C0E"/>
    <w:rPr>
      <w:i/>
      <w:iCs/>
      <w:color w:val="0F4761" w:themeColor="accent1" w:themeShade="BF"/>
    </w:rPr>
  </w:style>
  <w:style w:type="character" w:styleId="IntenseReference">
    <w:name w:val="Intense Reference"/>
    <w:basedOn w:val="DefaultParagraphFont"/>
    <w:uiPriority w:val="32"/>
    <w:qFormat/>
    <w:rsid w:val="00231C0E"/>
    <w:rPr>
      <w:b/>
      <w:bCs/>
      <w:smallCaps/>
      <w:color w:val="0F4761" w:themeColor="accent1" w:themeShade="BF"/>
      <w:spacing w:val="5"/>
    </w:rPr>
  </w:style>
  <w:style w:type="character" w:customStyle="1" w:styleId="LienInternet">
    <w:name w:val="Lien Internet"/>
    <w:basedOn w:val="DefaultParagraphFont"/>
    <w:uiPriority w:val="99"/>
    <w:unhideWhenUsed/>
    <w:rsid w:val="00A83997"/>
    <w:rPr>
      <w:color w:val="467886" w:themeColor="hyperlink"/>
      <w:u w:val="single"/>
    </w:rPr>
  </w:style>
  <w:style w:type="character" w:styleId="UnresolvedMention">
    <w:name w:val="Unresolved Mention"/>
    <w:basedOn w:val="DefaultParagraphFont"/>
    <w:uiPriority w:val="99"/>
    <w:semiHidden/>
    <w:unhideWhenUsed/>
    <w:qFormat/>
    <w:rsid w:val="00A83997"/>
    <w:rPr>
      <w:color w:val="605E5C"/>
      <w:shd w:val="clear" w:color="auto" w:fill="E1DFDD"/>
    </w:rPr>
  </w:style>
  <w:style w:type="character" w:styleId="CommentReference">
    <w:name w:val="annotation reference"/>
    <w:basedOn w:val="DefaultParagraphFont"/>
    <w:uiPriority w:val="99"/>
    <w:semiHidden/>
    <w:unhideWhenUsed/>
    <w:qFormat/>
    <w:rsid w:val="00385BD0"/>
    <w:rPr>
      <w:sz w:val="16"/>
      <w:szCs w:val="16"/>
    </w:rPr>
  </w:style>
  <w:style w:type="character" w:customStyle="1" w:styleId="CommentTextChar">
    <w:name w:val="Comment Text Char"/>
    <w:basedOn w:val="DefaultParagraphFont"/>
    <w:link w:val="CommentText"/>
    <w:uiPriority w:val="99"/>
    <w:qFormat/>
    <w:rsid w:val="00385BD0"/>
    <w:rPr>
      <w:sz w:val="20"/>
      <w:szCs w:val="20"/>
    </w:rPr>
  </w:style>
  <w:style w:type="character" w:customStyle="1" w:styleId="CommentSubjectChar">
    <w:name w:val="Comment Subject Char"/>
    <w:basedOn w:val="CommentTextChar"/>
    <w:link w:val="CommentSubject"/>
    <w:uiPriority w:val="99"/>
    <w:semiHidden/>
    <w:qFormat/>
    <w:rsid w:val="00385BD0"/>
    <w:rPr>
      <w:b/>
      <w:bCs/>
      <w:sz w:val="20"/>
      <w:szCs w:val="20"/>
    </w:rPr>
  </w:style>
  <w:style w:type="paragraph" w:styleId="Title">
    <w:name w:val="Title"/>
    <w:basedOn w:val="Normal"/>
    <w:next w:val="BodyText"/>
    <w:link w:val="TitleChar"/>
    <w:uiPriority w:val="10"/>
    <w:qFormat/>
    <w:rsid w:val="00231C0E"/>
    <w:pPr>
      <w:spacing w:after="80"/>
      <w:contextualSpacing/>
    </w:pPr>
    <w:rPr>
      <w:rFonts w:asciiTheme="majorHAnsi" w:eastAsiaTheme="majorEastAsia" w:hAnsiTheme="majorHAnsi" w:cstheme="majorBidi"/>
      <w:spacing w:val="-10"/>
      <w:sz w:val="56"/>
      <w:szCs w:val="56"/>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uiPriority w:val="11"/>
    <w:qFormat/>
    <w:rsid w:val="00231C0E"/>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1C0E"/>
    <w:pPr>
      <w:spacing w:before="160" w:after="160"/>
      <w:jc w:val="center"/>
    </w:pPr>
    <w:rPr>
      <w:i/>
      <w:iCs/>
      <w:color w:val="404040" w:themeColor="text1" w:themeTint="BF"/>
    </w:rPr>
  </w:style>
  <w:style w:type="paragraph" w:styleId="ListParagraph">
    <w:name w:val="List Paragraph"/>
    <w:basedOn w:val="Normal"/>
    <w:uiPriority w:val="34"/>
    <w:qFormat/>
    <w:rsid w:val="00231C0E"/>
    <w:pPr>
      <w:ind w:left="720"/>
      <w:contextualSpacing/>
    </w:pPr>
  </w:style>
  <w:style w:type="paragraph" w:styleId="IntenseQuote">
    <w:name w:val="Intense Quote"/>
    <w:basedOn w:val="Normal"/>
    <w:next w:val="Normal"/>
    <w:link w:val="IntenseQuoteChar"/>
    <w:uiPriority w:val="30"/>
    <w:qFormat/>
    <w:rsid w:val="00231C0E"/>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messagelistitem5126c">
    <w:name w:val="messagelistitem__5126c"/>
    <w:basedOn w:val="Normal"/>
    <w:qFormat/>
    <w:rsid w:val="00E352CA"/>
    <w:pPr>
      <w:spacing w:beforeAutospacing="1" w:afterAutospacing="1"/>
    </w:pPr>
    <w:rPr>
      <w:rFonts w:ascii="Times New Roman" w:eastAsia="Times New Roman" w:hAnsi="Times New Roman" w:cs="Times New Roman"/>
      <w:kern w:val="0"/>
      <w:lang w:eastAsia="fr-FR"/>
      <w14:ligatures w14:val="none"/>
    </w:rPr>
  </w:style>
  <w:style w:type="paragraph" w:styleId="NormalWeb">
    <w:name w:val="Normal (Web)"/>
    <w:basedOn w:val="Normal"/>
    <w:uiPriority w:val="99"/>
    <w:semiHidden/>
    <w:unhideWhenUsed/>
    <w:qFormat/>
    <w:rsid w:val="003E0990"/>
    <w:pPr>
      <w:spacing w:beforeAutospacing="1" w:afterAutospacing="1"/>
    </w:pPr>
    <w:rPr>
      <w:rFonts w:ascii="Times New Roman" w:eastAsia="Times New Roman" w:hAnsi="Times New Roman" w:cs="Times New Roman"/>
      <w:kern w:val="0"/>
      <w:lang w:eastAsia="fr-FR"/>
      <w14:ligatures w14:val="none"/>
    </w:rPr>
  </w:style>
  <w:style w:type="paragraph" w:styleId="Revision">
    <w:name w:val="Revision"/>
    <w:uiPriority w:val="99"/>
    <w:semiHidden/>
    <w:qFormat/>
    <w:rsid w:val="002B558E"/>
    <w:rPr>
      <w:sz w:val="24"/>
    </w:rPr>
  </w:style>
  <w:style w:type="paragraph" w:styleId="CommentText">
    <w:name w:val="annotation text"/>
    <w:basedOn w:val="Normal"/>
    <w:link w:val="CommentTextChar"/>
    <w:uiPriority w:val="99"/>
    <w:unhideWhenUsed/>
    <w:qFormat/>
    <w:rsid w:val="00385BD0"/>
    <w:rPr>
      <w:sz w:val="20"/>
      <w:szCs w:val="20"/>
    </w:rPr>
  </w:style>
  <w:style w:type="paragraph" w:styleId="CommentSubject">
    <w:name w:val="annotation subject"/>
    <w:basedOn w:val="CommentText"/>
    <w:next w:val="CommentText"/>
    <w:link w:val="CommentSubjectChar"/>
    <w:uiPriority w:val="99"/>
    <w:semiHidden/>
    <w:unhideWhenUsed/>
    <w:qFormat/>
    <w:rsid w:val="00385BD0"/>
    <w:rPr>
      <w:b/>
      <w:bCs/>
    </w:rPr>
  </w:style>
  <w:style w:type="paragraph" w:styleId="Bibliography">
    <w:name w:val="Bibliography"/>
    <w:basedOn w:val="Normal"/>
    <w:next w:val="Normal"/>
    <w:uiPriority w:val="37"/>
    <w:unhideWhenUsed/>
    <w:rsid w:val="007E7FD1"/>
    <w:pPr>
      <w:spacing w:after="240"/>
    </w:pPr>
  </w:style>
  <w:style w:type="character" w:styleId="Emphasis">
    <w:name w:val="Emphasis"/>
    <w:basedOn w:val="DefaultParagraphFont"/>
    <w:uiPriority w:val="20"/>
    <w:qFormat/>
    <w:rsid w:val="004E04FB"/>
    <w:rPr>
      <w:i/>
      <w:iCs/>
    </w:rPr>
  </w:style>
  <w:style w:type="character" w:styleId="LineNumber">
    <w:name w:val="line number"/>
    <w:basedOn w:val="DefaultParagraphFont"/>
    <w:uiPriority w:val="99"/>
    <w:semiHidden/>
    <w:unhideWhenUsed/>
    <w:rsid w:val="00A74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1246</Words>
  <Characters>7108</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Brunner</dc:creator>
  <dc:description/>
  <cp:lastModifiedBy>Julie Reveillaud</cp:lastModifiedBy>
  <cp:revision>2</cp:revision>
  <dcterms:created xsi:type="dcterms:W3CDTF">2026-02-11T14:04:00Z</dcterms:created>
  <dcterms:modified xsi:type="dcterms:W3CDTF">2026-02-11T14:04:00Z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zotero-version="7.0.30"&gt;&lt;session id="G5jAYar9"/&gt;&lt;style id="http://www.zotero.org/styles/microbiome" hasBibliography="1" bibliographyStyleHasBeenSet="1"/&gt;&lt;prefs&gt;&lt;pref name="fieldType" value="Field"/&gt;&lt;/prefs&gt;&lt;/data&gt;</vt:lpwstr>
  </property>
</Properties>
</file>