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501936" w14:textId="77777777" w:rsidR="00A65EC5" w:rsidRDefault="00A65EC5" w:rsidP="00A65EC5">
      <w:pPr>
        <w:pStyle w:val="Heading1"/>
      </w:pPr>
      <w:r>
        <w:t>SUPPLEMENTARY INFORMATION</w:t>
      </w:r>
    </w:p>
    <w:p w14:paraId="16E405B6" w14:textId="77777777" w:rsidR="00A65EC5" w:rsidRDefault="00A65EC5" w:rsidP="00A65EC5">
      <w:pPr>
        <w:jc w:val="center"/>
      </w:pPr>
      <w:r>
        <w:rPr>
          <w:noProof/>
        </w:rPr>
        <w:drawing>
          <wp:inline distT="0" distB="0" distL="0" distR="0" wp14:anchorId="2493795F" wp14:editId="48A40069">
            <wp:extent cx="1682357" cy="3328141"/>
            <wp:effectExtent l="0" t="0" r="0" b="5715"/>
            <wp:docPr id="131345745" name="Picture 1" descr="A close-up of a test tube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45745" name="Picture 1" descr="A close-up of a test tube  AI-generated content may be incorrect."/>
                    <pic:cNvPicPr/>
                  </pic:nvPicPr>
                  <pic:blipFill>
                    <a:blip r:embed="rId4"/>
                    <a:stretch>
                      <a:fillRect/>
                    </a:stretch>
                  </pic:blipFill>
                  <pic:spPr>
                    <a:xfrm>
                      <a:off x="0" y="0"/>
                      <a:ext cx="1682357" cy="3328141"/>
                    </a:xfrm>
                    <a:prstGeom prst="rect">
                      <a:avLst/>
                    </a:prstGeom>
                  </pic:spPr>
                </pic:pic>
              </a:graphicData>
            </a:graphic>
          </wp:inline>
        </w:drawing>
      </w:r>
    </w:p>
    <w:p w14:paraId="44BBC978" w14:textId="77777777" w:rsidR="00A65EC5" w:rsidRDefault="00A65EC5" w:rsidP="00A65EC5">
      <w:pPr>
        <w:pStyle w:val="Caption"/>
      </w:pPr>
      <w:r>
        <w:t>Figure S1. ssRNA corresponding to the expected lengths of 1800 or 1300 bp were produced in transcription reactions by biotinylated E. coli RNA polymerase from either F</w:t>
      </w:r>
      <w:r w:rsidRPr="00DA3EBD">
        <w:rPr>
          <w:vertAlign w:val="subscript"/>
        </w:rPr>
        <w:t>luc</w:t>
      </w:r>
      <w:r>
        <w:t xml:space="preserve"> (lane 2) or pDM_400_N1 (lane 3) templates. Lane 1 is RiboRuler ssRNA ladder.</w:t>
      </w:r>
    </w:p>
    <w:p w14:paraId="732CDCD4" w14:textId="77777777" w:rsidR="00A65EC5" w:rsidRDefault="00A65EC5" w:rsidP="00A65EC5">
      <w:pPr>
        <w:keepNext/>
        <w:jc w:val="center"/>
      </w:pPr>
      <w:r w:rsidRPr="00044816">
        <w:rPr>
          <w:noProof/>
        </w:rPr>
        <w:lastRenderedPageBreak/>
        <w:drawing>
          <wp:inline distT="0" distB="0" distL="0" distR="0" wp14:anchorId="56B0A03F" wp14:editId="51008480">
            <wp:extent cx="4134062" cy="2844946"/>
            <wp:effectExtent l="0" t="0" r="0" b="0"/>
            <wp:docPr id="16188400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840066" name=""/>
                    <pic:cNvPicPr/>
                  </pic:nvPicPr>
                  <pic:blipFill>
                    <a:blip r:embed="rId5"/>
                    <a:stretch>
                      <a:fillRect/>
                    </a:stretch>
                  </pic:blipFill>
                  <pic:spPr>
                    <a:xfrm>
                      <a:off x="0" y="0"/>
                      <a:ext cx="4134062" cy="2844946"/>
                    </a:xfrm>
                    <a:prstGeom prst="rect">
                      <a:avLst/>
                    </a:prstGeom>
                  </pic:spPr>
                </pic:pic>
              </a:graphicData>
            </a:graphic>
          </wp:inline>
        </w:drawing>
      </w:r>
    </w:p>
    <w:p w14:paraId="1B20A1DC" w14:textId="77777777" w:rsidR="00A65EC5" w:rsidRDefault="00A65EC5" w:rsidP="00A65EC5">
      <w:pPr>
        <w:pStyle w:val="Caption"/>
      </w:pPr>
      <w:r w:rsidRPr="00044816">
        <w:t>Figure S2. Schematic representation of the pDM_N1_400 DNA template.</w:t>
      </w:r>
    </w:p>
    <w:p w14:paraId="4DEE3DAD" w14:textId="77777777" w:rsidR="00A65EC5" w:rsidRDefault="00A65EC5" w:rsidP="00A65EC5">
      <w:pPr>
        <w:keepNext/>
        <w:jc w:val="center"/>
      </w:pPr>
      <w:r>
        <w:rPr>
          <w:noProof/>
        </w:rPr>
        <w:drawing>
          <wp:inline distT="0" distB="0" distL="0" distR="0" wp14:anchorId="1BE806C2" wp14:editId="2F57F54D">
            <wp:extent cx="2637155" cy="2112010"/>
            <wp:effectExtent l="0" t="0" r="0" b="2540"/>
            <wp:docPr id="849282832" name="Picture 1" descr="A graph with numbers and line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282832" name="Picture 1" descr="A graph with numbers and lines  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2637155" cy="2112010"/>
                    </a:xfrm>
                    <a:prstGeom prst="rect">
                      <a:avLst/>
                    </a:prstGeom>
                  </pic:spPr>
                </pic:pic>
              </a:graphicData>
            </a:graphic>
          </wp:inline>
        </w:drawing>
      </w:r>
    </w:p>
    <w:p w14:paraId="47C0FDFF" w14:textId="77777777" w:rsidR="00A65EC5" w:rsidRPr="00044816" w:rsidRDefault="00A65EC5" w:rsidP="00A65EC5">
      <w:pPr>
        <w:pStyle w:val="Caption"/>
      </w:pPr>
      <w:r w:rsidRPr="001718AE">
        <w:t xml:space="preserve">Figure </w:t>
      </w:r>
      <w:r>
        <w:t>S3</w:t>
      </w:r>
      <w:r w:rsidRPr="001718AE">
        <w:t xml:space="preserve">. </w:t>
      </w:r>
      <w:r>
        <w:t>F</w:t>
      </w:r>
      <w:r w:rsidRPr="001718AE">
        <w:t xml:space="preserve">luorescence </w:t>
      </w:r>
      <w:r>
        <w:t>background from</w:t>
      </w:r>
      <w:r w:rsidRPr="001718AE">
        <w:t xml:space="preserve"> </w:t>
      </w:r>
      <w:r>
        <w:t>template DNA with SYBR Green II</w:t>
      </w:r>
      <w:r w:rsidRPr="001718AE">
        <w:t xml:space="preserve">. </w:t>
      </w:r>
      <w:r>
        <w:t xml:space="preserve">The fluorescence intensities of mixtures of </w:t>
      </w:r>
      <w:r w:rsidRPr="001718AE">
        <w:t>SYBR</w:t>
      </w:r>
      <w:r>
        <w:t xml:space="preserve"> </w:t>
      </w:r>
      <w:r w:rsidRPr="001718AE">
        <w:t xml:space="preserve">Green II </w:t>
      </w:r>
      <w:r>
        <w:t>and</w:t>
      </w:r>
      <w:r w:rsidRPr="001718AE">
        <w:t xml:space="preserve"> </w:t>
      </w:r>
      <w:r>
        <w:t>plasmid</w:t>
      </w:r>
      <w:r w:rsidRPr="001718AE">
        <w:t xml:space="preserve"> DNA</w:t>
      </w:r>
      <w:r>
        <w:t xml:space="preserve"> in buffer </w:t>
      </w:r>
      <w:r w:rsidRPr="001718AE">
        <w:t xml:space="preserve">were </w:t>
      </w:r>
      <w:r>
        <w:t>monitored for 3 hours.</w:t>
      </w:r>
    </w:p>
    <w:p w14:paraId="51DD0BE8" w14:textId="77777777" w:rsidR="00A65EC5" w:rsidRDefault="00A65EC5" w:rsidP="00A65EC5">
      <w:pPr>
        <w:keepNext/>
        <w:jc w:val="center"/>
      </w:pPr>
      <w:r>
        <w:rPr>
          <w:rFonts w:ascii="Times New Roman" w:hAnsi="Times New Roman" w:cs="Times New Roman"/>
          <w:noProof/>
        </w:rPr>
        <w:lastRenderedPageBreak/>
        <w:drawing>
          <wp:inline distT="0" distB="0" distL="0" distR="0" wp14:anchorId="5C6A66FC" wp14:editId="78FDAD7B">
            <wp:extent cx="2966342" cy="1758950"/>
            <wp:effectExtent l="0" t="0" r="5715" b="0"/>
            <wp:docPr id="1697736299" name="Picture 3" descr="A graph of a person with a blue line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018716" name="Picture 3" descr="A graph of a person with a blue line  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74978" cy="1764071"/>
                    </a:xfrm>
                    <a:prstGeom prst="rect">
                      <a:avLst/>
                    </a:prstGeom>
                  </pic:spPr>
                </pic:pic>
              </a:graphicData>
            </a:graphic>
          </wp:inline>
        </w:drawing>
      </w:r>
    </w:p>
    <w:p w14:paraId="281EAF2E" w14:textId="77777777" w:rsidR="00A65EC5" w:rsidRPr="00044816" w:rsidRDefault="00A65EC5" w:rsidP="00A65EC5">
      <w:pPr>
        <w:pStyle w:val="Caption"/>
      </w:pPr>
      <w:r w:rsidRPr="001718AE">
        <w:t xml:space="preserve">Figure </w:t>
      </w:r>
      <w:r>
        <w:t>S4</w:t>
      </w:r>
      <w:r w:rsidRPr="001718AE">
        <w:t xml:space="preserve">. Fluorescence </w:t>
      </w:r>
      <w:r>
        <w:t>of</w:t>
      </w:r>
      <w:r w:rsidRPr="001718AE">
        <w:t xml:space="preserve"> control samples. </w:t>
      </w:r>
      <w:r>
        <w:t xml:space="preserve">The fluorescence intensities of mixtures of </w:t>
      </w:r>
      <w:r w:rsidRPr="001718AE">
        <w:t>SYBR</w:t>
      </w:r>
      <w:r>
        <w:t xml:space="preserve"> </w:t>
      </w:r>
      <w:r w:rsidRPr="001718AE">
        <w:t xml:space="preserve">Green II </w:t>
      </w:r>
      <w:r>
        <w:t>(</w:t>
      </w:r>
      <w:r w:rsidRPr="001718AE">
        <w:t>dye</w:t>
      </w:r>
      <w:r>
        <w:t>),</w:t>
      </w:r>
      <w:r w:rsidRPr="001718AE">
        <w:t xml:space="preserve"> E. coli RNAP, NTPs, </w:t>
      </w:r>
      <w:r>
        <w:t>plasmid</w:t>
      </w:r>
      <w:r w:rsidRPr="001718AE">
        <w:t xml:space="preserve"> DNA</w:t>
      </w:r>
      <w:r>
        <w:t>,</w:t>
      </w:r>
      <w:r w:rsidRPr="001718AE">
        <w:t xml:space="preserve"> </w:t>
      </w:r>
      <w:r>
        <w:t>in buffer or water</w:t>
      </w:r>
      <w:r w:rsidRPr="001718AE">
        <w:t xml:space="preserve"> were </w:t>
      </w:r>
      <w:r>
        <w:t>monitored for 3 hours. Only the complete mixture produced a significant increase in fluorescence.</w:t>
      </w:r>
    </w:p>
    <w:p w14:paraId="3C3340C4" w14:textId="77777777" w:rsidR="00A65EC5" w:rsidRDefault="00A65EC5" w:rsidP="00A65EC5">
      <w:pPr>
        <w:keepNext/>
        <w:jc w:val="center"/>
      </w:pPr>
      <w:r>
        <w:rPr>
          <w:noProof/>
        </w:rPr>
        <w:drawing>
          <wp:inline distT="0" distB="0" distL="0" distR="0" wp14:anchorId="36F54304" wp14:editId="7A18C9B1">
            <wp:extent cx="5734050" cy="3192145"/>
            <wp:effectExtent l="0" t="0" r="0" b="8255"/>
            <wp:docPr id="808317867" name="Picture 2" descr="A graph of different colored line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317867" name="Picture 2" descr="A graph of different colored lines  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4050" cy="3192145"/>
                    </a:xfrm>
                    <a:prstGeom prst="rect">
                      <a:avLst/>
                    </a:prstGeom>
                  </pic:spPr>
                </pic:pic>
              </a:graphicData>
            </a:graphic>
          </wp:inline>
        </w:drawing>
      </w:r>
    </w:p>
    <w:p w14:paraId="15487CDE" w14:textId="77777777" w:rsidR="00A65EC5" w:rsidRPr="00044816" w:rsidRDefault="00A65EC5" w:rsidP="00A65EC5">
      <w:pPr>
        <w:pStyle w:val="Caption"/>
      </w:pPr>
      <w:r>
        <w:t>Figure S5. Individual trials of transcription reactions show inhibition with different volume fractions of PEG 8k (orange) compared to reactions without PEG 8k (blue). Mean value curves for both conditions are depicted in thicker solid lines. Shaded areas indicate 95% confidence intervals of the mean.</w:t>
      </w:r>
    </w:p>
    <w:p w14:paraId="18EB0613" w14:textId="77777777" w:rsidR="00A65EC5" w:rsidRDefault="00A65EC5" w:rsidP="00A65EC5">
      <w:pPr>
        <w:keepNext/>
        <w:jc w:val="center"/>
      </w:pPr>
      <w:r>
        <w:rPr>
          <w:noProof/>
        </w:rPr>
        <w:lastRenderedPageBreak/>
        <w:drawing>
          <wp:inline distT="0" distB="0" distL="0" distR="0" wp14:anchorId="23FE71F4" wp14:editId="736671C8">
            <wp:extent cx="5722339" cy="3234906"/>
            <wp:effectExtent l="0" t="0" r="0" b="3810"/>
            <wp:docPr id="351306666" name="Picture 1" descr="A collage of graphs  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306666" name="Picture 1" descr="A collage of graphs  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41914" cy="3245972"/>
                    </a:xfrm>
                    <a:prstGeom prst="rect">
                      <a:avLst/>
                    </a:prstGeom>
                  </pic:spPr>
                </pic:pic>
              </a:graphicData>
            </a:graphic>
          </wp:inline>
        </w:drawing>
      </w:r>
    </w:p>
    <w:p w14:paraId="0B54CDF0" w14:textId="77777777" w:rsidR="00A65EC5" w:rsidRDefault="00A65EC5" w:rsidP="00A65EC5">
      <w:pPr>
        <w:pStyle w:val="Caption"/>
      </w:pPr>
      <w:r>
        <w:t>Figure S6. Individual trials of transcription reactions show inhibition with different volume fractions of PEG 2k, Dextran 70, or glycerol (orange) compared to reactions without crowders (blue). Mean value curves for both conditions are depicted in thicker solid lines. Shaded areas indicate 95% confidence intervals of the mean.</w:t>
      </w:r>
    </w:p>
    <w:p w14:paraId="4F6D2B28" w14:textId="77777777" w:rsidR="00A65EC5" w:rsidRPr="00E21CB6" w:rsidRDefault="00A65EC5" w:rsidP="00A65EC5">
      <w:pPr>
        <w:spacing w:line="360" w:lineRule="auto"/>
        <w:rPr>
          <w:rFonts w:ascii="Segoe UI" w:hAnsi="Segoe UI" w:cs="Segoe UI"/>
          <w:b/>
          <w:bCs/>
        </w:rPr>
      </w:pPr>
    </w:p>
    <w:p w14:paraId="2A1D7580" w14:textId="77777777" w:rsidR="00E023F9" w:rsidRDefault="00E023F9"/>
    <w:sectPr w:rsidR="00E023F9" w:rsidSect="00A65EC5">
      <w:headerReference w:type="default" r:id="rId10"/>
      <w:footerReference w:type="default" r:id="rId11"/>
      <w:pgSz w:w="12240" w:h="15840" w:code="1"/>
      <w:pgMar w:top="1440" w:right="1440" w:bottom="1440" w:left="1440" w:header="706" w:footer="706"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1503020"/>
      <w:docPartObj>
        <w:docPartGallery w:val="Page Numbers (Bottom of Page)"/>
        <w:docPartUnique/>
      </w:docPartObj>
    </w:sdtPr>
    <w:sdtContent>
      <w:sdt>
        <w:sdtPr>
          <w:id w:val="-1705238520"/>
          <w:docPartObj>
            <w:docPartGallery w:val="Page Numbers (Top of Page)"/>
            <w:docPartUnique/>
          </w:docPartObj>
        </w:sdtPr>
        <w:sdtContent>
          <w:p w14:paraId="09B53CFA" w14:textId="77777777" w:rsidR="00A65EC5" w:rsidRDefault="00A65EC5">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r>
              <w:rPr>
                <w:b/>
                <w:bCs/>
                <w:sz w:val="24"/>
                <w:szCs w:val="24"/>
              </w:rPr>
              <w:tab/>
            </w:r>
            <w:r w:rsidRPr="00DB44CD">
              <w:rPr>
                <w:sz w:val="24"/>
                <w:szCs w:val="24"/>
              </w:rPr>
              <w:t>confidential manuscript</w:t>
            </w:r>
          </w:p>
        </w:sdtContent>
      </w:sdt>
    </w:sdtContent>
  </w:sdt>
  <w:p w14:paraId="08F0F387" w14:textId="77777777" w:rsidR="00A65EC5" w:rsidRDefault="00A65EC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77C51" w14:textId="77777777" w:rsidR="00A65EC5" w:rsidRDefault="00A65EC5">
    <w:pPr>
      <w:pStyle w:val="Header"/>
    </w:pPr>
    <w:r>
      <w:t xml:space="preserve">Ucuncuoglu </w:t>
    </w:r>
    <w:r w:rsidRPr="00F0081C">
      <w:rPr>
        <w:i/>
        <w:iCs/>
      </w:rPr>
      <w:t>et al.</w:t>
    </w:r>
    <w:r>
      <w:tab/>
      <w:t>MMC of transcription with SYBR Green II assay</w:t>
    </w:r>
    <w:r>
      <w:tab/>
      <w:t>11 February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EC5"/>
    <w:rsid w:val="000C4033"/>
    <w:rsid w:val="002858AE"/>
    <w:rsid w:val="004B42CB"/>
    <w:rsid w:val="005F2B46"/>
    <w:rsid w:val="006E1731"/>
    <w:rsid w:val="00A65EC5"/>
    <w:rsid w:val="00B260B7"/>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51008"/>
  <w15:chartTrackingRefBased/>
  <w15:docId w15:val="{276FDF1C-CA5B-461B-820F-35B035A2D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5EC5"/>
    <w:pPr>
      <w:spacing w:after="200" w:line="276" w:lineRule="auto"/>
    </w:pPr>
    <w:rPr>
      <w:rFonts w:ascii="Calibri" w:eastAsia="SimSun" w:hAnsi="Calibri" w:cs="Arial"/>
      <w:kern w:val="0"/>
      <w:sz w:val="22"/>
      <w:szCs w:val="22"/>
      <w:lang w:val="en-GB" w:eastAsia="zh-CN"/>
      <w14:ligatures w14:val="none"/>
    </w:rPr>
  </w:style>
  <w:style w:type="paragraph" w:styleId="Heading1">
    <w:name w:val="heading 1"/>
    <w:basedOn w:val="Normal"/>
    <w:next w:val="Normal"/>
    <w:link w:val="Heading1Char"/>
    <w:uiPriority w:val="9"/>
    <w:qFormat/>
    <w:rsid w:val="00A65EC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A65EC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A65EC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A65EC5"/>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A65EC5"/>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A65EC5"/>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A65EC5"/>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A65EC5"/>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A65EC5"/>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5E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5E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5E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5E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5E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5E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5E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5E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5EC5"/>
    <w:rPr>
      <w:rFonts w:eastAsiaTheme="majorEastAsia" w:cstheme="majorBidi"/>
      <w:color w:val="272727" w:themeColor="text1" w:themeTint="D8"/>
    </w:rPr>
  </w:style>
  <w:style w:type="paragraph" w:styleId="Title">
    <w:name w:val="Title"/>
    <w:basedOn w:val="Normal"/>
    <w:next w:val="Normal"/>
    <w:link w:val="TitleChar"/>
    <w:uiPriority w:val="10"/>
    <w:qFormat/>
    <w:rsid w:val="00A65EC5"/>
    <w:pPr>
      <w:spacing w:after="80" w:line="240" w:lineRule="auto"/>
      <w:contextualSpacing/>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A65E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5EC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A65E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5EC5"/>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eastAsia="en-US"/>
      <w14:ligatures w14:val="standardContextual"/>
    </w:rPr>
  </w:style>
  <w:style w:type="character" w:customStyle="1" w:styleId="QuoteChar">
    <w:name w:val="Quote Char"/>
    <w:basedOn w:val="DefaultParagraphFont"/>
    <w:link w:val="Quote"/>
    <w:uiPriority w:val="29"/>
    <w:rsid w:val="00A65EC5"/>
    <w:rPr>
      <w:i/>
      <w:iCs/>
      <w:color w:val="404040" w:themeColor="text1" w:themeTint="BF"/>
    </w:rPr>
  </w:style>
  <w:style w:type="paragraph" w:styleId="ListParagraph">
    <w:name w:val="List Paragraph"/>
    <w:basedOn w:val="Normal"/>
    <w:uiPriority w:val="34"/>
    <w:qFormat/>
    <w:rsid w:val="00A65EC5"/>
    <w:pPr>
      <w:spacing w:after="160" w:line="278" w:lineRule="auto"/>
      <w:ind w:left="720"/>
      <w:contextualSpacing/>
    </w:pPr>
    <w:rPr>
      <w:rFonts w:asciiTheme="minorHAnsi" w:eastAsiaTheme="minorHAnsi" w:hAnsiTheme="minorHAnsi" w:cstheme="minorBidi"/>
      <w:kern w:val="2"/>
      <w:sz w:val="24"/>
      <w:szCs w:val="24"/>
      <w:lang w:val="en-IN" w:eastAsia="en-US"/>
      <w14:ligatures w14:val="standardContextual"/>
    </w:rPr>
  </w:style>
  <w:style w:type="character" w:styleId="IntenseEmphasis">
    <w:name w:val="Intense Emphasis"/>
    <w:basedOn w:val="DefaultParagraphFont"/>
    <w:uiPriority w:val="21"/>
    <w:qFormat/>
    <w:rsid w:val="00A65EC5"/>
    <w:rPr>
      <w:i/>
      <w:iCs/>
      <w:color w:val="0F4761" w:themeColor="accent1" w:themeShade="BF"/>
    </w:rPr>
  </w:style>
  <w:style w:type="paragraph" w:styleId="IntenseQuote">
    <w:name w:val="Intense Quote"/>
    <w:basedOn w:val="Normal"/>
    <w:next w:val="Normal"/>
    <w:link w:val="IntenseQuoteChar"/>
    <w:uiPriority w:val="30"/>
    <w:qFormat/>
    <w:rsid w:val="00A65EC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A65EC5"/>
    <w:rPr>
      <w:i/>
      <w:iCs/>
      <w:color w:val="0F4761" w:themeColor="accent1" w:themeShade="BF"/>
    </w:rPr>
  </w:style>
  <w:style w:type="character" w:styleId="IntenseReference">
    <w:name w:val="Intense Reference"/>
    <w:basedOn w:val="DefaultParagraphFont"/>
    <w:uiPriority w:val="32"/>
    <w:qFormat/>
    <w:rsid w:val="00A65EC5"/>
    <w:rPr>
      <w:b/>
      <w:bCs/>
      <w:smallCaps/>
      <w:color w:val="0F4761" w:themeColor="accent1" w:themeShade="BF"/>
      <w:spacing w:val="5"/>
    </w:rPr>
  </w:style>
  <w:style w:type="paragraph" w:styleId="Caption">
    <w:name w:val="caption"/>
    <w:basedOn w:val="Normal"/>
    <w:next w:val="Normal"/>
    <w:uiPriority w:val="35"/>
    <w:unhideWhenUsed/>
    <w:qFormat/>
    <w:rsid w:val="00A65EC5"/>
    <w:pPr>
      <w:spacing w:line="360" w:lineRule="auto"/>
      <w:ind w:left="360" w:right="386"/>
    </w:pPr>
    <w:rPr>
      <w:rFonts w:ascii="Segoe UI" w:eastAsiaTheme="minorHAnsi" w:hAnsi="Segoe UI" w:cs="Segoe UI"/>
      <w:kern w:val="2"/>
      <w:lang w:val="en-US" w:eastAsia="en-US"/>
      <w14:ligatures w14:val="standardContextual"/>
    </w:rPr>
  </w:style>
  <w:style w:type="paragraph" w:styleId="Header">
    <w:name w:val="header"/>
    <w:basedOn w:val="Normal"/>
    <w:link w:val="HeaderChar"/>
    <w:uiPriority w:val="99"/>
    <w:unhideWhenUsed/>
    <w:rsid w:val="00A65E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5EC5"/>
    <w:rPr>
      <w:rFonts w:ascii="Calibri" w:eastAsia="SimSun" w:hAnsi="Calibri" w:cs="Arial"/>
      <w:kern w:val="0"/>
      <w:sz w:val="22"/>
      <w:szCs w:val="22"/>
      <w:lang w:val="en-GB" w:eastAsia="zh-CN"/>
      <w14:ligatures w14:val="none"/>
    </w:rPr>
  </w:style>
  <w:style w:type="paragraph" w:styleId="Footer">
    <w:name w:val="footer"/>
    <w:basedOn w:val="Normal"/>
    <w:link w:val="FooterChar"/>
    <w:uiPriority w:val="99"/>
    <w:unhideWhenUsed/>
    <w:rsid w:val="00A65E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5EC5"/>
    <w:rPr>
      <w:rFonts w:ascii="Calibri" w:eastAsia="SimSun" w:hAnsi="Calibri" w:cs="Arial"/>
      <w:kern w:val="0"/>
      <w:sz w:val="22"/>
      <w:szCs w:val="22"/>
      <w:lang w:val="en-GB"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oter" Target="footer1.xml"/><Relationship Id="rId5" Type="http://schemas.openxmlformats.org/officeDocument/2006/relationships/image" Target="media/image2.png"/><Relationship Id="rId10" Type="http://schemas.openxmlformats.org/officeDocument/2006/relationships/header" Target="header1.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208</Words>
  <Characters>1230</Characters>
  <Application>Microsoft Office Word</Application>
  <DocSecurity>0</DocSecurity>
  <Lines>22</Lines>
  <Paragraphs>8</Paragraphs>
  <ScaleCrop>false</ScaleCrop>
  <Company/>
  <LinksUpToDate>false</LinksUpToDate>
  <CharactersWithSpaces>1430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2026-03-23T16:23:00Z</dcterms:created>
  <dcterms:modified xsi:type="dcterms:W3CDTF">2026-03-23T16:23:00Z</dcterms:modified>
</cp:coreProperties>
</file>