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62F96" w:rsidRPr="00D031CE" w:rsidRDefault="00662F96" w:rsidP="00662F96">
      <w:pPr>
        <w:spacing w:line="480" w:lineRule="auto"/>
        <w:jc w:val="both"/>
        <w:rPr>
          <w:b/>
          <w:bCs/>
          <w:lang w:val="en-US"/>
        </w:rPr>
      </w:pPr>
      <w:proofErr w:type="spellStart"/>
      <w:r w:rsidRPr="00D031CE">
        <w:rPr>
          <w:b/>
          <w:bCs/>
          <w:lang w:val="en-US"/>
        </w:rPr>
        <w:t>Autotaxin</w:t>
      </w:r>
      <w:proofErr w:type="spellEnd"/>
      <w:r w:rsidRPr="00D031CE">
        <w:rPr>
          <w:b/>
          <w:bCs/>
          <w:lang w:val="en-US"/>
        </w:rPr>
        <w:t xml:space="preserve"> negatively regulates parathyroid hormone-induced osteogenesis through autocrine inhibition of </w:t>
      </w:r>
      <w:r w:rsidRPr="00D031CE">
        <w:rPr>
          <w:b/>
          <w:bCs/>
        </w:rPr>
        <w:t>β</w:t>
      </w:r>
      <w:r w:rsidRPr="00D031CE">
        <w:rPr>
          <w:b/>
          <w:bCs/>
          <w:lang w:val="en-US"/>
        </w:rPr>
        <w:t>-catenin signaling.</w:t>
      </w:r>
    </w:p>
    <w:p w:rsidR="00662F96" w:rsidRDefault="00662F96" w:rsidP="00662F96">
      <w:pPr>
        <w:spacing w:line="480" w:lineRule="auto"/>
        <w:jc w:val="both"/>
        <w:rPr>
          <w:color w:val="000000" w:themeColor="text1"/>
          <w:lang w:val="en-US"/>
        </w:rPr>
      </w:pPr>
    </w:p>
    <w:p w:rsidR="00662F96" w:rsidRDefault="00662F96" w:rsidP="00662F96">
      <w:pPr>
        <w:spacing w:line="480" w:lineRule="auto"/>
        <w:jc w:val="both"/>
        <w:rPr>
          <w:color w:val="000000" w:themeColor="text1"/>
          <w:lang w:val="en-US"/>
        </w:rPr>
      </w:pPr>
      <w:r w:rsidRPr="004E03E0">
        <w:rPr>
          <w:b/>
          <w:bCs/>
          <w:color w:val="000000" w:themeColor="text1"/>
          <w:lang w:val="en-US"/>
        </w:rPr>
        <w:t>Running title:</w:t>
      </w:r>
      <w:r>
        <w:rPr>
          <w:color w:val="000000" w:themeColor="text1"/>
          <w:lang w:val="en-US"/>
        </w:rPr>
        <w:t xml:space="preserve"> ATX inhibits PTH bone anabolism via </w:t>
      </w:r>
      <w:proofErr w:type="spellStart"/>
      <w:r>
        <w:rPr>
          <w:color w:val="000000" w:themeColor="text1"/>
          <w:lang w:val="en-US"/>
        </w:rPr>
        <w:t>Wnt</w:t>
      </w:r>
      <w:proofErr w:type="spellEnd"/>
      <w:r>
        <w:rPr>
          <w:color w:val="000000" w:themeColor="text1"/>
          <w:lang w:val="en-US"/>
        </w:rPr>
        <w:t>/</w:t>
      </w:r>
      <w:r w:rsidRPr="004E03E0">
        <w:rPr>
          <w:rFonts w:ascii="Symbol" w:hAnsi="Symbol"/>
          <w:color w:val="000000" w:themeColor="text1"/>
          <w:lang w:val="en-US"/>
        </w:rPr>
        <w:t>b</w:t>
      </w:r>
      <w:r>
        <w:rPr>
          <w:color w:val="000000" w:themeColor="text1"/>
          <w:lang w:val="en-US"/>
        </w:rPr>
        <w:t>-Cat pathway</w:t>
      </w:r>
    </w:p>
    <w:p w:rsidR="00662F96" w:rsidRPr="00D031CE" w:rsidRDefault="00662F96" w:rsidP="00662F96">
      <w:pPr>
        <w:spacing w:line="480" w:lineRule="auto"/>
        <w:jc w:val="both"/>
        <w:rPr>
          <w:color w:val="000000" w:themeColor="text1"/>
          <w:lang w:val="en-US"/>
        </w:rPr>
      </w:pPr>
    </w:p>
    <w:p w:rsidR="00662F96" w:rsidRPr="00D031CE" w:rsidRDefault="00662F96" w:rsidP="00662F96">
      <w:pPr>
        <w:spacing w:line="480" w:lineRule="auto"/>
        <w:jc w:val="both"/>
        <w:rPr>
          <w:color w:val="000000" w:themeColor="text1"/>
          <w:lang w:val="en-US"/>
        </w:rPr>
      </w:pPr>
      <w:r w:rsidRPr="00D031CE">
        <w:rPr>
          <w:b/>
          <w:color w:val="000000" w:themeColor="text1"/>
          <w:lang w:val="en-US"/>
        </w:rPr>
        <w:t>Authors:</w:t>
      </w:r>
      <w:r w:rsidRPr="00D031CE">
        <w:rPr>
          <w:color w:val="000000" w:themeColor="text1"/>
          <w:lang w:val="en-US"/>
        </w:rPr>
        <w:t xml:space="preserve"> Irma Machuca-</w:t>
      </w:r>
      <w:proofErr w:type="spellStart"/>
      <w:r w:rsidRPr="00D031CE">
        <w:rPr>
          <w:color w:val="000000" w:themeColor="text1"/>
          <w:lang w:val="en-US"/>
        </w:rPr>
        <w:t>Gayet</w:t>
      </w:r>
      <w:r>
        <w:rPr>
          <w:color w:val="000000" w:themeColor="text1"/>
          <w:vertAlign w:val="superscript"/>
          <w:lang w:val="en-US"/>
        </w:rPr>
        <w:t>a</w:t>
      </w:r>
      <w:proofErr w:type="spellEnd"/>
      <w:r>
        <w:rPr>
          <w:color w:val="000000" w:themeColor="text1"/>
          <w:vertAlign w:val="superscript"/>
          <w:lang w:val="en-US"/>
        </w:rPr>
        <w:t>*</w:t>
      </w:r>
      <w:r w:rsidRPr="00D031CE">
        <w:rPr>
          <w:color w:val="000000" w:themeColor="text1"/>
          <w:lang w:val="en-US"/>
        </w:rPr>
        <w:t xml:space="preserve">, </w:t>
      </w:r>
      <w:r w:rsidRPr="002E089F">
        <w:rPr>
          <w:color w:val="000000" w:themeColor="text1"/>
          <w:lang w:val="en-US"/>
        </w:rPr>
        <w:t>Mélanie Alice Legrand</w:t>
      </w:r>
      <w:r>
        <w:rPr>
          <w:color w:val="000000" w:themeColor="text1"/>
          <w:vertAlign w:val="superscript"/>
          <w:lang w:val="en-US"/>
        </w:rPr>
        <w:t>a*</w:t>
      </w:r>
      <w:r w:rsidRPr="00D031CE">
        <w:rPr>
          <w:color w:val="000000" w:themeColor="text1"/>
          <w:lang w:val="en-US"/>
        </w:rPr>
        <w:t xml:space="preserve">, </w:t>
      </w:r>
      <w:proofErr w:type="spellStart"/>
      <w:r w:rsidRPr="007914F6">
        <w:rPr>
          <w:color w:val="000000" w:themeColor="text1"/>
          <w:lang w:val="en-US"/>
        </w:rPr>
        <w:t>Gw</w:t>
      </w:r>
      <w:r>
        <w:rPr>
          <w:color w:val="000000" w:themeColor="text1"/>
          <w:lang w:val="en-US"/>
        </w:rPr>
        <w:t>é</w:t>
      </w:r>
      <w:r w:rsidRPr="007914F6">
        <w:rPr>
          <w:color w:val="000000" w:themeColor="text1"/>
          <w:lang w:val="en-US"/>
        </w:rPr>
        <w:t>na</w:t>
      </w:r>
      <w:r>
        <w:rPr>
          <w:color w:val="000000" w:themeColor="text1"/>
          <w:lang w:val="en-US"/>
        </w:rPr>
        <w:t>ë</w:t>
      </w:r>
      <w:r w:rsidRPr="007914F6">
        <w:rPr>
          <w:color w:val="000000" w:themeColor="text1"/>
          <w:lang w:val="en-US"/>
        </w:rPr>
        <w:t>lle</w:t>
      </w:r>
      <w:proofErr w:type="spellEnd"/>
      <w:r w:rsidRPr="007914F6">
        <w:rPr>
          <w:color w:val="000000" w:themeColor="text1"/>
          <w:lang w:val="en-US"/>
        </w:rPr>
        <w:t xml:space="preserve"> Jayat</w:t>
      </w:r>
      <w:r>
        <w:rPr>
          <w:color w:val="000000" w:themeColor="text1"/>
          <w:vertAlign w:val="superscript"/>
          <w:lang w:val="en-US"/>
        </w:rPr>
        <w:t>b</w:t>
      </w:r>
      <w:r w:rsidRPr="00D031CE">
        <w:rPr>
          <w:color w:val="000000" w:themeColor="text1"/>
          <w:lang w:val="en-US"/>
        </w:rPr>
        <w:t xml:space="preserve">, Léa </w:t>
      </w:r>
      <w:proofErr w:type="spellStart"/>
      <w:r w:rsidRPr="00D031CE">
        <w:rPr>
          <w:color w:val="000000" w:themeColor="text1"/>
          <w:lang w:val="en-US"/>
        </w:rPr>
        <w:t>Demesmay</w:t>
      </w:r>
      <w:r>
        <w:rPr>
          <w:color w:val="000000" w:themeColor="text1"/>
          <w:vertAlign w:val="superscript"/>
          <w:lang w:val="en-US"/>
        </w:rPr>
        <w:t>a</w:t>
      </w:r>
      <w:proofErr w:type="spellEnd"/>
      <w:r w:rsidRPr="00D031CE">
        <w:rPr>
          <w:color w:val="000000" w:themeColor="text1"/>
          <w:lang w:val="en-US"/>
        </w:rPr>
        <w:t xml:space="preserve">, Candice </w:t>
      </w:r>
      <w:proofErr w:type="spellStart"/>
      <w:r w:rsidRPr="00D031CE">
        <w:rPr>
          <w:color w:val="000000" w:themeColor="text1"/>
          <w:lang w:val="en-US"/>
        </w:rPr>
        <w:t>Internicola</w:t>
      </w:r>
      <w:r>
        <w:rPr>
          <w:color w:val="000000" w:themeColor="text1"/>
          <w:vertAlign w:val="superscript"/>
          <w:lang w:val="en-US"/>
        </w:rPr>
        <w:t>a</w:t>
      </w:r>
      <w:proofErr w:type="spellEnd"/>
      <w:r w:rsidRPr="00D031CE">
        <w:rPr>
          <w:color w:val="000000" w:themeColor="text1"/>
          <w:lang w:val="en-US"/>
        </w:rPr>
        <w:t xml:space="preserve">, Lamia </w:t>
      </w:r>
      <w:proofErr w:type="spellStart"/>
      <w:r w:rsidRPr="00D031CE">
        <w:rPr>
          <w:color w:val="000000" w:themeColor="text1"/>
          <w:lang w:val="en-US"/>
        </w:rPr>
        <w:t>Bouazza</w:t>
      </w:r>
      <w:r>
        <w:rPr>
          <w:color w:val="000000" w:themeColor="text1"/>
          <w:vertAlign w:val="superscript"/>
          <w:lang w:val="en-US"/>
        </w:rPr>
        <w:t>a</w:t>
      </w:r>
      <w:proofErr w:type="spellEnd"/>
      <w:r w:rsidRPr="00D031CE">
        <w:rPr>
          <w:color w:val="000000" w:themeColor="text1"/>
          <w:lang w:val="en-US"/>
        </w:rPr>
        <w:t xml:space="preserve">, Candide </w:t>
      </w:r>
      <w:proofErr w:type="spellStart"/>
      <w:r w:rsidRPr="00D031CE">
        <w:rPr>
          <w:color w:val="000000" w:themeColor="text1"/>
          <w:lang w:val="en-US"/>
        </w:rPr>
        <w:t>Alioli</w:t>
      </w:r>
      <w:r>
        <w:rPr>
          <w:color w:val="000000" w:themeColor="text1"/>
          <w:vertAlign w:val="superscript"/>
          <w:lang w:val="en-US"/>
        </w:rPr>
        <w:t>a</w:t>
      </w:r>
      <w:proofErr w:type="spellEnd"/>
      <w:r w:rsidRPr="00D031CE">
        <w:rPr>
          <w:color w:val="000000" w:themeColor="text1"/>
          <w:lang w:val="en-US"/>
        </w:rPr>
        <w:t>, Agnes Linglart</w:t>
      </w:r>
      <w:r>
        <w:rPr>
          <w:color w:val="000000" w:themeColor="text1"/>
          <w:vertAlign w:val="superscript"/>
          <w:lang w:val="en-US"/>
        </w:rPr>
        <w:t>c</w:t>
      </w:r>
      <w:r w:rsidRPr="00D031CE">
        <w:rPr>
          <w:color w:val="000000" w:themeColor="text1"/>
          <w:lang w:val="en-US"/>
        </w:rPr>
        <w:t>, Fabienne Coury</w:t>
      </w:r>
      <w:r>
        <w:rPr>
          <w:color w:val="000000" w:themeColor="text1"/>
          <w:vertAlign w:val="superscript"/>
          <w:lang w:val="en-US"/>
        </w:rPr>
        <w:t>a</w:t>
      </w:r>
      <w:r w:rsidRPr="00D031CE">
        <w:rPr>
          <w:color w:val="000000" w:themeColor="text1"/>
          <w:lang w:val="en-US"/>
        </w:rPr>
        <w:t>, Justine Bacchetta</w:t>
      </w:r>
      <w:r>
        <w:rPr>
          <w:color w:val="000000" w:themeColor="text1"/>
          <w:vertAlign w:val="superscript"/>
          <w:lang w:val="en-US"/>
        </w:rPr>
        <w:t>a</w:t>
      </w:r>
      <w:r w:rsidRPr="00D031CE">
        <w:rPr>
          <w:color w:val="000000" w:themeColor="text1"/>
          <w:lang w:val="en-US"/>
        </w:rPr>
        <w:t>, Sylvain Provot</w:t>
      </w:r>
      <w:r>
        <w:rPr>
          <w:color w:val="000000" w:themeColor="text1"/>
          <w:vertAlign w:val="superscript"/>
          <w:lang w:val="en-US"/>
        </w:rPr>
        <w:t>b</w:t>
      </w:r>
      <w:r w:rsidRPr="00D031CE">
        <w:rPr>
          <w:color w:val="000000" w:themeColor="text1"/>
          <w:lang w:val="en-US"/>
        </w:rPr>
        <w:t>, Martine Cohen-</w:t>
      </w:r>
      <w:proofErr w:type="spellStart"/>
      <w:r w:rsidRPr="00D031CE">
        <w:rPr>
          <w:color w:val="000000" w:themeColor="text1"/>
          <w:lang w:val="en-US"/>
        </w:rPr>
        <w:t>Solal</w:t>
      </w:r>
      <w:r>
        <w:rPr>
          <w:color w:val="000000" w:themeColor="text1"/>
          <w:vertAlign w:val="superscript"/>
          <w:lang w:val="en-US"/>
        </w:rPr>
        <w:t>b</w:t>
      </w:r>
      <w:proofErr w:type="spellEnd"/>
      <w:r w:rsidRPr="00D031CE">
        <w:rPr>
          <w:color w:val="000000" w:themeColor="text1"/>
          <w:lang w:val="en-US"/>
        </w:rPr>
        <w:t>, Eric Hay</w:t>
      </w:r>
      <w:r>
        <w:rPr>
          <w:color w:val="000000" w:themeColor="text1"/>
          <w:vertAlign w:val="superscript"/>
          <w:lang w:val="en-US"/>
        </w:rPr>
        <w:t>b$</w:t>
      </w:r>
      <w:r w:rsidRPr="00D031CE">
        <w:rPr>
          <w:color w:val="000000" w:themeColor="text1"/>
          <w:lang w:val="en-US"/>
        </w:rPr>
        <w:t>, Olivier Peyruchau</w:t>
      </w:r>
      <w:r>
        <w:rPr>
          <w:color w:val="000000" w:themeColor="text1"/>
          <w:lang w:val="en-US"/>
        </w:rPr>
        <w:t>d</w:t>
      </w:r>
      <w:r w:rsidRPr="00357AF4">
        <w:rPr>
          <w:color w:val="000000" w:themeColor="text1"/>
          <w:vertAlign w:val="superscript"/>
          <w:lang w:val="en-US"/>
        </w:rPr>
        <w:t>a</w:t>
      </w:r>
      <w:r w:rsidRPr="001113FF">
        <w:rPr>
          <w:color w:val="000000" w:themeColor="text1"/>
          <w:vertAlign w:val="superscript"/>
          <w:lang w:val="en-US"/>
        </w:rPr>
        <w:t>$</w:t>
      </w:r>
      <w:r w:rsidRPr="00D031CE">
        <w:rPr>
          <w:color w:val="000000" w:themeColor="text1"/>
          <w:vertAlign w:val="superscript"/>
          <w:lang w:val="en-US"/>
        </w:rPr>
        <w:t>&amp;</w:t>
      </w:r>
      <w:r w:rsidRPr="00D031CE">
        <w:rPr>
          <w:color w:val="000000" w:themeColor="text1"/>
          <w:lang w:val="en-US"/>
        </w:rPr>
        <w:t>.</w:t>
      </w:r>
    </w:p>
    <w:p w:rsidR="00662F96" w:rsidRPr="00D031CE" w:rsidRDefault="00662F96" w:rsidP="00662F96">
      <w:pPr>
        <w:spacing w:line="480" w:lineRule="auto"/>
        <w:jc w:val="both"/>
        <w:rPr>
          <w:b/>
          <w:color w:val="000000" w:themeColor="text1"/>
          <w:lang w:val="en-US"/>
        </w:rPr>
      </w:pPr>
    </w:p>
    <w:p w:rsidR="00662F96" w:rsidRPr="00D031CE" w:rsidRDefault="00662F96" w:rsidP="00662F96">
      <w:pPr>
        <w:spacing w:line="480" w:lineRule="auto"/>
        <w:jc w:val="both"/>
        <w:rPr>
          <w:b/>
          <w:color w:val="000000" w:themeColor="text1"/>
        </w:rPr>
      </w:pPr>
      <w:r w:rsidRPr="00D031CE">
        <w:rPr>
          <w:b/>
          <w:color w:val="000000" w:themeColor="text1"/>
        </w:rPr>
        <w:t>Affiliations :</w:t>
      </w:r>
    </w:p>
    <w:p w:rsidR="00662F96" w:rsidRPr="00D031CE" w:rsidRDefault="00662F96" w:rsidP="00662F96">
      <w:pPr>
        <w:spacing w:line="480" w:lineRule="auto"/>
        <w:jc w:val="both"/>
        <w:rPr>
          <w:color w:val="000000" w:themeColor="text1"/>
        </w:rPr>
      </w:pPr>
      <w:proofErr w:type="gramStart"/>
      <w:r>
        <w:rPr>
          <w:color w:val="000000" w:themeColor="text1"/>
          <w:vertAlign w:val="superscript"/>
        </w:rPr>
        <w:t>a</w:t>
      </w:r>
      <w:proofErr w:type="gramEnd"/>
      <w:r w:rsidRPr="00D031CE">
        <w:rPr>
          <w:color w:val="000000" w:themeColor="text1"/>
          <w:vertAlign w:val="superscript"/>
        </w:rPr>
        <w:t xml:space="preserve"> </w:t>
      </w:r>
      <w:proofErr w:type="spellStart"/>
      <w:r w:rsidRPr="00D031CE">
        <w:rPr>
          <w:color w:val="000000" w:themeColor="text1"/>
        </w:rPr>
        <w:t>Universite</w:t>
      </w:r>
      <w:proofErr w:type="spellEnd"/>
      <w:r w:rsidRPr="00D031CE">
        <w:rPr>
          <w:color w:val="000000" w:themeColor="text1"/>
        </w:rPr>
        <w:t xml:space="preserve"> Claude Bernard Lyon 1, INSERM, UMR 1033, LYOS, 69372, </w:t>
      </w:r>
      <w:proofErr w:type="gramStart"/>
      <w:r w:rsidRPr="00D031CE">
        <w:rPr>
          <w:color w:val="000000" w:themeColor="text1"/>
        </w:rPr>
        <w:t>Lyon,  France</w:t>
      </w:r>
      <w:proofErr w:type="gramEnd"/>
      <w:r w:rsidRPr="00D031CE">
        <w:rPr>
          <w:color w:val="000000" w:themeColor="text1"/>
        </w:rPr>
        <w:t>.</w:t>
      </w:r>
    </w:p>
    <w:p w:rsidR="00662F96" w:rsidRPr="00D031CE" w:rsidRDefault="00662F96" w:rsidP="00662F96">
      <w:pPr>
        <w:spacing w:line="480" w:lineRule="auto"/>
        <w:jc w:val="both"/>
        <w:rPr>
          <w:color w:val="000000" w:themeColor="text1"/>
        </w:rPr>
      </w:pPr>
      <w:proofErr w:type="gramStart"/>
      <w:r>
        <w:rPr>
          <w:color w:val="000000" w:themeColor="text1"/>
          <w:vertAlign w:val="superscript"/>
        </w:rPr>
        <w:t>b</w:t>
      </w:r>
      <w:proofErr w:type="gramEnd"/>
      <w:r w:rsidRPr="00D031CE">
        <w:rPr>
          <w:color w:val="000000" w:themeColor="text1"/>
        </w:rPr>
        <w:t xml:space="preserve"> </w:t>
      </w:r>
      <w:proofErr w:type="spellStart"/>
      <w:proofErr w:type="gramStart"/>
      <w:r w:rsidRPr="00D031CE">
        <w:rPr>
          <w:color w:val="000000" w:themeColor="text1"/>
        </w:rPr>
        <w:t>Universite</w:t>
      </w:r>
      <w:proofErr w:type="spellEnd"/>
      <w:r w:rsidRPr="00D031CE">
        <w:rPr>
          <w:color w:val="000000" w:themeColor="text1"/>
        </w:rPr>
        <w:t xml:space="preserve">  Paris</w:t>
      </w:r>
      <w:proofErr w:type="gramEnd"/>
      <w:r w:rsidRPr="00D031CE">
        <w:rPr>
          <w:color w:val="000000" w:themeColor="text1"/>
        </w:rPr>
        <w:t xml:space="preserve"> Cité, INSERM UMR1132, BIOSCAR, 75475 Paris, </w:t>
      </w:r>
      <w:r>
        <w:rPr>
          <w:color w:val="000000" w:themeColor="text1"/>
        </w:rPr>
        <w:t>France</w:t>
      </w:r>
    </w:p>
    <w:p w:rsidR="00662F96" w:rsidRPr="00D031CE" w:rsidRDefault="00662F96" w:rsidP="00662F96">
      <w:pPr>
        <w:spacing w:line="480" w:lineRule="auto"/>
        <w:jc w:val="both"/>
        <w:rPr>
          <w:color w:val="000000" w:themeColor="text1"/>
          <w:lang w:val="en-US"/>
        </w:rPr>
      </w:pPr>
      <w:r>
        <w:rPr>
          <w:color w:val="000000" w:themeColor="text1"/>
          <w:vertAlign w:val="superscript"/>
          <w:lang w:val="en-US"/>
        </w:rPr>
        <w:t>c</w:t>
      </w:r>
      <w:r w:rsidRPr="00D031CE">
        <w:rPr>
          <w:color w:val="000000" w:themeColor="text1"/>
          <w:lang w:val="en-US"/>
        </w:rPr>
        <w:t xml:space="preserve"> Universite Paris-</w:t>
      </w:r>
      <w:proofErr w:type="spellStart"/>
      <w:r w:rsidRPr="00D031CE">
        <w:rPr>
          <w:color w:val="000000" w:themeColor="text1"/>
          <w:lang w:val="en-US"/>
        </w:rPr>
        <w:t>Saclay</w:t>
      </w:r>
      <w:proofErr w:type="spellEnd"/>
      <w:r w:rsidRPr="00D031CE">
        <w:rPr>
          <w:color w:val="000000" w:themeColor="text1"/>
          <w:lang w:val="en-US"/>
        </w:rPr>
        <w:t xml:space="preserve">, INSERM U1185, AP-HP, DMU SEA, Endocrinology and Diabetes for Children, Reference Center for Rare Diseases of the Calcium and Phosphate Metabolism, OSCAR </w:t>
      </w:r>
      <w:proofErr w:type="spellStart"/>
      <w:r w:rsidRPr="00D031CE">
        <w:rPr>
          <w:color w:val="000000" w:themeColor="text1"/>
          <w:lang w:val="en-US"/>
        </w:rPr>
        <w:t>filière</w:t>
      </w:r>
      <w:proofErr w:type="spellEnd"/>
      <w:r w:rsidRPr="00D031CE">
        <w:rPr>
          <w:color w:val="000000" w:themeColor="text1"/>
          <w:lang w:val="en-US"/>
        </w:rPr>
        <w:t xml:space="preserve">, </w:t>
      </w:r>
      <w:proofErr w:type="spellStart"/>
      <w:r w:rsidRPr="00D031CE">
        <w:rPr>
          <w:color w:val="000000" w:themeColor="text1"/>
          <w:lang w:val="en-US"/>
        </w:rPr>
        <w:t>EndoRare</w:t>
      </w:r>
      <w:proofErr w:type="spellEnd"/>
      <w:r w:rsidRPr="00D031CE">
        <w:rPr>
          <w:color w:val="000000" w:themeColor="text1"/>
          <w:lang w:val="en-US"/>
        </w:rPr>
        <w:t>, and BOND ERN, Bicêtre Hospital, Le Kremlin-Bicêtre,</w:t>
      </w:r>
      <w:r>
        <w:rPr>
          <w:color w:val="000000" w:themeColor="text1"/>
          <w:lang w:val="en-US"/>
        </w:rPr>
        <w:t xml:space="preserve"> 94276</w:t>
      </w:r>
      <w:r w:rsidRPr="00D031CE">
        <w:rPr>
          <w:color w:val="000000" w:themeColor="text1"/>
          <w:lang w:val="en-US"/>
        </w:rPr>
        <w:t xml:space="preserve"> France.</w:t>
      </w:r>
    </w:p>
    <w:p w:rsidR="00662F96" w:rsidRPr="00D031CE" w:rsidRDefault="00662F96" w:rsidP="00662F96">
      <w:pPr>
        <w:spacing w:line="480" w:lineRule="auto"/>
        <w:jc w:val="both"/>
        <w:rPr>
          <w:color w:val="000000" w:themeColor="text1"/>
          <w:lang w:val="en-US"/>
        </w:rPr>
      </w:pPr>
    </w:p>
    <w:p w:rsidR="00662F96" w:rsidRPr="00357AF4" w:rsidRDefault="00662F96" w:rsidP="00662F96">
      <w:pPr>
        <w:spacing w:line="480" w:lineRule="auto"/>
        <w:jc w:val="both"/>
        <w:rPr>
          <w:color w:val="000000" w:themeColor="text1"/>
          <w:lang w:val="en-US"/>
        </w:rPr>
      </w:pPr>
      <w:r>
        <w:rPr>
          <w:color w:val="000000" w:themeColor="text1"/>
          <w:lang w:val="en-US"/>
        </w:rPr>
        <w:t>* R</w:t>
      </w:r>
      <w:r w:rsidRPr="00357AF4">
        <w:rPr>
          <w:color w:val="000000" w:themeColor="text1"/>
          <w:lang w:val="en-US"/>
        </w:rPr>
        <w:t>esearchers contributed equa</w:t>
      </w:r>
      <w:r>
        <w:rPr>
          <w:color w:val="000000" w:themeColor="text1"/>
          <w:lang w:val="en-US"/>
        </w:rPr>
        <w:t>l</w:t>
      </w:r>
      <w:r w:rsidRPr="00357AF4">
        <w:rPr>
          <w:color w:val="000000" w:themeColor="text1"/>
          <w:lang w:val="en-US"/>
        </w:rPr>
        <w:t xml:space="preserve">ly to the work. </w:t>
      </w:r>
    </w:p>
    <w:p w:rsidR="00662F96" w:rsidRDefault="00662F96" w:rsidP="00662F96">
      <w:pPr>
        <w:spacing w:line="480" w:lineRule="auto"/>
        <w:jc w:val="both"/>
        <w:rPr>
          <w:color w:val="000000" w:themeColor="text1"/>
          <w:lang w:val="en-US"/>
        </w:rPr>
      </w:pPr>
      <w:r w:rsidRPr="001113FF">
        <w:rPr>
          <w:color w:val="000000" w:themeColor="text1"/>
          <w:lang w:val="en-US"/>
        </w:rPr>
        <w:t xml:space="preserve">$ </w:t>
      </w:r>
      <w:r w:rsidRPr="00357AF4">
        <w:rPr>
          <w:color w:val="000000" w:themeColor="text1"/>
          <w:lang w:val="en-US"/>
        </w:rPr>
        <w:t>Researchers contributed equa</w:t>
      </w:r>
      <w:r>
        <w:rPr>
          <w:color w:val="000000" w:themeColor="text1"/>
          <w:lang w:val="en-US"/>
        </w:rPr>
        <w:t>l</w:t>
      </w:r>
      <w:r w:rsidRPr="00357AF4">
        <w:rPr>
          <w:color w:val="000000" w:themeColor="text1"/>
          <w:lang w:val="en-US"/>
        </w:rPr>
        <w:t>ly to the work</w:t>
      </w:r>
      <w:r>
        <w:rPr>
          <w:color w:val="000000" w:themeColor="text1"/>
          <w:lang w:val="en-US"/>
        </w:rPr>
        <w:t xml:space="preserve">.  </w:t>
      </w:r>
    </w:p>
    <w:p w:rsidR="00662F96" w:rsidRPr="00D031CE" w:rsidRDefault="00662F96" w:rsidP="00662F96">
      <w:pPr>
        <w:spacing w:line="480" w:lineRule="auto"/>
        <w:jc w:val="both"/>
        <w:rPr>
          <w:color w:val="000000" w:themeColor="text1"/>
          <w:lang w:val="en-US"/>
        </w:rPr>
      </w:pPr>
      <w:r>
        <w:rPr>
          <w:color w:val="000000" w:themeColor="text1"/>
          <w:lang w:val="en-US"/>
        </w:rPr>
        <w:t xml:space="preserve"> </w:t>
      </w:r>
    </w:p>
    <w:p w:rsidR="00662F96" w:rsidRPr="00D031CE" w:rsidRDefault="00662F96" w:rsidP="00662F96">
      <w:pPr>
        <w:spacing w:line="480" w:lineRule="auto"/>
        <w:jc w:val="both"/>
        <w:rPr>
          <w:color w:val="000000" w:themeColor="text1"/>
        </w:rPr>
      </w:pPr>
      <w:r w:rsidRPr="00D031CE">
        <w:rPr>
          <w:color w:val="000000" w:themeColor="text1"/>
        </w:rPr>
        <w:t xml:space="preserve">&amp; </w:t>
      </w:r>
      <w:r>
        <w:rPr>
          <w:color w:val="000000" w:themeColor="text1"/>
        </w:rPr>
        <w:t xml:space="preserve">To </w:t>
      </w:r>
      <w:proofErr w:type="spellStart"/>
      <w:r>
        <w:rPr>
          <w:color w:val="000000" w:themeColor="text1"/>
        </w:rPr>
        <w:t>whom</w:t>
      </w:r>
      <w:proofErr w:type="spellEnd"/>
      <w:r>
        <w:rPr>
          <w:color w:val="000000" w:themeColor="text1"/>
        </w:rPr>
        <w:t xml:space="preserve"> </w:t>
      </w:r>
      <w:proofErr w:type="spellStart"/>
      <w:r>
        <w:rPr>
          <w:color w:val="000000" w:themeColor="text1"/>
        </w:rPr>
        <w:t>correspondence</w:t>
      </w:r>
      <w:proofErr w:type="spellEnd"/>
      <w:r>
        <w:rPr>
          <w:color w:val="000000" w:themeColor="text1"/>
        </w:rPr>
        <w:t xml:space="preserve"> </w:t>
      </w:r>
      <w:proofErr w:type="spellStart"/>
      <w:r>
        <w:rPr>
          <w:color w:val="000000" w:themeColor="text1"/>
        </w:rPr>
        <w:t>should</w:t>
      </w:r>
      <w:proofErr w:type="spellEnd"/>
      <w:r>
        <w:rPr>
          <w:color w:val="000000" w:themeColor="text1"/>
        </w:rPr>
        <w:t xml:space="preserve"> </w:t>
      </w:r>
      <w:proofErr w:type="spellStart"/>
      <w:r>
        <w:rPr>
          <w:color w:val="000000" w:themeColor="text1"/>
        </w:rPr>
        <w:t>be</w:t>
      </w:r>
      <w:proofErr w:type="spellEnd"/>
      <w:r>
        <w:rPr>
          <w:color w:val="000000" w:themeColor="text1"/>
        </w:rPr>
        <w:t xml:space="preserve"> </w:t>
      </w:r>
      <w:proofErr w:type="spellStart"/>
      <w:proofErr w:type="gramStart"/>
      <w:r>
        <w:rPr>
          <w:color w:val="000000" w:themeColor="text1"/>
        </w:rPr>
        <w:t>addressed</w:t>
      </w:r>
      <w:proofErr w:type="spellEnd"/>
      <w:r w:rsidRPr="00D031CE">
        <w:rPr>
          <w:color w:val="000000" w:themeColor="text1"/>
        </w:rPr>
        <w:t>:</w:t>
      </w:r>
      <w:proofErr w:type="gramEnd"/>
      <w:r w:rsidRPr="00D031CE">
        <w:rPr>
          <w:color w:val="000000" w:themeColor="text1"/>
        </w:rPr>
        <w:t xml:space="preserve"> Dr Olivier Peyruchaud</w:t>
      </w:r>
    </w:p>
    <w:p w:rsidR="00662F96" w:rsidRPr="00D031CE" w:rsidRDefault="00662F96" w:rsidP="00662F96">
      <w:pPr>
        <w:spacing w:line="480" w:lineRule="auto"/>
        <w:jc w:val="both"/>
        <w:rPr>
          <w:color w:val="000000" w:themeColor="text1"/>
          <w:lang w:val="en-US"/>
        </w:rPr>
      </w:pPr>
      <w:r w:rsidRPr="00D031CE">
        <w:rPr>
          <w:color w:val="000000" w:themeColor="text1"/>
        </w:rPr>
        <w:t xml:space="preserve">INSERM UMR 1033, Faculté de médecine Lyon Est, domaine Laennec, rue Guillaume </w:t>
      </w:r>
      <w:proofErr w:type="spellStart"/>
      <w:r w:rsidRPr="00D031CE">
        <w:rPr>
          <w:color w:val="000000" w:themeColor="text1"/>
        </w:rPr>
        <w:t>Paradin</w:t>
      </w:r>
      <w:proofErr w:type="spellEnd"/>
      <w:r w:rsidRPr="00D031CE">
        <w:rPr>
          <w:color w:val="000000" w:themeColor="text1"/>
        </w:rPr>
        <w:t xml:space="preserve">, 69372 Lyon cedex 08, France. </w:t>
      </w:r>
      <w:r w:rsidRPr="00D031CE">
        <w:rPr>
          <w:color w:val="000000" w:themeColor="text1"/>
          <w:lang w:val="en-US"/>
        </w:rPr>
        <w:t xml:space="preserve">Tel: +33 4 78 77 86 72. </w:t>
      </w:r>
    </w:p>
    <w:p w:rsidR="00662F96" w:rsidRPr="00D031CE" w:rsidRDefault="00662F96" w:rsidP="00662F96">
      <w:pPr>
        <w:spacing w:line="480" w:lineRule="auto"/>
        <w:jc w:val="both"/>
        <w:rPr>
          <w:color w:val="000000" w:themeColor="text1"/>
          <w:lang w:val="en-US"/>
        </w:rPr>
      </w:pPr>
      <w:r w:rsidRPr="00D031CE">
        <w:rPr>
          <w:color w:val="000000" w:themeColor="text1"/>
          <w:lang w:val="en-US"/>
        </w:rPr>
        <w:t>E-mail: olivier.peyruchaud@inserm.fr</w:t>
      </w:r>
    </w:p>
    <w:p w:rsidR="00662F96" w:rsidRDefault="00662F96" w:rsidP="00662F96">
      <w:pPr>
        <w:spacing w:line="360" w:lineRule="auto"/>
        <w:rPr>
          <w:b/>
          <w:bCs/>
        </w:rPr>
      </w:pPr>
    </w:p>
    <w:p w:rsidR="00662F96" w:rsidRDefault="00662F96" w:rsidP="00662F96">
      <w:pPr>
        <w:spacing w:line="360" w:lineRule="auto"/>
        <w:jc w:val="center"/>
        <w:rPr>
          <w:rFonts w:ascii="Times New Roman Regular" w:hAnsi="Times New Roman Regular" w:cs="Times New Roman Regular"/>
        </w:rPr>
      </w:pPr>
      <w:r>
        <w:rPr>
          <w:rFonts w:ascii="Times New Roman Regular" w:hAnsi="Times New Roman Regular" w:cs="Times New Roman Regular"/>
        </w:rPr>
        <w:lastRenderedPageBreak/>
        <w:t xml:space="preserve">This </w:t>
      </w:r>
      <w:proofErr w:type="spellStart"/>
      <w:r>
        <w:rPr>
          <w:rFonts w:ascii="Times New Roman Regular" w:hAnsi="Times New Roman Regular" w:cs="Times New Roman Regular"/>
        </w:rPr>
        <w:t>Supplementary</w:t>
      </w:r>
      <w:proofErr w:type="spellEnd"/>
      <w:r>
        <w:rPr>
          <w:rFonts w:ascii="Times New Roman Regular" w:hAnsi="Times New Roman Regular" w:cs="Times New Roman Regular"/>
        </w:rPr>
        <w:t xml:space="preserve"> Materials file </w:t>
      </w:r>
      <w:proofErr w:type="spellStart"/>
      <w:proofErr w:type="gramStart"/>
      <w:r>
        <w:rPr>
          <w:rFonts w:ascii="Times New Roman Regular" w:hAnsi="Times New Roman Regular" w:cs="Times New Roman Regular"/>
        </w:rPr>
        <w:t>includes</w:t>
      </w:r>
      <w:proofErr w:type="spellEnd"/>
      <w:r>
        <w:rPr>
          <w:rFonts w:ascii="Times New Roman Regular" w:hAnsi="Times New Roman Regular" w:cs="Times New Roman Regular"/>
        </w:rPr>
        <w:t>:</w:t>
      </w:r>
      <w:proofErr w:type="gramEnd"/>
    </w:p>
    <w:p w:rsidR="00662F96" w:rsidRPr="00662F96" w:rsidRDefault="00662F96" w:rsidP="00662F96">
      <w:pPr>
        <w:spacing w:line="360" w:lineRule="auto"/>
        <w:jc w:val="center"/>
        <w:rPr>
          <w:rFonts w:ascii="Times New Roman Regular" w:hAnsi="Times New Roman Regular" w:cs="Times New Roman Regular"/>
        </w:rPr>
      </w:pPr>
      <w:proofErr w:type="spellStart"/>
      <w:r>
        <w:rPr>
          <w:rFonts w:ascii="Times New Roman Regular" w:hAnsi="Times New Roman Regular" w:cs="Times New Roman Regular"/>
        </w:rPr>
        <w:t>Supplementary</w:t>
      </w:r>
      <w:proofErr w:type="spellEnd"/>
      <w:r>
        <w:rPr>
          <w:rFonts w:ascii="Times New Roman Regular" w:hAnsi="Times New Roman Regular" w:cs="Times New Roman Regular"/>
        </w:rPr>
        <w:t xml:space="preserve"> </w:t>
      </w:r>
      <w:proofErr w:type="spellStart"/>
      <w:r>
        <w:rPr>
          <w:rFonts w:ascii="Times New Roman Regular" w:hAnsi="Times New Roman Regular" w:cs="Times New Roman Regular"/>
        </w:rPr>
        <w:t>Figs</w:t>
      </w:r>
      <w:proofErr w:type="spellEnd"/>
      <w:r>
        <w:rPr>
          <w:rFonts w:ascii="Times New Roman Regular" w:hAnsi="Times New Roman Regular" w:cs="Times New Roman Regular"/>
        </w:rPr>
        <w:t xml:space="preserve">. 1 to </w:t>
      </w:r>
      <w:r>
        <w:rPr>
          <w:rFonts w:ascii="Times New Roman Regular" w:hAnsi="Times New Roman Regular" w:cs="Times New Roman Regular"/>
        </w:rPr>
        <w:t>3</w:t>
      </w:r>
      <w:r>
        <w:rPr>
          <w:rFonts w:ascii="Times New Roman Regular" w:hAnsi="Times New Roman Regular" w:cs="Times New Roman Regular"/>
        </w:rPr>
        <w:t xml:space="preserve"> (Pages 2-</w:t>
      </w:r>
      <w:r>
        <w:rPr>
          <w:rFonts w:ascii="Times New Roman Regular" w:hAnsi="Times New Roman Regular" w:cs="Times New Roman Regular"/>
        </w:rPr>
        <w:t>5</w:t>
      </w:r>
      <w:r>
        <w:rPr>
          <w:rFonts w:ascii="Times New Roman Regular" w:hAnsi="Times New Roman Regular" w:cs="Times New Roman Regular"/>
        </w:rPr>
        <w:t>)</w:t>
      </w:r>
    </w:p>
    <w:p w:rsidR="00662F96" w:rsidRPr="00D031CE" w:rsidRDefault="00662F96" w:rsidP="00662F96">
      <w:pPr>
        <w:ind w:left="426"/>
        <w:jc w:val="both"/>
        <w:rPr>
          <w:b/>
          <w:bCs/>
          <w:color w:val="000000" w:themeColor="text1"/>
          <w:lang w:val="en-US"/>
        </w:rPr>
      </w:pPr>
      <w:r w:rsidRPr="00AF56D0">
        <w:rPr>
          <w:b/>
          <w:bCs/>
          <w:noProof/>
          <w:color w:val="000000" w:themeColor="text1"/>
        </w:rPr>
        <w:drawing>
          <wp:inline distT="0" distB="0" distL="0" distR="0" wp14:anchorId="545178B5" wp14:editId="54908BBF">
            <wp:extent cx="5257289" cy="7488621"/>
            <wp:effectExtent l="0" t="0" r="0" b="0"/>
            <wp:docPr id="2024073075" name="Image 3">
              <a:extLst xmlns:a="http://schemas.openxmlformats.org/drawingml/2006/main">
                <a:ext uri="{FF2B5EF4-FFF2-40B4-BE49-F238E27FC236}">
                  <a16:creationId xmlns:a16="http://schemas.microsoft.com/office/drawing/2014/main" id="{036328EB-B8AE-664A-6D97-1F5694809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36328EB-B8AE-664A-6D97-1F569480983F}"/>
                        </a:ext>
                      </a:extLst>
                    </pic:cNvPr>
                    <pic:cNvPicPr>
                      <a:picLocks noChangeAspect="1"/>
                    </pic:cNvPicPr>
                  </pic:nvPicPr>
                  <pic:blipFill>
                    <a:blip r:embed="rId6"/>
                    <a:stretch>
                      <a:fillRect/>
                    </a:stretch>
                  </pic:blipFill>
                  <pic:spPr>
                    <a:xfrm>
                      <a:off x="0" y="0"/>
                      <a:ext cx="5266419" cy="7501626"/>
                    </a:xfrm>
                    <a:prstGeom prst="rect">
                      <a:avLst/>
                    </a:prstGeom>
                  </pic:spPr>
                </pic:pic>
              </a:graphicData>
            </a:graphic>
          </wp:inline>
        </w:drawing>
      </w:r>
    </w:p>
    <w:p w:rsidR="00662F96" w:rsidRPr="00D031CE" w:rsidRDefault="00662F96" w:rsidP="00662F96">
      <w:pPr>
        <w:jc w:val="both"/>
        <w:rPr>
          <w:b/>
          <w:bCs/>
          <w:color w:val="000000" w:themeColor="text1"/>
          <w:lang w:val="en-US"/>
        </w:rPr>
      </w:pPr>
      <w:r w:rsidRPr="00D031CE">
        <w:rPr>
          <w:b/>
          <w:bCs/>
          <w:color w:val="000000" w:themeColor="text1"/>
          <w:lang w:val="en-US"/>
        </w:rPr>
        <w:t>Supplementary Fig</w:t>
      </w:r>
      <w:r>
        <w:rPr>
          <w:b/>
          <w:bCs/>
          <w:color w:val="000000" w:themeColor="text1"/>
          <w:lang w:val="en-US"/>
        </w:rPr>
        <w:t>.</w:t>
      </w:r>
      <w:r w:rsidRPr="00D031CE">
        <w:rPr>
          <w:b/>
          <w:bCs/>
          <w:color w:val="000000" w:themeColor="text1"/>
          <w:lang w:val="en-US"/>
        </w:rPr>
        <w:t xml:space="preserve"> 1:</w:t>
      </w:r>
      <w:r>
        <w:rPr>
          <w:b/>
          <w:bCs/>
          <w:color w:val="000000" w:themeColor="text1"/>
          <w:lang w:val="en-US"/>
        </w:rPr>
        <w:t xml:space="preserve"> </w:t>
      </w:r>
      <w:r w:rsidRPr="00D031CE">
        <w:rPr>
          <w:b/>
          <w:bCs/>
          <w:color w:val="000000" w:themeColor="text1"/>
          <w:lang w:val="en-US"/>
        </w:rPr>
        <w:t xml:space="preserve">Post-natal deletion of </w:t>
      </w:r>
      <w:r w:rsidRPr="00D031CE">
        <w:rPr>
          <w:b/>
          <w:bCs/>
          <w:i/>
          <w:iCs/>
          <w:color w:val="000000" w:themeColor="text1"/>
          <w:lang w:val="en-US"/>
        </w:rPr>
        <w:t>Enpp2</w:t>
      </w:r>
      <w:r w:rsidRPr="00D031CE">
        <w:rPr>
          <w:b/>
          <w:bCs/>
          <w:color w:val="000000" w:themeColor="text1"/>
          <w:lang w:val="en-US"/>
        </w:rPr>
        <w:t xml:space="preserve"> in osteoblastic lineage cells does not impact bone mineral density (BMD), body size, body weight, BV/TV and cortical thickness.</w:t>
      </w:r>
    </w:p>
    <w:p w:rsidR="00662F96" w:rsidRPr="00D031CE" w:rsidRDefault="00662F96" w:rsidP="00662F96">
      <w:pPr>
        <w:jc w:val="both"/>
        <w:rPr>
          <w:color w:val="000000" w:themeColor="text1"/>
          <w:lang w:val="en-US"/>
        </w:rPr>
      </w:pPr>
      <w:r w:rsidRPr="00D031CE">
        <w:rPr>
          <w:b/>
          <w:bCs/>
          <w:color w:val="000000" w:themeColor="text1"/>
          <w:lang w:val="en-US"/>
        </w:rPr>
        <w:t>(</w:t>
      </w:r>
      <w:r>
        <w:rPr>
          <w:b/>
          <w:bCs/>
          <w:color w:val="000000" w:themeColor="text1"/>
          <w:lang w:val="en-US"/>
        </w:rPr>
        <w:t>A</w:t>
      </w:r>
      <w:r w:rsidRPr="00D031CE">
        <w:rPr>
          <w:b/>
          <w:bCs/>
          <w:color w:val="000000" w:themeColor="text1"/>
          <w:lang w:val="en-US"/>
        </w:rPr>
        <w:t>-</w:t>
      </w:r>
      <w:r>
        <w:rPr>
          <w:b/>
          <w:bCs/>
          <w:color w:val="000000" w:themeColor="text1"/>
          <w:lang w:val="en-US"/>
        </w:rPr>
        <w:t>F</w:t>
      </w:r>
      <w:r w:rsidRPr="00D031CE">
        <w:rPr>
          <w:b/>
          <w:bCs/>
          <w:color w:val="000000" w:themeColor="text1"/>
          <w:lang w:val="en-US"/>
        </w:rPr>
        <w:t xml:space="preserve">) </w:t>
      </w:r>
      <w:r w:rsidRPr="00D031CE">
        <w:rPr>
          <w:color w:val="000000" w:themeColor="text1"/>
          <w:lang w:val="en-US"/>
        </w:rPr>
        <w:t xml:space="preserve">Female mice parameters from 4 weeks to 24 weeks of age. </w:t>
      </w:r>
      <w:r>
        <w:rPr>
          <w:b/>
          <w:bCs/>
          <w:color w:val="000000" w:themeColor="text1"/>
          <w:lang w:val="en-US"/>
        </w:rPr>
        <w:t>A</w:t>
      </w:r>
      <w:r w:rsidRPr="00D031CE">
        <w:rPr>
          <w:b/>
          <w:bCs/>
          <w:color w:val="000000" w:themeColor="text1"/>
          <w:lang w:val="en-US"/>
        </w:rPr>
        <w:t>)</w:t>
      </w:r>
      <w:r w:rsidRPr="00D031CE">
        <w:rPr>
          <w:color w:val="000000" w:themeColor="text1"/>
          <w:lang w:val="en-US"/>
        </w:rPr>
        <w:t xml:space="preserve"> Representative photographs of 24week old CTRL and </w:t>
      </w:r>
      <w:proofErr w:type="spellStart"/>
      <w:r w:rsidRPr="00D031CE">
        <w:rPr>
          <w:color w:val="000000" w:themeColor="text1"/>
          <w:lang w:val="en-US"/>
        </w:rPr>
        <w:t>Ob</w:t>
      </w:r>
      <w:r w:rsidRPr="00D031CE">
        <w:rPr>
          <w:rFonts w:ascii="Symbol" w:hAnsi="Symbol"/>
          <w:color w:val="000000" w:themeColor="text1"/>
          <w:lang w:val="en-US"/>
        </w:rPr>
        <w:t>D</w:t>
      </w:r>
      <w:r w:rsidRPr="00D031CE">
        <w:rPr>
          <w:color w:val="000000" w:themeColor="text1"/>
          <w:lang w:val="en-US"/>
        </w:rPr>
        <w:t>ATX</w:t>
      </w:r>
      <w:proofErr w:type="spellEnd"/>
      <w:r w:rsidRPr="00D031CE">
        <w:rPr>
          <w:color w:val="000000" w:themeColor="text1"/>
          <w:lang w:val="en-US"/>
        </w:rPr>
        <w:t xml:space="preserve"> mice showing no visual differences. </w:t>
      </w:r>
      <w:r>
        <w:rPr>
          <w:b/>
          <w:bCs/>
          <w:color w:val="000000" w:themeColor="text1"/>
          <w:lang w:val="en-US"/>
        </w:rPr>
        <w:t>B</w:t>
      </w:r>
      <w:r w:rsidRPr="00D031CE">
        <w:rPr>
          <w:b/>
          <w:bCs/>
          <w:color w:val="000000" w:themeColor="text1"/>
          <w:lang w:val="en-US"/>
        </w:rPr>
        <w:t>)</w:t>
      </w:r>
      <w:r w:rsidRPr="00D031CE">
        <w:rPr>
          <w:color w:val="000000" w:themeColor="text1"/>
          <w:lang w:val="en-US"/>
        </w:rPr>
        <w:t xml:space="preserve"> Cortical </w:t>
      </w:r>
      <w:r w:rsidRPr="00D031CE">
        <w:rPr>
          <w:color w:val="000000" w:themeColor="text1"/>
          <w:lang w:val="en-US"/>
        </w:rPr>
        <w:lastRenderedPageBreak/>
        <w:t xml:space="preserve">Bone Mineral Density (BMD) curves for the two groups of mice CTRL n=5 and </w:t>
      </w:r>
      <w:proofErr w:type="spellStart"/>
      <w:r w:rsidRPr="00D031CE">
        <w:rPr>
          <w:color w:val="000000" w:themeColor="text1"/>
          <w:lang w:val="en-US"/>
        </w:rPr>
        <w:t>Ob</w:t>
      </w:r>
      <w:r w:rsidRPr="00D031CE">
        <w:rPr>
          <w:rFonts w:ascii="Symbol" w:hAnsi="Symbol"/>
          <w:color w:val="000000" w:themeColor="text1"/>
          <w:lang w:val="en-US"/>
        </w:rPr>
        <w:t>D</w:t>
      </w:r>
      <w:r w:rsidRPr="00D031CE">
        <w:rPr>
          <w:color w:val="000000" w:themeColor="text1"/>
          <w:lang w:val="en-US"/>
        </w:rPr>
        <w:t>ATX</w:t>
      </w:r>
      <w:proofErr w:type="spellEnd"/>
      <w:r w:rsidRPr="00D031CE">
        <w:rPr>
          <w:color w:val="000000" w:themeColor="text1"/>
          <w:lang w:val="en-US"/>
        </w:rPr>
        <w:t xml:space="preserve"> n=5, each time point was assessed every week by </w:t>
      </w:r>
      <w:r w:rsidRPr="00D031CE">
        <w:rPr>
          <w:i/>
          <w:iCs/>
          <w:color w:val="000000" w:themeColor="text1"/>
          <w:lang w:val="en-US"/>
        </w:rPr>
        <w:t>in vivo</w:t>
      </w:r>
      <w:r w:rsidRPr="00D031CE">
        <w:rPr>
          <w:color w:val="000000" w:themeColor="text1"/>
          <w:lang w:val="en-US"/>
        </w:rPr>
        <w:t xml:space="preserve"> tibia microcomputed tomography over 24 weeks for each individual. Values are reported as mean +/- SD.  No significant differences in mineral content were observed using Two-way ANOVA and </w:t>
      </w:r>
      <w:proofErr w:type="spellStart"/>
      <w:r w:rsidRPr="00D031CE">
        <w:rPr>
          <w:color w:val="000000" w:themeColor="text1"/>
          <w:lang w:val="en-US"/>
        </w:rPr>
        <w:t>Sikáb</w:t>
      </w:r>
      <w:proofErr w:type="spellEnd"/>
      <w:r w:rsidRPr="00D031CE">
        <w:rPr>
          <w:color w:val="000000" w:themeColor="text1"/>
          <w:lang w:val="en-US"/>
        </w:rPr>
        <w:t xml:space="preserve"> multiple parameter tests. </w:t>
      </w:r>
      <w:r w:rsidRPr="00D031CE">
        <w:rPr>
          <w:b/>
          <w:bCs/>
          <w:color w:val="000000" w:themeColor="text1"/>
          <w:lang w:val="en-US"/>
        </w:rPr>
        <w:t>(</w:t>
      </w:r>
      <w:r>
        <w:rPr>
          <w:b/>
          <w:bCs/>
          <w:color w:val="000000" w:themeColor="text1"/>
          <w:lang w:val="en-US"/>
        </w:rPr>
        <w:t>C</w:t>
      </w:r>
      <w:r w:rsidRPr="00D031CE">
        <w:rPr>
          <w:b/>
          <w:bCs/>
          <w:color w:val="000000" w:themeColor="text1"/>
          <w:lang w:val="en-US"/>
        </w:rPr>
        <w:t xml:space="preserve">, </w:t>
      </w:r>
      <w:r>
        <w:rPr>
          <w:b/>
          <w:bCs/>
          <w:color w:val="000000" w:themeColor="text1"/>
          <w:lang w:val="en-US"/>
        </w:rPr>
        <w:t>D</w:t>
      </w:r>
      <w:r w:rsidRPr="00D031CE">
        <w:rPr>
          <w:b/>
          <w:bCs/>
          <w:color w:val="000000" w:themeColor="text1"/>
          <w:lang w:val="en-US"/>
        </w:rPr>
        <w:t>)</w:t>
      </w:r>
      <w:r w:rsidRPr="00D031CE">
        <w:rPr>
          <w:color w:val="000000" w:themeColor="text1"/>
          <w:lang w:val="en-US"/>
        </w:rPr>
        <w:t xml:space="preserve"> Growth parameters are reported as </w:t>
      </w:r>
      <w:r>
        <w:rPr>
          <w:b/>
          <w:bCs/>
          <w:color w:val="000000" w:themeColor="text1"/>
          <w:lang w:val="en-US"/>
        </w:rPr>
        <w:t>C</w:t>
      </w:r>
      <w:r w:rsidRPr="00D031CE">
        <w:rPr>
          <w:b/>
          <w:bCs/>
          <w:color w:val="000000" w:themeColor="text1"/>
          <w:lang w:val="en-US"/>
        </w:rPr>
        <w:t>)</w:t>
      </w:r>
      <w:r w:rsidRPr="00D031CE">
        <w:rPr>
          <w:color w:val="000000" w:themeColor="text1"/>
          <w:lang w:val="en-US"/>
        </w:rPr>
        <w:t xml:space="preserve"> body size and </w:t>
      </w:r>
      <w:r>
        <w:rPr>
          <w:b/>
          <w:bCs/>
          <w:color w:val="000000" w:themeColor="text1"/>
          <w:lang w:val="en-US"/>
        </w:rPr>
        <w:t>D</w:t>
      </w:r>
      <w:r w:rsidRPr="00D031CE">
        <w:rPr>
          <w:b/>
          <w:bCs/>
          <w:color w:val="000000" w:themeColor="text1"/>
          <w:lang w:val="en-US"/>
        </w:rPr>
        <w:t xml:space="preserve">) </w:t>
      </w:r>
      <w:r w:rsidRPr="00D031CE">
        <w:rPr>
          <w:color w:val="000000" w:themeColor="text1"/>
          <w:lang w:val="en-US"/>
        </w:rPr>
        <w:t xml:space="preserve">body weight curves, respectively for the same two groups of mice each time point monitored every week over 24 weeks. Values are reported as mean +/- SD.  No significant differences in growth parameters were observed using Two-way ANOVA and </w:t>
      </w:r>
      <w:proofErr w:type="spellStart"/>
      <w:r w:rsidRPr="00D031CE">
        <w:rPr>
          <w:color w:val="000000" w:themeColor="text1"/>
          <w:lang w:val="en-US"/>
        </w:rPr>
        <w:t>Sikáb</w:t>
      </w:r>
      <w:proofErr w:type="spellEnd"/>
      <w:r w:rsidRPr="00D031CE">
        <w:rPr>
          <w:color w:val="000000" w:themeColor="text1"/>
          <w:lang w:val="en-US"/>
        </w:rPr>
        <w:t xml:space="preserve"> multiple parameter tests indicating that </w:t>
      </w:r>
      <w:r w:rsidRPr="00D031CE">
        <w:rPr>
          <w:i/>
          <w:iCs/>
          <w:color w:val="000000" w:themeColor="text1"/>
          <w:lang w:val="en-US"/>
        </w:rPr>
        <w:t>Enpp2</w:t>
      </w:r>
      <w:r w:rsidRPr="00D031CE">
        <w:rPr>
          <w:color w:val="000000" w:themeColor="text1"/>
          <w:lang w:val="en-US"/>
        </w:rPr>
        <w:t xml:space="preserve"> post-natal deletion in osteoblasts do not affect growth.</w:t>
      </w:r>
      <w:r w:rsidRPr="00D031CE">
        <w:rPr>
          <w:b/>
          <w:bCs/>
          <w:color w:val="000000" w:themeColor="text1"/>
          <w:lang w:val="en-US"/>
        </w:rPr>
        <w:t xml:space="preserve"> (</w:t>
      </w:r>
      <w:r>
        <w:rPr>
          <w:b/>
          <w:bCs/>
          <w:color w:val="000000" w:themeColor="text1"/>
          <w:lang w:val="en-US"/>
        </w:rPr>
        <w:t>E</w:t>
      </w:r>
      <w:r w:rsidRPr="00D031CE">
        <w:rPr>
          <w:b/>
          <w:bCs/>
          <w:color w:val="000000" w:themeColor="text1"/>
          <w:lang w:val="en-US"/>
        </w:rPr>
        <w:t xml:space="preserve">, </w:t>
      </w:r>
      <w:r>
        <w:rPr>
          <w:b/>
          <w:bCs/>
          <w:color w:val="000000" w:themeColor="text1"/>
          <w:lang w:val="en-US"/>
        </w:rPr>
        <w:t>F</w:t>
      </w:r>
      <w:r w:rsidRPr="00D031CE">
        <w:rPr>
          <w:b/>
          <w:bCs/>
          <w:color w:val="000000" w:themeColor="text1"/>
          <w:lang w:val="en-US"/>
        </w:rPr>
        <w:t xml:space="preserve">) </w:t>
      </w:r>
      <w:r w:rsidRPr="00D031CE">
        <w:rPr>
          <w:color w:val="000000" w:themeColor="text1"/>
          <w:lang w:val="en-US"/>
        </w:rPr>
        <w:t xml:space="preserve">Bone mass acquisition was monitored for each female from the two groups along 24 weeks by </w:t>
      </w:r>
      <w:r w:rsidRPr="00D031CE">
        <w:rPr>
          <w:i/>
          <w:iCs/>
          <w:color w:val="000000" w:themeColor="text1"/>
          <w:lang w:val="en-US"/>
        </w:rPr>
        <w:t>in vivo</w:t>
      </w:r>
      <w:r w:rsidRPr="00D031CE">
        <w:rPr>
          <w:color w:val="000000" w:themeColor="text1"/>
          <w:lang w:val="en-US"/>
        </w:rPr>
        <w:t xml:space="preserve"> tibia microcomputed tomography. </w:t>
      </w:r>
      <w:r>
        <w:rPr>
          <w:b/>
          <w:bCs/>
          <w:color w:val="000000" w:themeColor="text1"/>
          <w:lang w:val="en-US"/>
        </w:rPr>
        <w:t>E</w:t>
      </w:r>
      <w:r w:rsidRPr="00D031CE">
        <w:rPr>
          <w:b/>
          <w:bCs/>
          <w:color w:val="000000" w:themeColor="text1"/>
          <w:lang w:val="en-US"/>
        </w:rPr>
        <w:t>)</w:t>
      </w:r>
      <w:r w:rsidRPr="00D031CE">
        <w:rPr>
          <w:color w:val="000000" w:themeColor="text1"/>
          <w:lang w:val="en-US"/>
        </w:rPr>
        <w:t xml:space="preserve"> Trabecular bone volume (BV/TV) and </w:t>
      </w:r>
      <w:r>
        <w:rPr>
          <w:b/>
          <w:bCs/>
          <w:color w:val="000000" w:themeColor="text1"/>
          <w:lang w:val="en-US"/>
        </w:rPr>
        <w:t>F</w:t>
      </w:r>
      <w:r w:rsidRPr="00D031CE">
        <w:rPr>
          <w:b/>
          <w:bCs/>
          <w:color w:val="000000" w:themeColor="text1"/>
          <w:lang w:val="en-US"/>
        </w:rPr>
        <w:t>)</w:t>
      </w:r>
      <w:r w:rsidRPr="00D031CE">
        <w:rPr>
          <w:color w:val="000000" w:themeColor="text1"/>
          <w:lang w:val="en-US"/>
        </w:rPr>
        <w:t xml:space="preserve"> Tibia cortical thickness </w:t>
      </w:r>
      <w:proofErr w:type="gramStart"/>
      <w:r w:rsidRPr="00D031CE">
        <w:rPr>
          <w:color w:val="000000" w:themeColor="text1"/>
          <w:lang w:val="en-US"/>
        </w:rPr>
        <w:t>were</w:t>
      </w:r>
      <w:proofErr w:type="gramEnd"/>
      <w:r w:rsidRPr="00D031CE">
        <w:rPr>
          <w:color w:val="000000" w:themeColor="text1"/>
          <w:lang w:val="en-US"/>
        </w:rPr>
        <w:t xml:space="preserve"> monitored similarly than in b) and reported values are mean+/-SD showing overlapping curves for the two groups of mice. No significant differences in bone mass parameters were observed using Two-way ANOVA and </w:t>
      </w:r>
      <w:proofErr w:type="spellStart"/>
      <w:r w:rsidRPr="00D031CE">
        <w:rPr>
          <w:color w:val="000000" w:themeColor="text1"/>
          <w:lang w:val="en-US"/>
        </w:rPr>
        <w:t>Sikáb</w:t>
      </w:r>
      <w:proofErr w:type="spellEnd"/>
      <w:r w:rsidRPr="00D031CE">
        <w:rPr>
          <w:color w:val="000000" w:themeColor="text1"/>
          <w:lang w:val="en-US"/>
        </w:rPr>
        <w:t xml:space="preserve"> multiple parameter tests indicating that </w:t>
      </w:r>
      <w:r w:rsidRPr="00D031CE">
        <w:rPr>
          <w:i/>
          <w:iCs/>
          <w:color w:val="000000" w:themeColor="text1"/>
          <w:lang w:val="en-US"/>
        </w:rPr>
        <w:t>Enpp2</w:t>
      </w:r>
      <w:r w:rsidRPr="00D031CE">
        <w:rPr>
          <w:color w:val="000000" w:themeColor="text1"/>
          <w:lang w:val="en-US"/>
        </w:rPr>
        <w:t xml:space="preserve"> post-natal deletion in osteoblasts do not affect bone mass acquisition.  </w:t>
      </w:r>
      <w:r w:rsidRPr="00D031CE">
        <w:rPr>
          <w:b/>
          <w:bCs/>
          <w:color w:val="000000" w:themeColor="text1"/>
          <w:lang w:val="en-US"/>
        </w:rPr>
        <w:t>(</w:t>
      </w:r>
      <w:r>
        <w:rPr>
          <w:b/>
          <w:bCs/>
          <w:color w:val="000000" w:themeColor="text1"/>
          <w:lang w:val="en-US"/>
        </w:rPr>
        <w:t>G</w:t>
      </w:r>
      <w:r w:rsidRPr="00D031CE">
        <w:rPr>
          <w:b/>
          <w:bCs/>
          <w:color w:val="000000" w:themeColor="text1"/>
          <w:lang w:val="en-US"/>
        </w:rPr>
        <w:t>-</w:t>
      </w:r>
      <w:r>
        <w:rPr>
          <w:b/>
          <w:bCs/>
          <w:color w:val="000000" w:themeColor="text1"/>
          <w:lang w:val="en-US"/>
        </w:rPr>
        <w:t>K</w:t>
      </w:r>
      <w:r w:rsidRPr="00D031CE">
        <w:rPr>
          <w:b/>
          <w:bCs/>
          <w:color w:val="000000" w:themeColor="text1"/>
          <w:lang w:val="en-US"/>
        </w:rPr>
        <w:t xml:space="preserve">) </w:t>
      </w:r>
      <w:r w:rsidRPr="00D031CE">
        <w:rPr>
          <w:color w:val="000000" w:themeColor="text1"/>
          <w:lang w:val="en-US"/>
        </w:rPr>
        <w:t xml:space="preserve">Male mice parameters from 4 weeks to 20 weeks of age. </w:t>
      </w:r>
      <w:r>
        <w:rPr>
          <w:b/>
          <w:bCs/>
          <w:color w:val="000000" w:themeColor="text1"/>
          <w:lang w:val="en-US"/>
        </w:rPr>
        <w:t>G</w:t>
      </w:r>
      <w:r w:rsidRPr="00D031CE">
        <w:rPr>
          <w:b/>
          <w:bCs/>
          <w:color w:val="000000" w:themeColor="text1"/>
          <w:lang w:val="en-US"/>
        </w:rPr>
        <w:t>)</w:t>
      </w:r>
      <w:r w:rsidRPr="00D031CE">
        <w:rPr>
          <w:color w:val="000000" w:themeColor="text1"/>
          <w:lang w:val="en-US"/>
        </w:rPr>
        <w:t xml:space="preserve"> Cortical Bone Mineral Density (BMD) curves for the two groups of mice CTRL n=3 and </w:t>
      </w:r>
      <w:proofErr w:type="spellStart"/>
      <w:r w:rsidRPr="00D031CE">
        <w:rPr>
          <w:color w:val="000000" w:themeColor="text1"/>
          <w:lang w:val="en-US"/>
        </w:rPr>
        <w:t>Ob</w:t>
      </w:r>
      <w:r w:rsidRPr="00D031CE">
        <w:rPr>
          <w:rFonts w:ascii="Symbol" w:hAnsi="Symbol"/>
          <w:color w:val="000000" w:themeColor="text1"/>
          <w:lang w:val="en-US"/>
        </w:rPr>
        <w:t>D</w:t>
      </w:r>
      <w:r w:rsidRPr="00D031CE">
        <w:rPr>
          <w:color w:val="000000" w:themeColor="text1"/>
          <w:lang w:val="en-US"/>
        </w:rPr>
        <w:t>ATX</w:t>
      </w:r>
      <w:proofErr w:type="spellEnd"/>
      <w:r w:rsidRPr="00D031CE">
        <w:rPr>
          <w:color w:val="000000" w:themeColor="text1"/>
          <w:lang w:val="en-US"/>
        </w:rPr>
        <w:t xml:space="preserve"> n=3, each time point was assessed every week by </w:t>
      </w:r>
      <w:r w:rsidRPr="00D031CE">
        <w:rPr>
          <w:i/>
          <w:iCs/>
          <w:color w:val="000000" w:themeColor="text1"/>
          <w:lang w:val="en-US"/>
        </w:rPr>
        <w:t>in vivo</w:t>
      </w:r>
      <w:r w:rsidRPr="00D031CE">
        <w:rPr>
          <w:color w:val="000000" w:themeColor="text1"/>
          <w:lang w:val="en-US"/>
        </w:rPr>
        <w:t xml:space="preserve"> tibia microcomputed tomography over 20 weeks for each individual. Values are reported as mean +/- SD.  No significant differences in mineral content were observed using Two-way ANOVA and </w:t>
      </w:r>
      <w:proofErr w:type="spellStart"/>
      <w:r w:rsidRPr="00D031CE">
        <w:rPr>
          <w:color w:val="000000" w:themeColor="text1"/>
          <w:lang w:val="en-US"/>
        </w:rPr>
        <w:t>Sikáb</w:t>
      </w:r>
      <w:proofErr w:type="spellEnd"/>
      <w:r w:rsidRPr="00D031CE">
        <w:rPr>
          <w:color w:val="000000" w:themeColor="text1"/>
          <w:lang w:val="en-US"/>
        </w:rPr>
        <w:t xml:space="preserve"> multiple parameter tests. </w:t>
      </w:r>
      <w:r w:rsidRPr="00D031CE">
        <w:rPr>
          <w:b/>
          <w:bCs/>
          <w:color w:val="000000" w:themeColor="text1"/>
          <w:lang w:val="en-US"/>
        </w:rPr>
        <w:t>(</w:t>
      </w:r>
      <w:r>
        <w:rPr>
          <w:b/>
          <w:bCs/>
          <w:color w:val="000000" w:themeColor="text1"/>
          <w:lang w:val="en-US"/>
        </w:rPr>
        <w:t>H</w:t>
      </w:r>
      <w:r w:rsidRPr="00D031CE">
        <w:rPr>
          <w:b/>
          <w:bCs/>
          <w:color w:val="000000" w:themeColor="text1"/>
          <w:lang w:val="en-US"/>
        </w:rPr>
        <w:t xml:space="preserve">, </w:t>
      </w:r>
      <w:r>
        <w:rPr>
          <w:b/>
          <w:bCs/>
          <w:color w:val="000000" w:themeColor="text1"/>
          <w:lang w:val="en-US"/>
        </w:rPr>
        <w:t>I</w:t>
      </w:r>
      <w:r w:rsidRPr="00D031CE">
        <w:rPr>
          <w:b/>
          <w:bCs/>
          <w:color w:val="000000" w:themeColor="text1"/>
          <w:lang w:val="en-US"/>
        </w:rPr>
        <w:t>)</w:t>
      </w:r>
      <w:r w:rsidRPr="00D031CE">
        <w:rPr>
          <w:color w:val="000000" w:themeColor="text1"/>
          <w:lang w:val="en-US"/>
        </w:rPr>
        <w:t xml:space="preserve"> Growth parameters are reported as </w:t>
      </w:r>
      <w:r>
        <w:rPr>
          <w:b/>
          <w:bCs/>
          <w:color w:val="000000" w:themeColor="text1"/>
          <w:lang w:val="en-US"/>
        </w:rPr>
        <w:t>H</w:t>
      </w:r>
      <w:r w:rsidRPr="00D031CE">
        <w:rPr>
          <w:b/>
          <w:bCs/>
          <w:color w:val="000000" w:themeColor="text1"/>
          <w:lang w:val="en-US"/>
        </w:rPr>
        <w:t>)</w:t>
      </w:r>
      <w:r w:rsidRPr="00D031CE">
        <w:rPr>
          <w:color w:val="000000" w:themeColor="text1"/>
          <w:lang w:val="en-US"/>
        </w:rPr>
        <w:t xml:space="preserve"> body size and </w:t>
      </w:r>
      <w:r>
        <w:rPr>
          <w:b/>
          <w:bCs/>
          <w:color w:val="000000" w:themeColor="text1"/>
          <w:lang w:val="en-US"/>
        </w:rPr>
        <w:t>I</w:t>
      </w:r>
      <w:r w:rsidRPr="00D031CE">
        <w:rPr>
          <w:b/>
          <w:bCs/>
          <w:color w:val="000000" w:themeColor="text1"/>
          <w:lang w:val="en-US"/>
        </w:rPr>
        <w:t xml:space="preserve">) </w:t>
      </w:r>
      <w:r w:rsidRPr="00D031CE">
        <w:rPr>
          <w:color w:val="000000" w:themeColor="text1"/>
          <w:lang w:val="en-US"/>
        </w:rPr>
        <w:t xml:space="preserve">body weight curves, respectively for the same two groups of mice each time point monitored every week over 20 weeks. Values are reported as mean +/- SD.  No significant differences in growth parameters were observed using Two-way ANOVA and </w:t>
      </w:r>
      <w:proofErr w:type="spellStart"/>
      <w:r w:rsidRPr="00D031CE">
        <w:rPr>
          <w:color w:val="000000" w:themeColor="text1"/>
          <w:lang w:val="en-US"/>
        </w:rPr>
        <w:t>Sikáb</w:t>
      </w:r>
      <w:proofErr w:type="spellEnd"/>
      <w:r w:rsidRPr="00D031CE">
        <w:rPr>
          <w:color w:val="000000" w:themeColor="text1"/>
          <w:lang w:val="en-US"/>
        </w:rPr>
        <w:t xml:space="preserve"> multiple parameter tests indicating that </w:t>
      </w:r>
      <w:r w:rsidRPr="00D031CE">
        <w:rPr>
          <w:i/>
          <w:iCs/>
          <w:color w:val="000000" w:themeColor="text1"/>
          <w:lang w:val="en-US"/>
        </w:rPr>
        <w:t>Enpp2</w:t>
      </w:r>
      <w:r w:rsidRPr="00D031CE">
        <w:rPr>
          <w:color w:val="000000" w:themeColor="text1"/>
          <w:lang w:val="en-US"/>
        </w:rPr>
        <w:t xml:space="preserve"> post-natal deletion in osteoblasts in male mice do not affect growth.</w:t>
      </w:r>
      <w:r w:rsidRPr="00D031CE">
        <w:rPr>
          <w:b/>
          <w:bCs/>
          <w:color w:val="000000" w:themeColor="text1"/>
          <w:lang w:val="en-US"/>
        </w:rPr>
        <w:t xml:space="preserve"> (</w:t>
      </w:r>
      <w:r>
        <w:rPr>
          <w:b/>
          <w:bCs/>
          <w:color w:val="000000" w:themeColor="text1"/>
          <w:lang w:val="en-US"/>
        </w:rPr>
        <w:t>J</w:t>
      </w:r>
      <w:r w:rsidRPr="00D031CE">
        <w:rPr>
          <w:b/>
          <w:bCs/>
          <w:color w:val="000000" w:themeColor="text1"/>
          <w:lang w:val="en-US"/>
        </w:rPr>
        <w:t xml:space="preserve">, </w:t>
      </w:r>
      <w:r>
        <w:rPr>
          <w:b/>
          <w:bCs/>
          <w:color w:val="000000" w:themeColor="text1"/>
          <w:lang w:val="en-US"/>
        </w:rPr>
        <w:t>K</w:t>
      </w:r>
      <w:r w:rsidRPr="00D031CE">
        <w:rPr>
          <w:b/>
          <w:bCs/>
          <w:color w:val="000000" w:themeColor="text1"/>
          <w:lang w:val="en-US"/>
        </w:rPr>
        <w:t xml:space="preserve">) </w:t>
      </w:r>
      <w:r w:rsidRPr="00D031CE">
        <w:rPr>
          <w:color w:val="000000" w:themeColor="text1"/>
          <w:lang w:val="en-US"/>
        </w:rPr>
        <w:t xml:space="preserve">Bone mass acquisition was monitored for each male from the two groups along 20 weeks by </w:t>
      </w:r>
      <w:r w:rsidRPr="00D031CE">
        <w:rPr>
          <w:i/>
          <w:iCs/>
          <w:color w:val="000000" w:themeColor="text1"/>
          <w:lang w:val="en-US"/>
        </w:rPr>
        <w:t>in vivo</w:t>
      </w:r>
      <w:r w:rsidRPr="00D031CE">
        <w:rPr>
          <w:color w:val="000000" w:themeColor="text1"/>
          <w:lang w:val="en-US"/>
        </w:rPr>
        <w:t xml:space="preserve"> tibia microcomputed tomography. </w:t>
      </w:r>
      <w:r w:rsidRPr="00D031CE">
        <w:rPr>
          <w:b/>
          <w:bCs/>
          <w:color w:val="000000" w:themeColor="text1"/>
          <w:lang w:val="en-US"/>
        </w:rPr>
        <w:t>j)</w:t>
      </w:r>
      <w:r w:rsidRPr="00D031CE">
        <w:rPr>
          <w:color w:val="000000" w:themeColor="text1"/>
          <w:lang w:val="en-US"/>
        </w:rPr>
        <w:t xml:space="preserve"> Trabecular bone volume (BV/TV) and </w:t>
      </w:r>
      <w:r>
        <w:rPr>
          <w:b/>
          <w:bCs/>
          <w:color w:val="000000" w:themeColor="text1"/>
          <w:lang w:val="en-US"/>
        </w:rPr>
        <w:t>K</w:t>
      </w:r>
      <w:r w:rsidRPr="00D031CE">
        <w:rPr>
          <w:b/>
          <w:bCs/>
          <w:color w:val="000000" w:themeColor="text1"/>
          <w:lang w:val="en-US"/>
        </w:rPr>
        <w:t>)</w:t>
      </w:r>
      <w:r w:rsidRPr="00D031CE">
        <w:rPr>
          <w:color w:val="000000" w:themeColor="text1"/>
          <w:lang w:val="en-US"/>
        </w:rPr>
        <w:t xml:space="preserve"> Tibia cortical thickness </w:t>
      </w:r>
      <w:proofErr w:type="gramStart"/>
      <w:r w:rsidRPr="00D031CE">
        <w:rPr>
          <w:color w:val="000000" w:themeColor="text1"/>
          <w:lang w:val="en-US"/>
        </w:rPr>
        <w:t>were</w:t>
      </w:r>
      <w:proofErr w:type="gramEnd"/>
      <w:r w:rsidRPr="00D031CE">
        <w:rPr>
          <w:color w:val="000000" w:themeColor="text1"/>
          <w:lang w:val="en-US"/>
        </w:rPr>
        <w:t xml:space="preserve"> monitored similarly than in </w:t>
      </w:r>
      <w:r w:rsidRPr="00D031CE">
        <w:rPr>
          <w:b/>
          <w:bCs/>
          <w:color w:val="000000" w:themeColor="text1"/>
          <w:lang w:val="en-US"/>
        </w:rPr>
        <w:t>g)</w:t>
      </w:r>
      <w:r w:rsidRPr="00D031CE">
        <w:rPr>
          <w:color w:val="000000" w:themeColor="text1"/>
          <w:lang w:val="en-US"/>
        </w:rPr>
        <w:t xml:space="preserve"> and reported values are mean+/-SD. No significant differences in bone mass parameters were observed using Two-way ANOVA and </w:t>
      </w:r>
      <w:proofErr w:type="spellStart"/>
      <w:r w:rsidRPr="00D031CE">
        <w:rPr>
          <w:color w:val="000000" w:themeColor="text1"/>
          <w:lang w:val="en-US"/>
        </w:rPr>
        <w:t>Sikáb</w:t>
      </w:r>
      <w:proofErr w:type="spellEnd"/>
      <w:r w:rsidRPr="00D031CE">
        <w:rPr>
          <w:color w:val="000000" w:themeColor="text1"/>
          <w:lang w:val="en-US"/>
        </w:rPr>
        <w:t xml:space="preserve"> multiple parameter tests indicating that </w:t>
      </w:r>
      <w:r w:rsidRPr="00D031CE">
        <w:rPr>
          <w:i/>
          <w:iCs/>
          <w:color w:val="000000" w:themeColor="text1"/>
          <w:lang w:val="en-US"/>
        </w:rPr>
        <w:t>Enpp2</w:t>
      </w:r>
      <w:r w:rsidRPr="00D031CE">
        <w:rPr>
          <w:color w:val="000000" w:themeColor="text1"/>
          <w:lang w:val="en-US"/>
        </w:rPr>
        <w:t xml:space="preserve"> post-natal deletion in osteoblast do not affect bone mass acquisition in male mice. </w:t>
      </w:r>
    </w:p>
    <w:p w:rsidR="00662F96" w:rsidRDefault="00662F96" w:rsidP="00662F96">
      <w:pPr>
        <w:jc w:val="both"/>
        <w:rPr>
          <w:b/>
          <w:bCs/>
          <w:color w:val="000000" w:themeColor="text1"/>
          <w:lang w:val="en-US"/>
        </w:rPr>
      </w:pPr>
    </w:p>
    <w:p w:rsidR="00662F96" w:rsidRPr="00D031CE" w:rsidRDefault="00662F96" w:rsidP="00662F96">
      <w:pPr>
        <w:ind w:left="1276"/>
        <w:jc w:val="both"/>
        <w:rPr>
          <w:b/>
          <w:bCs/>
          <w:color w:val="000000" w:themeColor="text1"/>
          <w:lang w:val="en-US"/>
        </w:rPr>
      </w:pPr>
      <w:r w:rsidRPr="00AF56D0">
        <w:rPr>
          <w:b/>
          <w:bCs/>
          <w:noProof/>
          <w:color w:val="000000" w:themeColor="text1"/>
        </w:rPr>
        <w:lastRenderedPageBreak/>
        <w:drawing>
          <wp:inline distT="0" distB="0" distL="0" distR="0" wp14:anchorId="484E0FFA" wp14:editId="75C7D1BE">
            <wp:extent cx="3848449" cy="7309961"/>
            <wp:effectExtent l="0" t="0" r="0" b="0"/>
            <wp:docPr id="1601713973" name="Image 1">
              <a:extLst xmlns:a="http://schemas.openxmlformats.org/drawingml/2006/main">
                <a:ext uri="{FF2B5EF4-FFF2-40B4-BE49-F238E27FC236}">
                  <a16:creationId xmlns:a16="http://schemas.microsoft.com/office/drawing/2014/main" id="{44509106-2C4C-896C-5FD9-F66B7A27B8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44509106-2C4C-896C-5FD9-F66B7A27B8A8}"/>
                        </a:ext>
                      </a:extLst>
                    </pic:cNvPr>
                    <pic:cNvPicPr>
                      <a:picLocks noChangeAspect="1"/>
                    </pic:cNvPicPr>
                  </pic:nvPicPr>
                  <pic:blipFill>
                    <a:blip r:embed="rId7"/>
                    <a:stretch>
                      <a:fillRect/>
                    </a:stretch>
                  </pic:blipFill>
                  <pic:spPr>
                    <a:xfrm>
                      <a:off x="0" y="0"/>
                      <a:ext cx="3870811" cy="7352437"/>
                    </a:xfrm>
                    <a:prstGeom prst="rect">
                      <a:avLst/>
                    </a:prstGeom>
                  </pic:spPr>
                </pic:pic>
              </a:graphicData>
            </a:graphic>
          </wp:inline>
        </w:drawing>
      </w:r>
    </w:p>
    <w:p w:rsidR="00662F96" w:rsidRPr="00D031CE" w:rsidRDefault="00662F96" w:rsidP="00662F96">
      <w:pPr>
        <w:jc w:val="both"/>
        <w:rPr>
          <w:b/>
          <w:bCs/>
          <w:color w:val="000000" w:themeColor="text1"/>
          <w:lang w:val="en-US"/>
        </w:rPr>
      </w:pPr>
      <w:r w:rsidRPr="00D031CE">
        <w:rPr>
          <w:b/>
          <w:bCs/>
          <w:color w:val="000000" w:themeColor="text1"/>
          <w:lang w:val="en-US"/>
        </w:rPr>
        <w:t>Supplementary Fig</w:t>
      </w:r>
      <w:r>
        <w:rPr>
          <w:b/>
          <w:bCs/>
          <w:color w:val="000000" w:themeColor="text1"/>
          <w:lang w:val="en-US"/>
        </w:rPr>
        <w:t>.</w:t>
      </w:r>
      <w:r w:rsidRPr="00D031CE">
        <w:rPr>
          <w:b/>
          <w:bCs/>
          <w:color w:val="000000" w:themeColor="text1"/>
          <w:lang w:val="en-US"/>
        </w:rPr>
        <w:t xml:space="preserve"> 2:</w:t>
      </w:r>
      <w:r>
        <w:rPr>
          <w:b/>
          <w:bCs/>
          <w:color w:val="000000" w:themeColor="text1"/>
          <w:lang w:val="en-US"/>
        </w:rPr>
        <w:t xml:space="preserve"> </w:t>
      </w:r>
      <w:r w:rsidRPr="00D031CE">
        <w:rPr>
          <w:b/>
          <w:bCs/>
          <w:color w:val="000000" w:themeColor="text1"/>
          <w:lang w:val="en-US"/>
        </w:rPr>
        <w:t xml:space="preserve">Post-natal deletion of </w:t>
      </w:r>
      <w:r w:rsidRPr="00D031CE">
        <w:rPr>
          <w:b/>
          <w:bCs/>
          <w:i/>
          <w:iCs/>
          <w:color w:val="000000" w:themeColor="text1"/>
          <w:lang w:val="en-US"/>
        </w:rPr>
        <w:t>Enpp2</w:t>
      </w:r>
      <w:r w:rsidRPr="00D031CE">
        <w:rPr>
          <w:b/>
          <w:bCs/>
          <w:color w:val="000000" w:themeColor="text1"/>
          <w:lang w:val="en-US"/>
        </w:rPr>
        <w:t xml:space="preserve"> in osteoblastic lineage cells enhances early bone mass </w:t>
      </w:r>
      <w:proofErr w:type="spellStart"/>
      <w:r w:rsidRPr="00D031CE">
        <w:rPr>
          <w:b/>
          <w:bCs/>
          <w:color w:val="000000" w:themeColor="text1"/>
          <w:lang w:val="en-US"/>
        </w:rPr>
        <w:t>acquition</w:t>
      </w:r>
      <w:proofErr w:type="spellEnd"/>
      <w:r w:rsidRPr="00D031CE">
        <w:rPr>
          <w:b/>
          <w:bCs/>
          <w:color w:val="000000" w:themeColor="text1"/>
          <w:lang w:val="en-US"/>
        </w:rPr>
        <w:t xml:space="preserve"> induced by PTH.</w:t>
      </w:r>
    </w:p>
    <w:p w:rsidR="00662F96" w:rsidRPr="00D031CE" w:rsidRDefault="00662F96" w:rsidP="00662F96">
      <w:pPr>
        <w:jc w:val="both"/>
        <w:rPr>
          <w:color w:val="000000" w:themeColor="text1"/>
          <w:lang w:val="en-US"/>
        </w:rPr>
      </w:pPr>
      <w:proofErr w:type="gramStart"/>
      <w:r w:rsidRPr="00D031CE">
        <w:rPr>
          <w:color w:val="000000" w:themeColor="text1"/>
          <w:lang w:val="en-US"/>
        </w:rPr>
        <w:t>Five week old</w:t>
      </w:r>
      <w:proofErr w:type="gramEnd"/>
      <w:r w:rsidRPr="00D031CE">
        <w:rPr>
          <w:color w:val="000000" w:themeColor="text1"/>
          <w:lang w:val="en-US"/>
        </w:rPr>
        <w:t xml:space="preserve"> female mice CRTL (n=9) and </w:t>
      </w:r>
      <w:proofErr w:type="spellStart"/>
      <w:r w:rsidRPr="00D031CE">
        <w:rPr>
          <w:color w:val="000000" w:themeColor="text1"/>
          <w:lang w:val="en-US"/>
        </w:rPr>
        <w:t>Ob</w:t>
      </w:r>
      <w:r w:rsidRPr="00D031CE">
        <w:rPr>
          <w:rFonts w:ascii="Symbol" w:hAnsi="Symbol"/>
          <w:color w:val="000000" w:themeColor="text1"/>
          <w:lang w:val="en-US"/>
        </w:rPr>
        <w:t>D</w:t>
      </w:r>
      <w:r w:rsidRPr="00D031CE">
        <w:rPr>
          <w:color w:val="000000" w:themeColor="text1"/>
          <w:lang w:val="en-US"/>
        </w:rPr>
        <w:t>ATX</w:t>
      </w:r>
      <w:proofErr w:type="spellEnd"/>
      <w:r w:rsidRPr="00D031CE">
        <w:rPr>
          <w:color w:val="000000" w:themeColor="text1"/>
          <w:lang w:val="en-US"/>
        </w:rPr>
        <w:t xml:space="preserve"> (n= 10) were treated with PTH1-34 80µg/kg/daily for 3 weeks and followed by µCT. </w:t>
      </w:r>
      <w:r>
        <w:rPr>
          <w:b/>
          <w:bCs/>
          <w:color w:val="000000" w:themeColor="text1"/>
          <w:lang w:val="en-US"/>
        </w:rPr>
        <w:t>A</w:t>
      </w:r>
      <w:r w:rsidRPr="00D031CE">
        <w:rPr>
          <w:b/>
          <w:bCs/>
          <w:color w:val="000000" w:themeColor="text1"/>
          <w:lang w:val="en-US"/>
        </w:rPr>
        <w:t>)</w:t>
      </w:r>
      <w:r w:rsidRPr="00D031CE">
        <w:rPr>
          <w:color w:val="000000" w:themeColor="text1"/>
          <w:lang w:val="en-US"/>
        </w:rPr>
        <w:t xml:space="preserve"> Representative micrographs of frontal tibia sections and </w:t>
      </w:r>
      <w:r>
        <w:rPr>
          <w:color w:val="000000" w:themeColor="text1"/>
          <w:lang w:val="en-US"/>
        </w:rPr>
        <w:t>B</w:t>
      </w:r>
      <w:r w:rsidRPr="00D031CE">
        <w:rPr>
          <w:b/>
          <w:bCs/>
          <w:color w:val="000000" w:themeColor="text1"/>
          <w:lang w:val="en-US"/>
        </w:rPr>
        <w:t>)</w:t>
      </w:r>
      <w:r w:rsidRPr="00D031CE">
        <w:rPr>
          <w:color w:val="000000" w:themeColor="text1"/>
          <w:lang w:val="en-US"/>
        </w:rPr>
        <w:t xml:space="preserve"> representative cross sections extracted form 3D reconstructed µCT bone volumes (yellow double arrowheads) before (week 0) and </w:t>
      </w:r>
      <w:proofErr w:type="gramStart"/>
      <w:r w:rsidRPr="00D031CE">
        <w:rPr>
          <w:color w:val="000000" w:themeColor="text1"/>
          <w:lang w:val="en-US"/>
        </w:rPr>
        <w:t>after  PTH</w:t>
      </w:r>
      <w:proofErr w:type="gramEnd"/>
      <w:r w:rsidRPr="00D031CE">
        <w:rPr>
          <w:color w:val="000000" w:themeColor="text1"/>
          <w:lang w:val="en-US"/>
        </w:rPr>
        <w:t xml:space="preserve"> treatment (week 1, 2 and 3). Increased bone mass is visible after 1 week that further increased after 2 weeks, reaching a maximal density after 3 weeks of treatment for the two groups of mice. </w:t>
      </w:r>
      <w:r>
        <w:rPr>
          <w:b/>
          <w:bCs/>
          <w:color w:val="000000" w:themeColor="text1"/>
          <w:lang w:val="en-US"/>
        </w:rPr>
        <w:t>C</w:t>
      </w:r>
      <w:r w:rsidRPr="00D031CE">
        <w:rPr>
          <w:b/>
          <w:bCs/>
          <w:color w:val="000000" w:themeColor="text1"/>
          <w:lang w:val="en-US"/>
        </w:rPr>
        <w:t>)</w:t>
      </w:r>
      <w:r w:rsidRPr="00D031CE">
        <w:rPr>
          <w:color w:val="000000" w:themeColor="text1"/>
          <w:lang w:val="en-US"/>
        </w:rPr>
        <w:t xml:space="preserve"> Trabecular BV/TV </w:t>
      </w:r>
      <w:r w:rsidRPr="00D031CE">
        <w:rPr>
          <w:color w:val="000000" w:themeColor="text1"/>
          <w:lang w:val="en-US"/>
        </w:rPr>
        <w:lastRenderedPageBreak/>
        <w:t xml:space="preserve">values were quantified by µCT. BV/TV curves showed higher increase in bone mass acquisition in </w:t>
      </w:r>
      <w:proofErr w:type="spellStart"/>
      <w:r w:rsidRPr="00D031CE">
        <w:rPr>
          <w:color w:val="000000" w:themeColor="text1"/>
          <w:lang w:val="en-US"/>
        </w:rPr>
        <w:t>Ob</w:t>
      </w:r>
      <w:r w:rsidRPr="00D031CE">
        <w:rPr>
          <w:rFonts w:ascii="Symbol" w:hAnsi="Symbol"/>
          <w:color w:val="000000" w:themeColor="text1"/>
          <w:lang w:val="en-US"/>
        </w:rPr>
        <w:t>D</w:t>
      </w:r>
      <w:r w:rsidRPr="00D031CE">
        <w:rPr>
          <w:color w:val="000000" w:themeColor="text1"/>
          <w:lang w:val="en-US"/>
        </w:rPr>
        <w:t>ATX</w:t>
      </w:r>
      <w:proofErr w:type="spellEnd"/>
      <w:r w:rsidRPr="00D031CE">
        <w:rPr>
          <w:color w:val="000000" w:themeColor="text1"/>
          <w:lang w:val="en-US"/>
        </w:rPr>
        <w:t xml:space="preserve"> mice compared to CRTL mice after 1 week of PTH treatment reaching similar maximal values at weeks 2. Values are mean +/- SD and analyzed by Two-way ANOVA and </w:t>
      </w:r>
      <w:proofErr w:type="spellStart"/>
      <w:r w:rsidRPr="00D031CE">
        <w:rPr>
          <w:color w:val="000000" w:themeColor="text1"/>
          <w:lang w:val="en-US"/>
        </w:rPr>
        <w:t>Sikáb</w:t>
      </w:r>
      <w:proofErr w:type="spellEnd"/>
      <w:r w:rsidRPr="00D031CE">
        <w:rPr>
          <w:color w:val="000000" w:themeColor="text1"/>
          <w:lang w:val="en-US"/>
        </w:rPr>
        <w:t xml:space="preserve"> multiple parameter tests.</w:t>
      </w:r>
    </w:p>
    <w:p w:rsidR="00662F96" w:rsidRDefault="00662F96" w:rsidP="00662F96">
      <w:pPr>
        <w:jc w:val="both"/>
        <w:rPr>
          <w:b/>
          <w:bCs/>
          <w:color w:val="000000" w:themeColor="text1"/>
          <w:lang w:val="en-US"/>
        </w:rPr>
      </w:pPr>
    </w:p>
    <w:p w:rsidR="00662F96" w:rsidRPr="00D031CE" w:rsidRDefault="00662F96" w:rsidP="00662F96">
      <w:pPr>
        <w:ind w:left="567"/>
        <w:jc w:val="both"/>
        <w:rPr>
          <w:b/>
          <w:bCs/>
          <w:color w:val="000000" w:themeColor="text1"/>
          <w:lang w:val="en-US"/>
        </w:rPr>
      </w:pPr>
      <w:r w:rsidRPr="00B944D3">
        <w:rPr>
          <w:b/>
          <w:bCs/>
          <w:noProof/>
          <w:color w:val="000000" w:themeColor="text1"/>
        </w:rPr>
        <w:drawing>
          <wp:inline distT="0" distB="0" distL="0" distR="0" wp14:anchorId="0DC663C2" wp14:editId="0EEDB503">
            <wp:extent cx="4675649" cy="4221805"/>
            <wp:effectExtent l="0" t="0" r="0" b="0"/>
            <wp:docPr id="1865378248" name="Image 2">
              <a:extLst xmlns:a="http://schemas.openxmlformats.org/drawingml/2006/main">
                <a:ext uri="{FF2B5EF4-FFF2-40B4-BE49-F238E27FC236}">
                  <a16:creationId xmlns:a16="http://schemas.microsoft.com/office/drawing/2014/main" id="{4DE79C00-6435-59A4-73F8-8C54F7ABE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4DE79C00-6435-59A4-73F8-8C54F7ABED6F}"/>
                        </a:ext>
                      </a:extLst>
                    </pic:cNvPr>
                    <pic:cNvPicPr>
                      <a:picLocks noChangeAspect="1"/>
                    </pic:cNvPicPr>
                  </pic:nvPicPr>
                  <pic:blipFill>
                    <a:blip r:embed="rId8"/>
                    <a:stretch>
                      <a:fillRect/>
                    </a:stretch>
                  </pic:blipFill>
                  <pic:spPr>
                    <a:xfrm>
                      <a:off x="0" y="0"/>
                      <a:ext cx="4684710" cy="4229987"/>
                    </a:xfrm>
                    <a:prstGeom prst="rect">
                      <a:avLst/>
                    </a:prstGeom>
                  </pic:spPr>
                </pic:pic>
              </a:graphicData>
            </a:graphic>
          </wp:inline>
        </w:drawing>
      </w:r>
    </w:p>
    <w:p w:rsidR="00662F96" w:rsidRPr="00D031CE" w:rsidRDefault="00662F96" w:rsidP="00662F96">
      <w:pPr>
        <w:jc w:val="both"/>
        <w:rPr>
          <w:b/>
          <w:bCs/>
          <w:color w:val="000000" w:themeColor="text1"/>
          <w:lang w:val="en-US"/>
        </w:rPr>
      </w:pPr>
      <w:r w:rsidRPr="00D031CE">
        <w:rPr>
          <w:b/>
          <w:bCs/>
          <w:color w:val="000000" w:themeColor="text1"/>
          <w:lang w:val="en-US"/>
        </w:rPr>
        <w:t>Supplementary Fig</w:t>
      </w:r>
      <w:r>
        <w:rPr>
          <w:b/>
          <w:bCs/>
          <w:color w:val="000000" w:themeColor="text1"/>
          <w:lang w:val="en-US"/>
        </w:rPr>
        <w:t>.</w:t>
      </w:r>
      <w:r w:rsidRPr="00D031CE">
        <w:rPr>
          <w:b/>
          <w:bCs/>
          <w:color w:val="000000" w:themeColor="text1"/>
          <w:lang w:val="en-US"/>
        </w:rPr>
        <w:t xml:space="preserve"> 3:</w:t>
      </w:r>
      <w:r>
        <w:rPr>
          <w:b/>
          <w:bCs/>
          <w:color w:val="000000" w:themeColor="text1"/>
          <w:lang w:val="en-US"/>
        </w:rPr>
        <w:t xml:space="preserve"> </w:t>
      </w:r>
      <w:r w:rsidRPr="00D031CE">
        <w:rPr>
          <w:b/>
          <w:bCs/>
          <w:i/>
          <w:iCs/>
          <w:color w:val="000000" w:themeColor="text1"/>
          <w:lang w:val="en-US"/>
        </w:rPr>
        <w:t>In vitro</w:t>
      </w:r>
      <w:r w:rsidRPr="00D031CE">
        <w:rPr>
          <w:b/>
          <w:bCs/>
          <w:color w:val="000000" w:themeColor="text1"/>
          <w:lang w:val="en-US"/>
        </w:rPr>
        <w:t xml:space="preserve"> pharmacological inhibition of ATX enhanced </w:t>
      </w:r>
      <w:proofErr w:type="spellStart"/>
      <w:r w:rsidRPr="00D031CE">
        <w:rPr>
          <w:b/>
          <w:bCs/>
          <w:color w:val="000000" w:themeColor="text1"/>
          <w:lang w:val="en-US"/>
        </w:rPr>
        <w:t>osteoblastogenesis</w:t>
      </w:r>
      <w:proofErr w:type="spellEnd"/>
      <w:r w:rsidRPr="00D031CE">
        <w:rPr>
          <w:b/>
          <w:bCs/>
          <w:color w:val="000000" w:themeColor="text1"/>
          <w:lang w:val="en-US"/>
        </w:rPr>
        <w:t>.</w:t>
      </w:r>
    </w:p>
    <w:p w:rsidR="00662F96" w:rsidRPr="00D031CE" w:rsidRDefault="00662F96" w:rsidP="00662F96">
      <w:pPr>
        <w:jc w:val="both"/>
        <w:rPr>
          <w:color w:val="000000" w:themeColor="text1"/>
          <w:lang w:val="en-US"/>
        </w:rPr>
      </w:pPr>
      <w:r w:rsidRPr="00D031CE">
        <w:rPr>
          <w:color w:val="000000" w:themeColor="text1"/>
          <w:lang w:val="en-US"/>
        </w:rPr>
        <w:t>Amplified MSCs 6.10</w:t>
      </w:r>
      <w:r w:rsidRPr="00D031CE">
        <w:rPr>
          <w:color w:val="000000" w:themeColor="text1"/>
          <w:vertAlign w:val="superscript"/>
          <w:lang w:val="en-US"/>
        </w:rPr>
        <w:t>4</w:t>
      </w:r>
      <w:r w:rsidRPr="00D031CE">
        <w:rPr>
          <w:color w:val="000000" w:themeColor="text1"/>
          <w:lang w:val="en-US"/>
        </w:rPr>
        <w:t xml:space="preserve"> cells/well were seeded on a 48 wells plate with osteogenic medium for 7 days. Intermittent PTH1-34 (10nM) was added or not to cell cultures every day during 4 hours then removed, and osteogenic media was replaced. All osteogenic media changes were similarly carried out in control wells and supplemented or not when specified with ATX inhibitor BMP22 (10nM). The plates were fixed with PFA (4%) at D7 and columns from the same plate were either stained for Alkaline phosphatase (blue) to evaluate osteoblast activity or alizarin red S 2% solution for mineral content with. Representative micrographs taken at Day 7 of cell cultures stained for </w:t>
      </w:r>
      <w:r>
        <w:rPr>
          <w:b/>
          <w:bCs/>
          <w:color w:val="000000" w:themeColor="text1"/>
          <w:lang w:val="en-US"/>
        </w:rPr>
        <w:t>A</w:t>
      </w:r>
      <w:r w:rsidRPr="00D031CE">
        <w:rPr>
          <w:b/>
          <w:bCs/>
          <w:color w:val="000000" w:themeColor="text1"/>
          <w:lang w:val="en-US"/>
        </w:rPr>
        <w:t>)</w:t>
      </w:r>
      <w:r w:rsidRPr="00D031CE">
        <w:rPr>
          <w:color w:val="000000" w:themeColor="text1"/>
          <w:lang w:val="en-US"/>
        </w:rPr>
        <w:t xml:space="preserve"> Alkaline phosphatase and </w:t>
      </w:r>
      <w:r>
        <w:rPr>
          <w:b/>
          <w:bCs/>
          <w:color w:val="000000" w:themeColor="text1"/>
          <w:lang w:val="en-US"/>
        </w:rPr>
        <w:t>C</w:t>
      </w:r>
      <w:r w:rsidRPr="00D031CE">
        <w:rPr>
          <w:b/>
          <w:bCs/>
          <w:color w:val="000000" w:themeColor="text1"/>
          <w:lang w:val="en-US"/>
        </w:rPr>
        <w:t>)</w:t>
      </w:r>
      <w:r w:rsidRPr="00D031CE">
        <w:rPr>
          <w:color w:val="000000" w:themeColor="text1"/>
          <w:lang w:val="en-US"/>
        </w:rPr>
        <w:t xml:space="preserve"> mineralization. </w:t>
      </w:r>
      <w:r>
        <w:rPr>
          <w:b/>
          <w:bCs/>
          <w:color w:val="000000" w:themeColor="text1"/>
          <w:lang w:val="en-US"/>
        </w:rPr>
        <w:t>B</w:t>
      </w:r>
      <w:r w:rsidRPr="00D031CE">
        <w:rPr>
          <w:b/>
          <w:bCs/>
          <w:color w:val="000000" w:themeColor="text1"/>
          <w:lang w:val="en-US"/>
        </w:rPr>
        <w:t>)</w:t>
      </w:r>
      <w:r w:rsidRPr="00D031CE">
        <w:rPr>
          <w:color w:val="000000" w:themeColor="text1"/>
          <w:lang w:val="en-US"/>
        </w:rPr>
        <w:t xml:space="preserve"> quantification of alkaline phosphatase and </w:t>
      </w:r>
      <w:r>
        <w:rPr>
          <w:b/>
          <w:bCs/>
          <w:color w:val="000000" w:themeColor="text1"/>
          <w:lang w:val="en-US"/>
        </w:rPr>
        <w:t>D</w:t>
      </w:r>
      <w:r w:rsidRPr="00D031CE">
        <w:rPr>
          <w:b/>
          <w:bCs/>
          <w:color w:val="000000" w:themeColor="text1"/>
          <w:lang w:val="en-US"/>
        </w:rPr>
        <w:t>)</w:t>
      </w:r>
      <w:r w:rsidRPr="00D031CE">
        <w:rPr>
          <w:color w:val="000000" w:themeColor="text1"/>
          <w:lang w:val="en-US"/>
        </w:rPr>
        <w:t xml:space="preserve"> alizarin staining by calculating the integrated intensity in every binary image of the wells using image J. Values represent the mean </w:t>
      </w:r>
      <w:r w:rsidRPr="00D031CE">
        <w:rPr>
          <w:color w:val="000000" w:themeColor="text1"/>
          <w:lang w:val="en-US"/>
        </w:rPr>
        <w:sym w:font="Symbol" w:char="F0B1"/>
      </w:r>
      <w:r w:rsidRPr="00D031CE">
        <w:rPr>
          <w:color w:val="000000" w:themeColor="text1"/>
          <w:lang w:val="en-US"/>
        </w:rPr>
        <w:t xml:space="preserve"> SD of three biological replicates </w:t>
      </w:r>
      <w:proofErr w:type="gramStart"/>
      <w:r w:rsidRPr="00D031CE">
        <w:rPr>
          <w:color w:val="000000" w:themeColor="text1"/>
          <w:lang w:val="en-US"/>
        </w:rPr>
        <w:t>of  one</w:t>
      </w:r>
      <w:proofErr w:type="gramEnd"/>
      <w:r w:rsidRPr="00D031CE">
        <w:rPr>
          <w:color w:val="000000" w:themeColor="text1"/>
          <w:lang w:val="en-US"/>
        </w:rPr>
        <w:t xml:space="preserve"> experiment assessed by One-way ANOVA and Turkey’s multiple comparison tests. </w:t>
      </w:r>
      <w:r w:rsidRPr="00D031CE">
        <w:rPr>
          <w:i/>
          <w:iCs/>
          <w:color w:val="000000" w:themeColor="text1"/>
          <w:lang w:val="en-US"/>
        </w:rPr>
        <w:t>In vitro</w:t>
      </w:r>
      <w:r w:rsidRPr="00D031CE">
        <w:rPr>
          <w:color w:val="000000" w:themeColor="text1"/>
          <w:lang w:val="en-US"/>
        </w:rPr>
        <w:t xml:space="preserve"> intermittent PTH or BMPP22 treatment showed significant increased staining indicating enhanced osteoblastic activity.  </w:t>
      </w:r>
    </w:p>
    <w:p w:rsidR="00662F96" w:rsidRPr="00D031CE" w:rsidRDefault="00662F96" w:rsidP="00662F96">
      <w:pPr>
        <w:spacing w:line="480" w:lineRule="auto"/>
        <w:jc w:val="both"/>
        <w:rPr>
          <w:color w:val="000000" w:themeColor="text1"/>
          <w:lang w:val="en-US"/>
        </w:rPr>
      </w:pPr>
    </w:p>
    <w:p w:rsidR="003623D1" w:rsidRDefault="003623D1" w:rsidP="003623D1">
      <w:pPr>
        <w:spacing w:line="480" w:lineRule="auto"/>
      </w:pPr>
    </w:p>
    <w:sectPr w:rsidR="003623D1" w:rsidSect="00362FCE">
      <w:footerReference w:type="even"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0137" w:rsidRDefault="005B0137" w:rsidP="00662F96">
      <w:r>
        <w:separator/>
      </w:r>
    </w:p>
  </w:endnote>
  <w:endnote w:type="continuationSeparator" w:id="0">
    <w:p w:rsidR="005B0137" w:rsidRDefault="005B0137" w:rsidP="0066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Regular">
    <w:altName w:val="Times New Roman"/>
    <w:panose1 w:val="020B0604020202020204"/>
    <w:charset w:val="00"/>
    <w:family w:val="auto"/>
    <w:pitch w:val="default"/>
    <w:sig w:usb0="E0002AEF" w:usb1="C0007841"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534079107"/>
      <w:docPartObj>
        <w:docPartGallery w:val="Page Numbers (Bottom of Page)"/>
        <w:docPartUnique/>
      </w:docPartObj>
    </w:sdtPr>
    <w:sdtContent>
      <w:p w:rsidR="00662F96" w:rsidRDefault="00662F96" w:rsidP="004B4E4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rsidR="00662F96" w:rsidRDefault="00662F96" w:rsidP="00662F9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73522368"/>
      <w:docPartObj>
        <w:docPartGallery w:val="Page Numbers (Bottom of Page)"/>
        <w:docPartUnique/>
      </w:docPartObj>
    </w:sdtPr>
    <w:sdtContent>
      <w:p w:rsidR="00662F96" w:rsidRDefault="00662F96" w:rsidP="004B4E4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662F96" w:rsidRDefault="00662F96" w:rsidP="00662F9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0137" w:rsidRDefault="005B0137" w:rsidP="00662F96">
      <w:r>
        <w:separator/>
      </w:r>
    </w:p>
  </w:footnote>
  <w:footnote w:type="continuationSeparator" w:id="0">
    <w:p w:rsidR="005B0137" w:rsidRDefault="005B0137" w:rsidP="00662F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3D1"/>
    <w:rsid w:val="0000010A"/>
    <w:rsid w:val="000009F9"/>
    <w:rsid w:val="00000A84"/>
    <w:rsid w:val="0000161D"/>
    <w:rsid w:val="00001FFD"/>
    <w:rsid w:val="0000250C"/>
    <w:rsid w:val="0000322D"/>
    <w:rsid w:val="000048BB"/>
    <w:rsid w:val="00006721"/>
    <w:rsid w:val="00006F38"/>
    <w:rsid w:val="000070E2"/>
    <w:rsid w:val="00007123"/>
    <w:rsid w:val="00007357"/>
    <w:rsid w:val="00007758"/>
    <w:rsid w:val="00010916"/>
    <w:rsid w:val="00013159"/>
    <w:rsid w:val="0001419B"/>
    <w:rsid w:val="00014AFA"/>
    <w:rsid w:val="0001556C"/>
    <w:rsid w:val="00015809"/>
    <w:rsid w:val="00015953"/>
    <w:rsid w:val="000163F7"/>
    <w:rsid w:val="00016A59"/>
    <w:rsid w:val="00016C16"/>
    <w:rsid w:val="00017A76"/>
    <w:rsid w:val="000216F8"/>
    <w:rsid w:val="000228A5"/>
    <w:rsid w:val="000234F3"/>
    <w:rsid w:val="00024690"/>
    <w:rsid w:val="000249A5"/>
    <w:rsid w:val="00025D72"/>
    <w:rsid w:val="00026372"/>
    <w:rsid w:val="00026CBF"/>
    <w:rsid w:val="00031065"/>
    <w:rsid w:val="00031437"/>
    <w:rsid w:val="00034093"/>
    <w:rsid w:val="0003442A"/>
    <w:rsid w:val="000353AA"/>
    <w:rsid w:val="0003556C"/>
    <w:rsid w:val="00035617"/>
    <w:rsid w:val="00035DE1"/>
    <w:rsid w:val="0004134B"/>
    <w:rsid w:val="00041A81"/>
    <w:rsid w:val="00041E78"/>
    <w:rsid w:val="00042368"/>
    <w:rsid w:val="00042A8C"/>
    <w:rsid w:val="0004307E"/>
    <w:rsid w:val="000435A3"/>
    <w:rsid w:val="0004399B"/>
    <w:rsid w:val="00045021"/>
    <w:rsid w:val="00045D1C"/>
    <w:rsid w:val="00045F77"/>
    <w:rsid w:val="000460F0"/>
    <w:rsid w:val="0004621C"/>
    <w:rsid w:val="00046E15"/>
    <w:rsid w:val="000474B6"/>
    <w:rsid w:val="00051EA2"/>
    <w:rsid w:val="000522AC"/>
    <w:rsid w:val="00052B4C"/>
    <w:rsid w:val="00052BED"/>
    <w:rsid w:val="000537DB"/>
    <w:rsid w:val="0005487A"/>
    <w:rsid w:val="00054C26"/>
    <w:rsid w:val="00054DA0"/>
    <w:rsid w:val="00055020"/>
    <w:rsid w:val="00055831"/>
    <w:rsid w:val="000559F8"/>
    <w:rsid w:val="000571D2"/>
    <w:rsid w:val="000574E0"/>
    <w:rsid w:val="000578D5"/>
    <w:rsid w:val="00057DBA"/>
    <w:rsid w:val="00057EFE"/>
    <w:rsid w:val="00060213"/>
    <w:rsid w:val="00060536"/>
    <w:rsid w:val="00061976"/>
    <w:rsid w:val="00061ED7"/>
    <w:rsid w:val="00062642"/>
    <w:rsid w:val="000645D2"/>
    <w:rsid w:val="00064C56"/>
    <w:rsid w:val="00066FBF"/>
    <w:rsid w:val="00070406"/>
    <w:rsid w:val="00071B38"/>
    <w:rsid w:val="00071D39"/>
    <w:rsid w:val="0007294A"/>
    <w:rsid w:val="000732BC"/>
    <w:rsid w:val="000754D3"/>
    <w:rsid w:val="00077EA1"/>
    <w:rsid w:val="0008106E"/>
    <w:rsid w:val="00081198"/>
    <w:rsid w:val="000816FF"/>
    <w:rsid w:val="00081708"/>
    <w:rsid w:val="00082B9D"/>
    <w:rsid w:val="00082DFC"/>
    <w:rsid w:val="00083736"/>
    <w:rsid w:val="00083848"/>
    <w:rsid w:val="00083CCE"/>
    <w:rsid w:val="00083D1D"/>
    <w:rsid w:val="00083E7F"/>
    <w:rsid w:val="00084838"/>
    <w:rsid w:val="000852B8"/>
    <w:rsid w:val="000860FE"/>
    <w:rsid w:val="00086182"/>
    <w:rsid w:val="00090336"/>
    <w:rsid w:val="00090FA0"/>
    <w:rsid w:val="000915CD"/>
    <w:rsid w:val="00091CE2"/>
    <w:rsid w:val="00092D58"/>
    <w:rsid w:val="0009318B"/>
    <w:rsid w:val="000931BE"/>
    <w:rsid w:val="00093A87"/>
    <w:rsid w:val="00093D43"/>
    <w:rsid w:val="00094EF2"/>
    <w:rsid w:val="00094FF3"/>
    <w:rsid w:val="0009568D"/>
    <w:rsid w:val="00095980"/>
    <w:rsid w:val="000961B9"/>
    <w:rsid w:val="000A1065"/>
    <w:rsid w:val="000A1EF5"/>
    <w:rsid w:val="000A1FEA"/>
    <w:rsid w:val="000A22B0"/>
    <w:rsid w:val="000A2AFD"/>
    <w:rsid w:val="000A35FD"/>
    <w:rsid w:val="000A4A2F"/>
    <w:rsid w:val="000A51C5"/>
    <w:rsid w:val="000A558C"/>
    <w:rsid w:val="000A56EB"/>
    <w:rsid w:val="000B0B8D"/>
    <w:rsid w:val="000B0F99"/>
    <w:rsid w:val="000B1469"/>
    <w:rsid w:val="000B179B"/>
    <w:rsid w:val="000B18AD"/>
    <w:rsid w:val="000B1E1F"/>
    <w:rsid w:val="000B39AB"/>
    <w:rsid w:val="000B4434"/>
    <w:rsid w:val="000B46C6"/>
    <w:rsid w:val="000B4FAA"/>
    <w:rsid w:val="000B58ED"/>
    <w:rsid w:val="000B5E27"/>
    <w:rsid w:val="000B6CF2"/>
    <w:rsid w:val="000B79EB"/>
    <w:rsid w:val="000C09EC"/>
    <w:rsid w:val="000C437E"/>
    <w:rsid w:val="000C60BB"/>
    <w:rsid w:val="000C6531"/>
    <w:rsid w:val="000D0658"/>
    <w:rsid w:val="000D0667"/>
    <w:rsid w:val="000D0ED0"/>
    <w:rsid w:val="000D118F"/>
    <w:rsid w:val="000D2A8D"/>
    <w:rsid w:val="000D2C2D"/>
    <w:rsid w:val="000D3F3D"/>
    <w:rsid w:val="000D4EA6"/>
    <w:rsid w:val="000D537B"/>
    <w:rsid w:val="000D568A"/>
    <w:rsid w:val="000D5B36"/>
    <w:rsid w:val="000D60F2"/>
    <w:rsid w:val="000D6608"/>
    <w:rsid w:val="000D6978"/>
    <w:rsid w:val="000D741D"/>
    <w:rsid w:val="000E0760"/>
    <w:rsid w:val="000E07AD"/>
    <w:rsid w:val="000E0AC7"/>
    <w:rsid w:val="000E0E27"/>
    <w:rsid w:val="000E1386"/>
    <w:rsid w:val="000E2DCD"/>
    <w:rsid w:val="000E3125"/>
    <w:rsid w:val="000E382C"/>
    <w:rsid w:val="000E385E"/>
    <w:rsid w:val="000E4273"/>
    <w:rsid w:val="000E4CB7"/>
    <w:rsid w:val="000E4EA7"/>
    <w:rsid w:val="000E5904"/>
    <w:rsid w:val="000E5E44"/>
    <w:rsid w:val="000E63A6"/>
    <w:rsid w:val="000E6C1C"/>
    <w:rsid w:val="000E72A5"/>
    <w:rsid w:val="000F0713"/>
    <w:rsid w:val="000F097A"/>
    <w:rsid w:val="000F4A1B"/>
    <w:rsid w:val="000F4C14"/>
    <w:rsid w:val="000F74A1"/>
    <w:rsid w:val="000F757D"/>
    <w:rsid w:val="000F7F22"/>
    <w:rsid w:val="0010093E"/>
    <w:rsid w:val="00100ADB"/>
    <w:rsid w:val="00101B59"/>
    <w:rsid w:val="00101C88"/>
    <w:rsid w:val="001025F9"/>
    <w:rsid w:val="00103F64"/>
    <w:rsid w:val="00105306"/>
    <w:rsid w:val="00105A73"/>
    <w:rsid w:val="001067F4"/>
    <w:rsid w:val="0010720C"/>
    <w:rsid w:val="001076CF"/>
    <w:rsid w:val="00110409"/>
    <w:rsid w:val="001105CA"/>
    <w:rsid w:val="001112B6"/>
    <w:rsid w:val="001115E6"/>
    <w:rsid w:val="00111DC6"/>
    <w:rsid w:val="0011251A"/>
    <w:rsid w:val="00112BEC"/>
    <w:rsid w:val="00112C35"/>
    <w:rsid w:val="00114369"/>
    <w:rsid w:val="00114A3A"/>
    <w:rsid w:val="0011518B"/>
    <w:rsid w:val="00116927"/>
    <w:rsid w:val="00116A17"/>
    <w:rsid w:val="00116CA9"/>
    <w:rsid w:val="0012159E"/>
    <w:rsid w:val="00121BC3"/>
    <w:rsid w:val="00122D96"/>
    <w:rsid w:val="0012307C"/>
    <w:rsid w:val="00123E2B"/>
    <w:rsid w:val="001243A7"/>
    <w:rsid w:val="00124904"/>
    <w:rsid w:val="0012653B"/>
    <w:rsid w:val="00130084"/>
    <w:rsid w:val="00130865"/>
    <w:rsid w:val="00130925"/>
    <w:rsid w:val="001313F3"/>
    <w:rsid w:val="00131709"/>
    <w:rsid w:val="00131B78"/>
    <w:rsid w:val="00132133"/>
    <w:rsid w:val="00132FE6"/>
    <w:rsid w:val="00133286"/>
    <w:rsid w:val="001335FD"/>
    <w:rsid w:val="001342DD"/>
    <w:rsid w:val="00136437"/>
    <w:rsid w:val="001420D7"/>
    <w:rsid w:val="001438B7"/>
    <w:rsid w:val="001439AC"/>
    <w:rsid w:val="00144396"/>
    <w:rsid w:val="001443F6"/>
    <w:rsid w:val="0014452A"/>
    <w:rsid w:val="001445FA"/>
    <w:rsid w:val="00144F3F"/>
    <w:rsid w:val="001452C8"/>
    <w:rsid w:val="00145885"/>
    <w:rsid w:val="00145A9D"/>
    <w:rsid w:val="00146950"/>
    <w:rsid w:val="00146A3A"/>
    <w:rsid w:val="00146DE6"/>
    <w:rsid w:val="001515F1"/>
    <w:rsid w:val="00151ABF"/>
    <w:rsid w:val="0015210C"/>
    <w:rsid w:val="001523B3"/>
    <w:rsid w:val="001536A9"/>
    <w:rsid w:val="00153ED3"/>
    <w:rsid w:val="001549F3"/>
    <w:rsid w:val="0015534C"/>
    <w:rsid w:val="00155699"/>
    <w:rsid w:val="001559FC"/>
    <w:rsid w:val="00155C68"/>
    <w:rsid w:val="001602D6"/>
    <w:rsid w:val="0016043A"/>
    <w:rsid w:val="00161465"/>
    <w:rsid w:val="00161C64"/>
    <w:rsid w:val="00162AE7"/>
    <w:rsid w:val="00162FC6"/>
    <w:rsid w:val="00163B79"/>
    <w:rsid w:val="00164128"/>
    <w:rsid w:val="001650C7"/>
    <w:rsid w:val="00165267"/>
    <w:rsid w:val="001667F1"/>
    <w:rsid w:val="00167185"/>
    <w:rsid w:val="001701E5"/>
    <w:rsid w:val="0017045E"/>
    <w:rsid w:val="00170C5A"/>
    <w:rsid w:val="00172CCB"/>
    <w:rsid w:val="001730A3"/>
    <w:rsid w:val="0017369D"/>
    <w:rsid w:val="00174A51"/>
    <w:rsid w:val="00174BBE"/>
    <w:rsid w:val="00176555"/>
    <w:rsid w:val="0017686B"/>
    <w:rsid w:val="00176CDB"/>
    <w:rsid w:val="0017734E"/>
    <w:rsid w:val="00177853"/>
    <w:rsid w:val="001808DD"/>
    <w:rsid w:val="00180917"/>
    <w:rsid w:val="001826FF"/>
    <w:rsid w:val="00183669"/>
    <w:rsid w:val="00184C02"/>
    <w:rsid w:val="00184FE2"/>
    <w:rsid w:val="00185B7F"/>
    <w:rsid w:val="001866D6"/>
    <w:rsid w:val="00186883"/>
    <w:rsid w:val="00186E77"/>
    <w:rsid w:val="00187763"/>
    <w:rsid w:val="00190B64"/>
    <w:rsid w:val="00191479"/>
    <w:rsid w:val="0019169E"/>
    <w:rsid w:val="001918EF"/>
    <w:rsid w:val="00192151"/>
    <w:rsid w:val="00192157"/>
    <w:rsid w:val="00192794"/>
    <w:rsid w:val="00192DB0"/>
    <w:rsid w:val="00193926"/>
    <w:rsid w:val="00194A16"/>
    <w:rsid w:val="00195374"/>
    <w:rsid w:val="0019540E"/>
    <w:rsid w:val="0019696A"/>
    <w:rsid w:val="001A06F2"/>
    <w:rsid w:val="001A110F"/>
    <w:rsid w:val="001A1B49"/>
    <w:rsid w:val="001A255B"/>
    <w:rsid w:val="001A262B"/>
    <w:rsid w:val="001A40BA"/>
    <w:rsid w:val="001A44C8"/>
    <w:rsid w:val="001A44F7"/>
    <w:rsid w:val="001A4880"/>
    <w:rsid w:val="001A4BC5"/>
    <w:rsid w:val="001A50B9"/>
    <w:rsid w:val="001A5123"/>
    <w:rsid w:val="001A53D2"/>
    <w:rsid w:val="001A62D2"/>
    <w:rsid w:val="001A77F7"/>
    <w:rsid w:val="001A7C21"/>
    <w:rsid w:val="001B006E"/>
    <w:rsid w:val="001B03F9"/>
    <w:rsid w:val="001B0487"/>
    <w:rsid w:val="001B0670"/>
    <w:rsid w:val="001B06FA"/>
    <w:rsid w:val="001B0884"/>
    <w:rsid w:val="001B0C92"/>
    <w:rsid w:val="001B10A4"/>
    <w:rsid w:val="001B3498"/>
    <w:rsid w:val="001B394F"/>
    <w:rsid w:val="001B3B0F"/>
    <w:rsid w:val="001B45F3"/>
    <w:rsid w:val="001B5285"/>
    <w:rsid w:val="001B6109"/>
    <w:rsid w:val="001B6323"/>
    <w:rsid w:val="001B660D"/>
    <w:rsid w:val="001B6966"/>
    <w:rsid w:val="001B7E3E"/>
    <w:rsid w:val="001C0F99"/>
    <w:rsid w:val="001C1F80"/>
    <w:rsid w:val="001C41FF"/>
    <w:rsid w:val="001C4CCB"/>
    <w:rsid w:val="001C5705"/>
    <w:rsid w:val="001C60B4"/>
    <w:rsid w:val="001C6CF9"/>
    <w:rsid w:val="001C7CA5"/>
    <w:rsid w:val="001D011D"/>
    <w:rsid w:val="001D06DB"/>
    <w:rsid w:val="001D0B57"/>
    <w:rsid w:val="001D1E10"/>
    <w:rsid w:val="001D2895"/>
    <w:rsid w:val="001D3A47"/>
    <w:rsid w:val="001D3B12"/>
    <w:rsid w:val="001D4738"/>
    <w:rsid w:val="001D5A9C"/>
    <w:rsid w:val="001D5ADD"/>
    <w:rsid w:val="001D7A0F"/>
    <w:rsid w:val="001E078A"/>
    <w:rsid w:val="001E147D"/>
    <w:rsid w:val="001E15E1"/>
    <w:rsid w:val="001E1D07"/>
    <w:rsid w:val="001E24A1"/>
    <w:rsid w:val="001E3799"/>
    <w:rsid w:val="001E3B56"/>
    <w:rsid w:val="001E3C0B"/>
    <w:rsid w:val="001E3CF6"/>
    <w:rsid w:val="001E471B"/>
    <w:rsid w:val="001E510C"/>
    <w:rsid w:val="001E5123"/>
    <w:rsid w:val="001E6067"/>
    <w:rsid w:val="001E67C4"/>
    <w:rsid w:val="001E7B73"/>
    <w:rsid w:val="001F305D"/>
    <w:rsid w:val="001F354D"/>
    <w:rsid w:val="001F3DCE"/>
    <w:rsid w:val="001F51D3"/>
    <w:rsid w:val="001F61F3"/>
    <w:rsid w:val="001F6452"/>
    <w:rsid w:val="001F6571"/>
    <w:rsid w:val="001F6DCF"/>
    <w:rsid w:val="00200858"/>
    <w:rsid w:val="00200A3A"/>
    <w:rsid w:val="002011D4"/>
    <w:rsid w:val="00201B11"/>
    <w:rsid w:val="002025D9"/>
    <w:rsid w:val="002027EB"/>
    <w:rsid w:val="00202D0F"/>
    <w:rsid w:val="00203585"/>
    <w:rsid w:val="00203D90"/>
    <w:rsid w:val="002041D5"/>
    <w:rsid w:val="00204A78"/>
    <w:rsid w:val="00204D32"/>
    <w:rsid w:val="00205227"/>
    <w:rsid w:val="002056DE"/>
    <w:rsid w:val="002058AF"/>
    <w:rsid w:val="00205FEF"/>
    <w:rsid w:val="00206298"/>
    <w:rsid w:val="0020631F"/>
    <w:rsid w:val="002076AE"/>
    <w:rsid w:val="002076E9"/>
    <w:rsid w:val="00207EF4"/>
    <w:rsid w:val="002124A3"/>
    <w:rsid w:val="00213A46"/>
    <w:rsid w:val="00213C66"/>
    <w:rsid w:val="00214271"/>
    <w:rsid w:val="00216B54"/>
    <w:rsid w:val="00220175"/>
    <w:rsid w:val="00221301"/>
    <w:rsid w:val="0022329D"/>
    <w:rsid w:val="002237FA"/>
    <w:rsid w:val="0022418E"/>
    <w:rsid w:val="00225EA2"/>
    <w:rsid w:val="00226D96"/>
    <w:rsid w:val="002270B3"/>
    <w:rsid w:val="002275F9"/>
    <w:rsid w:val="00230D7E"/>
    <w:rsid w:val="00231C0A"/>
    <w:rsid w:val="00231D0C"/>
    <w:rsid w:val="002320E5"/>
    <w:rsid w:val="00232AD7"/>
    <w:rsid w:val="00232C62"/>
    <w:rsid w:val="00232D4A"/>
    <w:rsid w:val="00234068"/>
    <w:rsid w:val="0023717A"/>
    <w:rsid w:val="00237E00"/>
    <w:rsid w:val="002416F9"/>
    <w:rsid w:val="00241862"/>
    <w:rsid w:val="00241A95"/>
    <w:rsid w:val="00242D4A"/>
    <w:rsid w:val="00243523"/>
    <w:rsid w:val="00243895"/>
    <w:rsid w:val="002442CB"/>
    <w:rsid w:val="00244585"/>
    <w:rsid w:val="00246721"/>
    <w:rsid w:val="00246EBD"/>
    <w:rsid w:val="002470C7"/>
    <w:rsid w:val="00250DB3"/>
    <w:rsid w:val="002531D3"/>
    <w:rsid w:val="00253813"/>
    <w:rsid w:val="00253DFA"/>
    <w:rsid w:val="00254705"/>
    <w:rsid w:val="00255C97"/>
    <w:rsid w:val="00260212"/>
    <w:rsid w:val="002604FE"/>
    <w:rsid w:val="0026073B"/>
    <w:rsid w:val="00260EE4"/>
    <w:rsid w:val="0026265B"/>
    <w:rsid w:val="00262CE8"/>
    <w:rsid w:val="0026341E"/>
    <w:rsid w:val="00265411"/>
    <w:rsid w:val="0026565B"/>
    <w:rsid w:val="00265EE0"/>
    <w:rsid w:val="00266F35"/>
    <w:rsid w:val="00267125"/>
    <w:rsid w:val="002679D7"/>
    <w:rsid w:val="0027025E"/>
    <w:rsid w:val="0027037A"/>
    <w:rsid w:val="00270961"/>
    <w:rsid w:val="002719CE"/>
    <w:rsid w:val="002723E3"/>
    <w:rsid w:val="00272B33"/>
    <w:rsid w:val="002736C4"/>
    <w:rsid w:val="00273961"/>
    <w:rsid w:val="002744A2"/>
    <w:rsid w:val="002748CD"/>
    <w:rsid w:val="00276212"/>
    <w:rsid w:val="0027647E"/>
    <w:rsid w:val="00277463"/>
    <w:rsid w:val="00280449"/>
    <w:rsid w:val="00280C82"/>
    <w:rsid w:val="00281680"/>
    <w:rsid w:val="002834DF"/>
    <w:rsid w:val="00283B32"/>
    <w:rsid w:val="0028478A"/>
    <w:rsid w:val="002848B1"/>
    <w:rsid w:val="002848D9"/>
    <w:rsid w:val="002865BF"/>
    <w:rsid w:val="00286A0E"/>
    <w:rsid w:val="00286A2E"/>
    <w:rsid w:val="00286B31"/>
    <w:rsid w:val="00287A5C"/>
    <w:rsid w:val="00290D91"/>
    <w:rsid w:val="00291711"/>
    <w:rsid w:val="00292024"/>
    <w:rsid w:val="00293038"/>
    <w:rsid w:val="00293991"/>
    <w:rsid w:val="002945F4"/>
    <w:rsid w:val="0029462A"/>
    <w:rsid w:val="00296A20"/>
    <w:rsid w:val="00297321"/>
    <w:rsid w:val="0029780D"/>
    <w:rsid w:val="002978ED"/>
    <w:rsid w:val="00297905"/>
    <w:rsid w:val="002A051A"/>
    <w:rsid w:val="002A0E92"/>
    <w:rsid w:val="002A0FC0"/>
    <w:rsid w:val="002A1865"/>
    <w:rsid w:val="002A1CDD"/>
    <w:rsid w:val="002A2300"/>
    <w:rsid w:val="002A4020"/>
    <w:rsid w:val="002A47DB"/>
    <w:rsid w:val="002A4863"/>
    <w:rsid w:val="002A4DD4"/>
    <w:rsid w:val="002A6449"/>
    <w:rsid w:val="002B1588"/>
    <w:rsid w:val="002B256D"/>
    <w:rsid w:val="002B2702"/>
    <w:rsid w:val="002B5A7F"/>
    <w:rsid w:val="002B76A8"/>
    <w:rsid w:val="002C0212"/>
    <w:rsid w:val="002C02FE"/>
    <w:rsid w:val="002C0779"/>
    <w:rsid w:val="002C094B"/>
    <w:rsid w:val="002C1051"/>
    <w:rsid w:val="002C130E"/>
    <w:rsid w:val="002C1BD8"/>
    <w:rsid w:val="002C2389"/>
    <w:rsid w:val="002C2501"/>
    <w:rsid w:val="002C2DD2"/>
    <w:rsid w:val="002C3F12"/>
    <w:rsid w:val="002C3FD9"/>
    <w:rsid w:val="002C58B2"/>
    <w:rsid w:val="002C63CE"/>
    <w:rsid w:val="002C6B0F"/>
    <w:rsid w:val="002C708C"/>
    <w:rsid w:val="002C7326"/>
    <w:rsid w:val="002C796B"/>
    <w:rsid w:val="002D02F5"/>
    <w:rsid w:val="002D0F0C"/>
    <w:rsid w:val="002D143A"/>
    <w:rsid w:val="002D15CE"/>
    <w:rsid w:val="002D20BC"/>
    <w:rsid w:val="002D2BF9"/>
    <w:rsid w:val="002D327E"/>
    <w:rsid w:val="002D3E79"/>
    <w:rsid w:val="002D4409"/>
    <w:rsid w:val="002D6426"/>
    <w:rsid w:val="002D692D"/>
    <w:rsid w:val="002D6CF9"/>
    <w:rsid w:val="002D7123"/>
    <w:rsid w:val="002D7C8B"/>
    <w:rsid w:val="002E093D"/>
    <w:rsid w:val="002E13F1"/>
    <w:rsid w:val="002E1AD2"/>
    <w:rsid w:val="002E2564"/>
    <w:rsid w:val="002E274C"/>
    <w:rsid w:val="002E27FD"/>
    <w:rsid w:val="002E2DCA"/>
    <w:rsid w:val="002E54C4"/>
    <w:rsid w:val="002E5940"/>
    <w:rsid w:val="002E5FC3"/>
    <w:rsid w:val="002E709B"/>
    <w:rsid w:val="002E780D"/>
    <w:rsid w:val="002E79D0"/>
    <w:rsid w:val="002F0583"/>
    <w:rsid w:val="002F121D"/>
    <w:rsid w:val="002F1587"/>
    <w:rsid w:val="002F3131"/>
    <w:rsid w:val="002F33CD"/>
    <w:rsid w:val="002F3D77"/>
    <w:rsid w:val="002F4B3F"/>
    <w:rsid w:val="002F6168"/>
    <w:rsid w:val="002F6E98"/>
    <w:rsid w:val="002F7B70"/>
    <w:rsid w:val="00300588"/>
    <w:rsid w:val="00300704"/>
    <w:rsid w:val="00300ED7"/>
    <w:rsid w:val="00302026"/>
    <w:rsid w:val="00302968"/>
    <w:rsid w:val="00302BDE"/>
    <w:rsid w:val="0030471D"/>
    <w:rsid w:val="003058D7"/>
    <w:rsid w:val="003059F7"/>
    <w:rsid w:val="00305BE1"/>
    <w:rsid w:val="00305ECB"/>
    <w:rsid w:val="00306249"/>
    <w:rsid w:val="003078F6"/>
    <w:rsid w:val="0031118F"/>
    <w:rsid w:val="00312258"/>
    <w:rsid w:val="00312882"/>
    <w:rsid w:val="00312A17"/>
    <w:rsid w:val="00313135"/>
    <w:rsid w:val="003139AD"/>
    <w:rsid w:val="00313C06"/>
    <w:rsid w:val="00313E57"/>
    <w:rsid w:val="0031433A"/>
    <w:rsid w:val="0031484B"/>
    <w:rsid w:val="00314DD9"/>
    <w:rsid w:val="00315195"/>
    <w:rsid w:val="00315EEA"/>
    <w:rsid w:val="00316FDB"/>
    <w:rsid w:val="003178AA"/>
    <w:rsid w:val="0032003F"/>
    <w:rsid w:val="003205B7"/>
    <w:rsid w:val="003210DB"/>
    <w:rsid w:val="00322403"/>
    <w:rsid w:val="00322894"/>
    <w:rsid w:val="00323348"/>
    <w:rsid w:val="003254BF"/>
    <w:rsid w:val="00326252"/>
    <w:rsid w:val="00326F9C"/>
    <w:rsid w:val="003307C6"/>
    <w:rsid w:val="00330BB1"/>
    <w:rsid w:val="00332273"/>
    <w:rsid w:val="00332A7C"/>
    <w:rsid w:val="00333881"/>
    <w:rsid w:val="00333DD3"/>
    <w:rsid w:val="00334C3E"/>
    <w:rsid w:val="00334FC6"/>
    <w:rsid w:val="00335E30"/>
    <w:rsid w:val="003369F7"/>
    <w:rsid w:val="003371A4"/>
    <w:rsid w:val="00337987"/>
    <w:rsid w:val="003379B3"/>
    <w:rsid w:val="00341568"/>
    <w:rsid w:val="0034320A"/>
    <w:rsid w:val="00343778"/>
    <w:rsid w:val="0034412E"/>
    <w:rsid w:val="00344A22"/>
    <w:rsid w:val="003452C1"/>
    <w:rsid w:val="003454BC"/>
    <w:rsid w:val="00347265"/>
    <w:rsid w:val="00350404"/>
    <w:rsid w:val="003516DF"/>
    <w:rsid w:val="003521AF"/>
    <w:rsid w:val="00352A0F"/>
    <w:rsid w:val="003535BB"/>
    <w:rsid w:val="00353808"/>
    <w:rsid w:val="00354409"/>
    <w:rsid w:val="00355CD2"/>
    <w:rsid w:val="003561D0"/>
    <w:rsid w:val="00356240"/>
    <w:rsid w:val="00356A52"/>
    <w:rsid w:val="00356D6A"/>
    <w:rsid w:val="00356F3C"/>
    <w:rsid w:val="003606D1"/>
    <w:rsid w:val="003608D6"/>
    <w:rsid w:val="003614FD"/>
    <w:rsid w:val="003623D1"/>
    <w:rsid w:val="00362615"/>
    <w:rsid w:val="003629A1"/>
    <w:rsid w:val="00362FCE"/>
    <w:rsid w:val="00364604"/>
    <w:rsid w:val="00364F80"/>
    <w:rsid w:val="00367083"/>
    <w:rsid w:val="0036711F"/>
    <w:rsid w:val="00367362"/>
    <w:rsid w:val="003678E8"/>
    <w:rsid w:val="00370E45"/>
    <w:rsid w:val="0037113B"/>
    <w:rsid w:val="00371B42"/>
    <w:rsid w:val="0037580F"/>
    <w:rsid w:val="00375883"/>
    <w:rsid w:val="003758D5"/>
    <w:rsid w:val="0037683F"/>
    <w:rsid w:val="00376D62"/>
    <w:rsid w:val="003770F0"/>
    <w:rsid w:val="0037795A"/>
    <w:rsid w:val="003814A0"/>
    <w:rsid w:val="0038311D"/>
    <w:rsid w:val="0038313B"/>
    <w:rsid w:val="00383332"/>
    <w:rsid w:val="003833AC"/>
    <w:rsid w:val="00384AD6"/>
    <w:rsid w:val="00385341"/>
    <w:rsid w:val="003853BD"/>
    <w:rsid w:val="00385620"/>
    <w:rsid w:val="00385FE5"/>
    <w:rsid w:val="00386FE4"/>
    <w:rsid w:val="00387598"/>
    <w:rsid w:val="003903EF"/>
    <w:rsid w:val="003909C5"/>
    <w:rsid w:val="0039137A"/>
    <w:rsid w:val="00391791"/>
    <w:rsid w:val="00392112"/>
    <w:rsid w:val="0039285F"/>
    <w:rsid w:val="003929A6"/>
    <w:rsid w:val="00392A83"/>
    <w:rsid w:val="003942F4"/>
    <w:rsid w:val="00394D0D"/>
    <w:rsid w:val="00395CE4"/>
    <w:rsid w:val="00397557"/>
    <w:rsid w:val="003A0738"/>
    <w:rsid w:val="003A09F6"/>
    <w:rsid w:val="003A0B36"/>
    <w:rsid w:val="003A116C"/>
    <w:rsid w:val="003A1657"/>
    <w:rsid w:val="003A3139"/>
    <w:rsid w:val="003A32D7"/>
    <w:rsid w:val="003A5379"/>
    <w:rsid w:val="003A57C1"/>
    <w:rsid w:val="003A5D97"/>
    <w:rsid w:val="003A63F4"/>
    <w:rsid w:val="003A6B4D"/>
    <w:rsid w:val="003A6E4C"/>
    <w:rsid w:val="003A7A81"/>
    <w:rsid w:val="003A7EBA"/>
    <w:rsid w:val="003B1241"/>
    <w:rsid w:val="003B3418"/>
    <w:rsid w:val="003B393E"/>
    <w:rsid w:val="003B4880"/>
    <w:rsid w:val="003B52DB"/>
    <w:rsid w:val="003B5811"/>
    <w:rsid w:val="003B5C5C"/>
    <w:rsid w:val="003B66AE"/>
    <w:rsid w:val="003B74D6"/>
    <w:rsid w:val="003B7658"/>
    <w:rsid w:val="003C2AEF"/>
    <w:rsid w:val="003C2C02"/>
    <w:rsid w:val="003C34D0"/>
    <w:rsid w:val="003C37D7"/>
    <w:rsid w:val="003C415D"/>
    <w:rsid w:val="003C4EA1"/>
    <w:rsid w:val="003C6D6B"/>
    <w:rsid w:val="003D19A5"/>
    <w:rsid w:val="003D1DAB"/>
    <w:rsid w:val="003D1FD8"/>
    <w:rsid w:val="003D2133"/>
    <w:rsid w:val="003D2C55"/>
    <w:rsid w:val="003D30F0"/>
    <w:rsid w:val="003D3303"/>
    <w:rsid w:val="003D5634"/>
    <w:rsid w:val="003D70CF"/>
    <w:rsid w:val="003D7FD9"/>
    <w:rsid w:val="003E2458"/>
    <w:rsid w:val="003E25A4"/>
    <w:rsid w:val="003E600D"/>
    <w:rsid w:val="003E6BCE"/>
    <w:rsid w:val="003E7ABD"/>
    <w:rsid w:val="003F04BA"/>
    <w:rsid w:val="003F101D"/>
    <w:rsid w:val="003F2115"/>
    <w:rsid w:val="003F2372"/>
    <w:rsid w:val="003F2735"/>
    <w:rsid w:val="003F29FC"/>
    <w:rsid w:val="003F370D"/>
    <w:rsid w:val="003F4570"/>
    <w:rsid w:val="003F5D9C"/>
    <w:rsid w:val="003F657C"/>
    <w:rsid w:val="003F77EA"/>
    <w:rsid w:val="00400555"/>
    <w:rsid w:val="00401BDE"/>
    <w:rsid w:val="00402CDD"/>
    <w:rsid w:val="00402D6D"/>
    <w:rsid w:val="00403A78"/>
    <w:rsid w:val="00404F05"/>
    <w:rsid w:val="0040588D"/>
    <w:rsid w:val="0040649C"/>
    <w:rsid w:val="00407369"/>
    <w:rsid w:val="00407B92"/>
    <w:rsid w:val="004100A9"/>
    <w:rsid w:val="0041024C"/>
    <w:rsid w:val="00410361"/>
    <w:rsid w:val="004121AA"/>
    <w:rsid w:val="00413704"/>
    <w:rsid w:val="00413DBB"/>
    <w:rsid w:val="00413FFF"/>
    <w:rsid w:val="00416253"/>
    <w:rsid w:val="0041668A"/>
    <w:rsid w:val="00417AAF"/>
    <w:rsid w:val="00420D4D"/>
    <w:rsid w:val="00421A63"/>
    <w:rsid w:val="00421AE3"/>
    <w:rsid w:val="00422F7D"/>
    <w:rsid w:val="00423436"/>
    <w:rsid w:val="00423576"/>
    <w:rsid w:val="0042585E"/>
    <w:rsid w:val="00426338"/>
    <w:rsid w:val="00426481"/>
    <w:rsid w:val="00426B84"/>
    <w:rsid w:val="0042703B"/>
    <w:rsid w:val="0042764B"/>
    <w:rsid w:val="00427EE6"/>
    <w:rsid w:val="0043071F"/>
    <w:rsid w:val="004311F8"/>
    <w:rsid w:val="00431D02"/>
    <w:rsid w:val="004328D9"/>
    <w:rsid w:val="004330AC"/>
    <w:rsid w:val="00433A4D"/>
    <w:rsid w:val="004340D2"/>
    <w:rsid w:val="0043576A"/>
    <w:rsid w:val="004375AD"/>
    <w:rsid w:val="00437919"/>
    <w:rsid w:val="00440356"/>
    <w:rsid w:val="004409C5"/>
    <w:rsid w:val="004419A0"/>
    <w:rsid w:val="00441FA9"/>
    <w:rsid w:val="004439EB"/>
    <w:rsid w:val="0044480C"/>
    <w:rsid w:val="004459CD"/>
    <w:rsid w:val="004469D0"/>
    <w:rsid w:val="00446C61"/>
    <w:rsid w:val="0044778F"/>
    <w:rsid w:val="00447F32"/>
    <w:rsid w:val="00450050"/>
    <w:rsid w:val="004511E9"/>
    <w:rsid w:val="00451582"/>
    <w:rsid w:val="004525B3"/>
    <w:rsid w:val="00452AE3"/>
    <w:rsid w:val="004535CE"/>
    <w:rsid w:val="004539AC"/>
    <w:rsid w:val="00453DED"/>
    <w:rsid w:val="00454135"/>
    <w:rsid w:val="00454FFB"/>
    <w:rsid w:val="00455765"/>
    <w:rsid w:val="004563D6"/>
    <w:rsid w:val="00456781"/>
    <w:rsid w:val="00457229"/>
    <w:rsid w:val="0045765A"/>
    <w:rsid w:val="0045765B"/>
    <w:rsid w:val="004609F3"/>
    <w:rsid w:val="00460B33"/>
    <w:rsid w:val="00461933"/>
    <w:rsid w:val="0046291D"/>
    <w:rsid w:val="00463320"/>
    <w:rsid w:val="00463D79"/>
    <w:rsid w:val="00464735"/>
    <w:rsid w:val="00464888"/>
    <w:rsid w:val="00464940"/>
    <w:rsid w:val="00464F21"/>
    <w:rsid w:val="00465733"/>
    <w:rsid w:val="004658E1"/>
    <w:rsid w:val="00465FD4"/>
    <w:rsid w:val="004664B6"/>
    <w:rsid w:val="0046651C"/>
    <w:rsid w:val="00466BF0"/>
    <w:rsid w:val="00467051"/>
    <w:rsid w:val="00467338"/>
    <w:rsid w:val="0047064E"/>
    <w:rsid w:val="004712C4"/>
    <w:rsid w:val="004712F4"/>
    <w:rsid w:val="004716C8"/>
    <w:rsid w:val="00471EFE"/>
    <w:rsid w:val="00472778"/>
    <w:rsid w:val="004738CE"/>
    <w:rsid w:val="00473B59"/>
    <w:rsid w:val="00473BA3"/>
    <w:rsid w:val="0047601D"/>
    <w:rsid w:val="0048030E"/>
    <w:rsid w:val="00480389"/>
    <w:rsid w:val="0048186E"/>
    <w:rsid w:val="00483287"/>
    <w:rsid w:val="004835CA"/>
    <w:rsid w:val="00483D18"/>
    <w:rsid w:val="00484DC8"/>
    <w:rsid w:val="0048518C"/>
    <w:rsid w:val="00485368"/>
    <w:rsid w:val="004874CA"/>
    <w:rsid w:val="00487C77"/>
    <w:rsid w:val="00490239"/>
    <w:rsid w:val="004905A6"/>
    <w:rsid w:val="00490958"/>
    <w:rsid w:val="00491F16"/>
    <w:rsid w:val="0049360F"/>
    <w:rsid w:val="00493A01"/>
    <w:rsid w:val="00493D82"/>
    <w:rsid w:val="00495097"/>
    <w:rsid w:val="0049693F"/>
    <w:rsid w:val="00496A5A"/>
    <w:rsid w:val="00496C28"/>
    <w:rsid w:val="00496F27"/>
    <w:rsid w:val="00497B33"/>
    <w:rsid w:val="00497CFC"/>
    <w:rsid w:val="004A0995"/>
    <w:rsid w:val="004A1472"/>
    <w:rsid w:val="004A1925"/>
    <w:rsid w:val="004A1FA8"/>
    <w:rsid w:val="004A21A9"/>
    <w:rsid w:val="004A2897"/>
    <w:rsid w:val="004A3037"/>
    <w:rsid w:val="004A33E3"/>
    <w:rsid w:val="004A3615"/>
    <w:rsid w:val="004A3ECF"/>
    <w:rsid w:val="004A4302"/>
    <w:rsid w:val="004A6248"/>
    <w:rsid w:val="004A6F9B"/>
    <w:rsid w:val="004A7BCC"/>
    <w:rsid w:val="004A7EB9"/>
    <w:rsid w:val="004B03F2"/>
    <w:rsid w:val="004B0A63"/>
    <w:rsid w:val="004B0E35"/>
    <w:rsid w:val="004B25B1"/>
    <w:rsid w:val="004B33AF"/>
    <w:rsid w:val="004B34FB"/>
    <w:rsid w:val="004B5577"/>
    <w:rsid w:val="004C0F77"/>
    <w:rsid w:val="004C1539"/>
    <w:rsid w:val="004C15C9"/>
    <w:rsid w:val="004C1D37"/>
    <w:rsid w:val="004C2708"/>
    <w:rsid w:val="004C298D"/>
    <w:rsid w:val="004C2DD6"/>
    <w:rsid w:val="004C2EC4"/>
    <w:rsid w:val="004C3798"/>
    <w:rsid w:val="004C3A2A"/>
    <w:rsid w:val="004C3F4B"/>
    <w:rsid w:val="004C4522"/>
    <w:rsid w:val="004C58A3"/>
    <w:rsid w:val="004C5D43"/>
    <w:rsid w:val="004C6111"/>
    <w:rsid w:val="004C6E73"/>
    <w:rsid w:val="004C73CF"/>
    <w:rsid w:val="004C74E4"/>
    <w:rsid w:val="004D02BD"/>
    <w:rsid w:val="004D0663"/>
    <w:rsid w:val="004D3E72"/>
    <w:rsid w:val="004D4843"/>
    <w:rsid w:val="004D4DD9"/>
    <w:rsid w:val="004D4F64"/>
    <w:rsid w:val="004D557A"/>
    <w:rsid w:val="004D59AD"/>
    <w:rsid w:val="004D5E61"/>
    <w:rsid w:val="004D5FCA"/>
    <w:rsid w:val="004D6073"/>
    <w:rsid w:val="004D6418"/>
    <w:rsid w:val="004D6604"/>
    <w:rsid w:val="004D687D"/>
    <w:rsid w:val="004E0BB0"/>
    <w:rsid w:val="004E1600"/>
    <w:rsid w:val="004E2FE9"/>
    <w:rsid w:val="004E326F"/>
    <w:rsid w:val="004E3AA8"/>
    <w:rsid w:val="004E4921"/>
    <w:rsid w:val="004E4BC9"/>
    <w:rsid w:val="004E4E9A"/>
    <w:rsid w:val="004E5B4A"/>
    <w:rsid w:val="004E6BC7"/>
    <w:rsid w:val="004F065D"/>
    <w:rsid w:val="004F2534"/>
    <w:rsid w:val="004F32A4"/>
    <w:rsid w:val="004F3792"/>
    <w:rsid w:val="004F3BAD"/>
    <w:rsid w:val="004F6404"/>
    <w:rsid w:val="0050034E"/>
    <w:rsid w:val="005006A6"/>
    <w:rsid w:val="0050179E"/>
    <w:rsid w:val="0050304B"/>
    <w:rsid w:val="00503F63"/>
    <w:rsid w:val="0050456A"/>
    <w:rsid w:val="00505460"/>
    <w:rsid w:val="00506602"/>
    <w:rsid w:val="00507A03"/>
    <w:rsid w:val="0051208A"/>
    <w:rsid w:val="005126AA"/>
    <w:rsid w:val="0051386E"/>
    <w:rsid w:val="00513E18"/>
    <w:rsid w:val="005145A2"/>
    <w:rsid w:val="005152C1"/>
    <w:rsid w:val="0051531D"/>
    <w:rsid w:val="005166E5"/>
    <w:rsid w:val="0051748D"/>
    <w:rsid w:val="00522B22"/>
    <w:rsid w:val="00523C3C"/>
    <w:rsid w:val="0052504B"/>
    <w:rsid w:val="005305BD"/>
    <w:rsid w:val="00530653"/>
    <w:rsid w:val="00530AA9"/>
    <w:rsid w:val="0053111A"/>
    <w:rsid w:val="00531876"/>
    <w:rsid w:val="0053244F"/>
    <w:rsid w:val="0053323F"/>
    <w:rsid w:val="00533F1E"/>
    <w:rsid w:val="005342D2"/>
    <w:rsid w:val="00534DA9"/>
    <w:rsid w:val="00536148"/>
    <w:rsid w:val="005361FB"/>
    <w:rsid w:val="005369CB"/>
    <w:rsid w:val="00536AB7"/>
    <w:rsid w:val="00537C98"/>
    <w:rsid w:val="00540D4D"/>
    <w:rsid w:val="005424E5"/>
    <w:rsid w:val="00542E6B"/>
    <w:rsid w:val="00543A08"/>
    <w:rsid w:val="00544050"/>
    <w:rsid w:val="0054527A"/>
    <w:rsid w:val="0054700C"/>
    <w:rsid w:val="00550764"/>
    <w:rsid w:val="0055102C"/>
    <w:rsid w:val="00551F91"/>
    <w:rsid w:val="0055312C"/>
    <w:rsid w:val="00553603"/>
    <w:rsid w:val="00553A7C"/>
    <w:rsid w:val="00554357"/>
    <w:rsid w:val="0055493C"/>
    <w:rsid w:val="00554F1E"/>
    <w:rsid w:val="00555666"/>
    <w:rsid w:val="00555D38"/>
    <w:rsid w:val="005567A9"/>
    <w:rsid w:val="00556B82"/>
    <w:rsid w:val="00557892"/>
    <w:rsid w:val="00557A90"/>
    <w:rsid w:val="0056024C"/>
    <w:rsid w:val="005609C6"/>
    <w:rsid w:val="00562068"/>
    <w:rsid w:val="00562978"/>
    <w:rsid w:val="00563DC9"/>
    <w:rsid w:val="00564E17"/>
    <w:rsid w:val="005655C1"/>
    <w:rsid w:val="00565F22"/>
    <w:rsid w:val="00566193"/>
    <w:rsid w:val="00567701"/>
    <w:rsid w:val="00567ED8"/>
    <w:rsid w:val="005700ED"/>
    <w:rsid w:val="005704CE"/>
    <w:rsid w:val="0057205D"/>
    <w:rsid w:val="0057438C"/>
    <w:rsid w:val="00575860"/>
    <w:rsid w:val="00575CB9"/>
    <w:rsid w:val="00575E81"/>
    <w:rsid w:val="0057657A"/>
    <w:rsid w:val="00576CBC"/>
    <w:rsid w:val="005801AF"/>
    <w:rsid w:val="0058098B"/>
    <w:rsid w:val="00580A8B"/>
    <w:rsid w:val="00582BD9"/>
    <w:rsid w:val="0058335E"/>
    <w:rsid w:val="00584BA7"/>
    <w:rsid w:val="00585147"/>
    <w:rsid w:val="00585178"/>
    <w:rsid w:val="005852E5"/>
    <w:rsid w:val="00586277"/>
    <w:rsid w:val="00586F80"/>
    <w:rsid w:val="005872CF"/>
    <w:rsid w:val="00590473"/>
    <w:rsid w:val="0059115C"/>
    <w:rsid w:val="00591CF8"/>
    <w:rsid w:val="005920A5"/>
    <w:rsid w:val="00593B55"/>
    <w:rsid w:val="0059499E"/>
    <w:rsid w:val="00594B7F"/>
    <w:rsid w:val="00594B84"/>
    <w:rsid w:val="00594DE7"/>
    <w:rsid w:val="0059567C"/>
    <w:rsid w:val="005A03D8"/>
    <w:rsid w:val="005A0877"/>
    <w:rsid w:val="005A1065"/>
    <w:rsid w:val="005A1DAE"/>
    <w:rsid w:val="005A28EF"/>
    <w:rsid w:val="005A2C3C"/>
    <w:rsid w:val="005A3510"/>
    <w:rsid w:val="005A3B41"/>
    <w:rsid w:val="005A3C53"/>
    <w:rsid w:val="005A4029"/>
    <w:rsid w:val="005A5276"/>
    <w:rsid w:val="005A63E9"/>
    <w:rsid w:val="005A698E"/>
    <w:rsid w:val="005A6DF2"/>
    <w:rsid w:val="005B0137"/>
    <w:rsid w:val="005B12FE"/>
    <w:rsid w:val="005B1BE8"/>
    <w:rsid w:val="005B29AD"/>
    <w:rsid w:val="005B3386"/>
    <w:rsid w:val="005B40C1"/>
    <w:rsid w:val="005B48D4"/>
    <w:rsid w:val="005B48F7"/>
    <w:rsid w:val="005B5037"/>
    <w:rsid w:val="005B56A1"/>
    <w:rsid w:val="005B7B40"/>
    <w:rsid w:val="005C0163"/>
    <w:rsid w:val="005C01B2"/>
    <w:rsid w:val="005C02AD"/>
    <w:rsid w:val="005C105D"/>
    <w:rsid w:val="005C2CCF"/>
    <w:rsid w:val="005C4081"/>
    <w:rsid w:val="005C419E"/>
    <w:rsid w:val="005C5569"/>
    <w:rsid w:val="005C61FD"/>
    <w:rsid w:val="005D01F0"/>
    <w:rsid w:val="005D0205"/>
    <w:rsid w:val="005D043A"/>
    <w:rsid w:val="005D0DC1"/>
    <w:rsid w:val="005D1287"/>
    <w:rsid w:val="005D1646"/>
    <w:rsid w:val="005D25C1"/>
    <w:rsid w:val="005D3039"/>
    <w:rsid w:val="005D4298"/>
    <w:rsid w:val="005D458A"/>
    <w:rsid w:val="005D56EE"/>
    <w:rsid w:val="005D581A"/>
    <w:rsid w:val="005D5C9F"/>
    <w:rsid w:val="005D7504"/>
    <w:rsid w:val="005D76F3"/>
    <w:rsid w:val="005E094E"/>
    <w:rsid w:val="005E0BC5"/>
    <w:rsid w:val="005E1864"/>
    <w:rsid w:val="005E1ED8"/>
    <w:rsid w:val="005E1F48"/>
    <w:rsid w:val="005E2675"/>
    <w:rsid w:val="005E2FE2"/>
    <w:rsid w:val="005E3C77"/>
    <w:rsid w:val="005E4751"/>
    <w:rsid w:val="005E4A54"/>
    <w:rsid w:val="005E4F29"/>
    <w:rsid w:val="005E5399"/>
    <w:rsid w:val="005E549F"/>
    <w:rsid w:val="005E6578"/>
    <w:rsid w:val="005E71EF"/>
    <w:rsid w:val="005E7BE6"/>
    <w:rsid w:val="005F0DF3"/>
    <w:rsid w:val="005F2249"/>
    <w:rsid w:val="006009B3"/>
    <w:rsid w:val="00602F99"/>
    <w:rsid w:val="00603D4B"/>
    <w:rsid w:val="00603FCC"/>
    <w:rsid w:val="00604CD7"/>
    <w:rsid w:val="00605CD7"/>
    <w:rsid w:val="0060778E"/>
    <w:rsid w:val="00607F3D"/>
    <w:rsid w:val="00611D9C"/>
    <w:rsid w:val="00612B12"/>
    <w:rsid w:val="00616C5B"/>
    <w:rsid w:val="00616D67"/>
    <w:rsid w:val="00616D8B"/>
    <w:rsid w:val="006176F5"/>
    <w:rsid w:val="00620515"/>
    <w:rsid w:val="00624BE0"/>
    <w:rsid w:val="00625C2B"/>
    <w:rsid w:val="00627C88"/>
    <w:rsid w:val="00630166"/>
    <w:rsid w:val="00630D19"/>
    <w:rsid w:val="00630FBE"/>
    <w:rsid w:val="00632110"/>
    <w:rsid w:val="006341F9"/>
    <w:rsid w:val="0063454C"/>
    <w:rsid w:val="006351DA"/>
    <w:rsid w:val="006357DB"/>
    <w:rsid w:val="00637D72"/>
    <w:rsid w:val="0064013B"/>
    <w:rsid w:val="00640A54"/>
    <w:rsid w:val="006414F6"/>
    <w:rsid w:val="006423AF"/>
    <w:rsid w:val="006424A4"/>
    <w:rsid w:val="00643393"/>
    <w:rsid w:val="006437E1"/>
    <w:rsid w:val="00643BF7"/>
    <w:rsid w:val="006441A6"/>
    <w:rsid w:val="00644DE4"/>
    <w:rsid w:val="00644DFA"/>
    <w:rsid w:val="00644E83"/>
    <w:rsid w:val="0064500F"/>
    <w:rsid w:val="00645BFE"/>
    <w:rsid w:val="00647BB1"/>
    <w:rsid w:val="00647E04"/>
    <w:rsid w:val="00650238"/>
    <w:rsid w:val="006515F3"/>
    <w:rsid w:val="00652946"/>
    <w:rsid w:val="00652C0D"/>
    <w:rsid w:val="00653189"/>
    <w:rsid w:val="006536D9"/>
    <w:rsid w:val="006537F6"/>
    <w:rsid w:val="00653853"/>
    <w:rsid w:val="00654D00"/>
    <w:rsid w:val="00655550"/>
    <w:rsid w:val="00656DB5"/>
    <w:rsid w:val="00657347"/>
    <w:rsid w:val="0066004F"/>
    <w:rsid w:val="0066094C"/>
    <w:rsid w:val="00660A49"/>
    <w:rsid w:val="0066181D"/>
    <w:rsid w:val="0066280A"/>
    <w:rsid w:val="00662C80"/>
    <w:rsid w:val="00662F96"/>
    <w:rsid w:val="00663622"/>
    <w:rsid w:val="006656F6"/>
    <w:rsid w:val="00665A7A"/>
    <w:rsid w:val="00665D65"/>
    <w:rsid w:val="0066723C"/>
    <w:rsid w:val="006672A8"/>
    <w:rsid w:val="00670927"/>
    <w:rsid w:val="00670F88"/>
    <w:rsid w:val="00671DAE"/>
    <w:rsid w:val="006727B1"/>
    <w:rsid w:val="00672A82"/>
    <w:rsid w:val="00672C77"/>
    <w:rsid w:val="006739F3"/>
    <w:rsid w:val="00674A66"/>
    <w:rsid w:val="00675045"/>
    <w:rsid w:val="006756F6"/>
    <w:rsid w:val="0067593A"/>
    <w:rsid w:val="00676301"/>
    <w:rsid w:val="006767C7"/>
    <w:rsid w:val="006771B5"/>
    <w:rsid w:val="006807BF"/>
    <w:rsid w:val="00682422"/>
    <w:rsid w:val="006828C9"/>
    <w:rsid w:val="006829FC"/>
    <w:rsid w:val="006839EA"/>
    <w:rsid w:val="00683BA7"/>
    <w:rsid w:val="00684076"/>
    <w:rsid w:val="00684380"/>
    <w:rsid w:val="006844FC"/>
    <w:rsid w:val="006849D1"/>
    <w:rsid w:val="006860D5"/>
    <w:rsid w:val="00686618"/>
    <w:rsid w:val="006867CE"/>
    <w:rsid w:val="00686B70"/>
    <w:rsid w:val="00686D31"/>
    <w:rsid w:val="00686EEA"/>
    <w:rsid w:val="006871CA"/>
    <w:rsid w:val="00687946"/>
    <w:rsid w:val="00687C29"/>
    <w:rsid w:val="00687E79"/>
    <w:rsid w:val="006915AE"/>
    <w:rsid w:val="00691C08"/>
    <w:rsid w:val="00693EA4"/>
    <w:rsid w:val="00694291"/>
    <w:rsid w:val="00694604"/>
    <w:rsid w:val="0069525F"/>
    <w:rsid w:val="006956A4"/>
    <w:rsid w:val="006956E2"/>
    <w:rsid w:val="00696D1A"/>
    <w:rsid w:val="00696F3B"/>
    <w:rsid w:val="006A13AD"/>
    <w:rsid w:val="006A158E"/>
    <w:rsid w:val="006A1E82"/>
    <w:rsid w:val="006A1E84"/>
    <w:rsid w:val="006A1F51"/>
    <w:rsid w:val="006A2228"/>
    <w:rsid w:val="006A2255"/>
    <w:rsid w:val="006A2BBB"/>
    <w:rsid w:val="006A3B03"/>
    <w:rsid w:val="006A3EEC"/>
    <w:rsid w:val="006A456C"/>
    <w:rsid w:val="006A69B4"/>
    <w:rsid w:val="006A7387"/>
    <w:rsid w:val="006B01A7"/>
    <w:rsid w:val="006B06D8"/>
    <w:rsid w:val="006B0AD3"/>
    <w:rsid w:val="006B183B"/>
    <w:rsid w:val="006B1B22"/>
    <w:rsid w:val="006B2485"/>
    <w:rsid w:val="006B44D3"/>
    <w:rsid w:val="006B6241"/>
    <w:rsid w:val="006B63BE"/>
    <w:rsid w:val="006B67B9"/>
    <w:rsid w:val="006B68C1"/>
    <w:rsid w:val="006B6FC1"/>
    <w:rsid w:val="006B6FCF"/>
    <w:rsid w:val="006B7135"/>
    <w:rsid w:val="006C0615"/>
    <w:rsid w:val="006C0DDF"/>
    <w:rsid w:val="006C183B"/>
    <w:rsid w:val="006C2057"/>
    <w:rsid w:val="006C3AFB"/>
    <w:rsid w:val="006C3F4F"/>
    <w:rsid w:val="006C4CF4"/>
    <w:rsid w:val="006C637C"/>
    <w:rsid w:val="006C69E1"/>
    <w:rsid w:val="006C7077"/>
    <w:rsid w:val="006D0645"/>
    <w:rsid w:val="006D2EB2"/>
    <w:rsid w:val="006D5CE3"/>
    <w:rsid w:val="006D5F80"/>
    <w:rsid w:val="006D6441"/>
    <w:rsid w:val="006D7AC2"/>
    <w:rsid w:val="006E019B"/>
    <w:rsid w:val="006E0757"/>
    <w:rsid w:val="006E15AA"/>
    <w:rsid w:val="006E2FEC"/>
    <w:rsid w:val="006E355A"/>
    <w:rsid w:val="006E3AD1"/>
    <w:rsid w:val="006E3AD6"/>
    <w:rsid w:val="006E3B5A"/>
    <w:rsid w:val="006E429D"/>
    <w:rsid w:val="006E477D"/>
    <w:rsid w:val="006E47B2"/>
    <w:rsid w:val="006E48DE"/>
    <w:rsid w:val="006E57DF"/>
    <w:rsid w:val="006E5A47"/>
    <w:rsid w:val="006E7602"/>
    <w:rsid w:val="006F012D"/>
    <w:rsid w:val="006F0289"/>
    <w:rsid w:val="006F0F10"/>
    <w:rsid w:val="006F1152"/>
    <w:rsid w:val="006F2E00"/>
    <w:rsid w:val="006F3110"/>
    <w:rsid w:val="006F351E"/>
    <w:rsid w:val="006F374F"/>
    <w:rsid w:val="006F4177"/>
    <w:rsid w:val="006F49F7"/>
    <w:rsid w:val="006F4A31"/>
    <w:rsid w:val="006F5082"/>
    <w:rsid w:val="006F5403"/>
    <w:rsid w:val="006F6297"/>
    <w:rsid w:val="006F721C"/>
    <w:rsid w:val="00700F22"/>
    <w:rsid w:val="0070253F"/>
    <w:rsid w:val="00702AE2"/>
    <w:rsid w:val="007043D6"/>
    <w:rsid w:val="0070468E"/>
    <w:rsid w:val="00705761"/>
    <w:rsid w:val="007068BE"/>
    <w:rsid w:val="00707658"/>
    <w:rsid w:val="00707A0F"/>
    <w:rsid w:val="00710A44"/>
    <w:rsid w:val="007114A8"/>
    <w:rsid w:val="00712158"/>
    <w:rsid w:val="007127AF"/>
    <w:rsid w:val="00713096"/>
    <w:rsid w:val="007135A5"/>
    <w:rsid w:val="00713A74"/>
    <w:rsid w:val="007144DF"/>
    <w:rsid w:val="0071542C"/>
    <w:rsid w:val="00715860"/>
    <w:rsid w:val="00715C68"/>
    <w:rsid w:val="007170F7"/>
    <w:rsid w:val="00717702"/>
    <w:rsid w:val="00717925"/>
    <w:rsid w:val="00717B9E"/>
    <w:rsid w:val="00720A30"/>
    <w:rsid w:val="007217D8"/>
    <w:rsid w:val="00721C4F"/>
    <w:rsid w:val="00723417"/>
    <w:rsid w:val="007240B0"/>
    <w:rsid w:val="007257DD"/>
    <w:rsid w:val="00725858"/>
    <w:rsid w:val="00725AE1"/>
    <w:rsid w:val="007263F4"/>
    <w:rsid w:val="00726C43"/>
    <w:rsid w:val="007278CD"/>
    <w:rsid w:val="00727A3F"/>
    <w:rsid w:val="007302BF"/>
    <w:rsid w:val="00730D2C"/>
    <w:rsid w:val="00730E0A"/>
    <w:rsid w:val="00734C1C"/>
    <w:rsid w:val="0073540F"/>
    <w:rsid w:val="0073607B"/>
    <w:rsid w:val="00737191"/>
    <w:rsid w:val="0073731D"/>
    <w:rsid w:val="0073796A"/>
    <w:rsid w:val="00740849"/>
    <w:rsid w:val="0074192F"/>
    <w:rsid w:val="00741D97"/>
    <w:rsid w:val="00741DDC"/>
    <w:rsid w:val="00742680"/>
    <w:rsid w:val="00744141"/>
    <w:rsid w:val="007447CC"/>
    <w:rsid w:val="007449C7"/>
    <w:rsid w:val="007460B9"/>
    <w:rsid w:val="0074618E"/>
    <w:rsid w:val="00746A70"/>
    <w:rsid w:val="00747817"/>
    <w:rsid w:val="00747D43"/>
    <w:rsid w:val="00750128"/>
    <w:rsid w:val="00750634"/>
    <w:rsid w:val="00750ACD"/>
    <w:rsid w:val="00751021"/>
    <w:rsid w:val="00751C6A"/>
    <w:rsid w:val="00752582"/>
    <w:rsid w:val="007530EE"/>
    <w:rsid w:val="0075318E"/>
    <w:rsid w:val="007532AF"/>
    <w:rsid w:val="007536AB"/>
    <w:rsid w:val="0075391B"/>
    <w:rsid w:val="007542DA"/>
    <w:rsid w:val="00754A14"/>
    <w:rsid w:val="00754D0C"/>
    <w:rsid w:val="00755491"/>
    <w:rsid w:val="007561AB"/>
    <w:rsid w:val="00756C7F"/>
    <w:rsid w:val="007575FD"/>
    <w:rsid w:val="00760394"/>
    <w:rsid w:val="00761214"/>
    <w:rsid w:val="00762487"/>
    <w:rsid w:val="00762A29"/>
    <w:rsid w:val="007637D6"/>
    <w:rsid w:val="007641B3"/>
    <w:rsid w:val="007646E6"/>
    <w:rsid w:val="00765A7D"/>
    <w:rsid w:val="00765C0D"/>
    <w:rsid w:val="00766549"/>
    <w:rsid w:val="00766AA3"/>
    <w:rsid w:val="0077132C"/>
    <w:rsid w:val="00771812"/>
    <w:rsid w:val="007718B8"/>
    <w:rsid w:val="007726C0"/>
    <w:rsid w:val="00773B98"/>
    <w:rsid w:val="00774B83"/>
    <w:rsid w:val="007751CA"/>
    <w:rsid w:val="00775F5A"/>
    <w:rsid w:val="00776BD9"/>
    <w:rsid w:val="007774B5"/>
    <w:rsid w:val="0078240F"/>
    <w:rsid w:val="00782AD1"/>
    <w:rsid w:val="00782CB9"/>
    <w:rsid w:val="0078506E"/>
    <w:rsid w:val="0078543E"/>
    <w:rsid w:val="0078556C"/>
    <w:rsid w:val="00785E00"/>
    <w:rsid w:val="0078605C"/>
    <w:rsid w:val="007860BE"/>
    <w:rsid w:val="007903C0"/>
    <w:rsid w:val="007912D6"/>
    <w:rsid w:val="00792891"/>
    <w:rsid w:val="00792CE2"/>
    <w:rsid w:val="00792FC8"/>
    <w:rsid w:val="0079327E"/>
    <w:rsid w:val="007958AD"/>
    <w:rsid w:val="00795971"/>
    <w:rsid w:val="00795A30"/>
    <w:rsid w:val="0079600B"/>
    <w:rsid w:val="00796E41"/>
    <w:rsid w:val="007976E4"/>
    <w:rsid w:val="007A03A5"/>
    <w:rsid w:val="007A16C7"/>
    <w:rsid w:val="007A1A98"/>
    <w:rsid w:val="007A2333"/>
    <w:rsid w:val="007A2D40"/>
    <w:rsid w:val="007A3F94"/>
    <w:rsid w:val="007A663E"/>
    <w:rsid w:val="007A6864"/>
    <w:rsid w:val="007A69FD"/>
    <w:rsid w:val="007A7B5A"/>
    <w:rsid w:val="007B0655"/>
    <w:rsid w:val="007B2291"/>
    <w:rsid w:val="007B2619"/>
    <w:rsid w:val="007B38F6"/>
    <w:rsid w:val="007B41F6"/>
    <w:rsid w:val="007B5688"/>
    <w:rsid w:val="007B5696"/>
    <w:rsid w:val="007B6038"/>
    <w:rsid w:val="007B60CD"/>
    <w:rsid w:val="007B6FCA"/>
    <w:rsid w:val="007B77B4"/>
    <w:rsid w:val="007C071B"/>
    <w:rsid w:val="007C0AF6"/>
    <w:rsid w:val="007C0F3B"/>
    <w:rsid w:val="007C31A4"/>
    <w:rsid w:val="007C32D9"/>
    <w:rsid w:val="007C4463"/>
    <w:rsid w:val="007C4AB9"/>
    <w:rsid w:val="007C576C"/>
    <w:rsid w:val="007C5D2C"/>
    <w:rsid w:val="007C6F25"/>
    <w:rsid w:val="007D0584"/>
    <w:rsid w:val="007D1404"/>
    <w:rsid w:val="007D2138"/>
    <w:rsid w:val="007D26EB"/>
    <w:rsid w:val="007D281A"/>
    <w:rsid w:val="007D3297"/>
    <w:rsid w:val="007D4905"/>
    <w:rsid w:val="007D671D"/>
    <w:rsid w:val="007D6E7B"/>
    <w:rsid w:val="007D7A54"/>
    <w:rsid w:val="007D7C41"/>
    <w:rsid w:val="007E09D8"/>
    <w:rsid w:val="007E0A6E"/>
    <w:rsid w:val="007E16F4"/>
    <w:rsid w:val="007E3C56"/>
    <w:rsid w:val="007E471B"/>
    <w:rsid w:val="007E4E5F"/>
    <w:rsid w:val="007E51EF"/>
    <w:rsid w:val="007E5307"/>
    <w:rsid w:val="007E5B74"/>
    <w:rsid w:val="007E609A"/>
    <w:rsid w:val="007E69E4"/>
    <w:rsid w:val="007E6A4F"/>
    <w:rsid w:val="007F12FF"/>
    <w:rsid w:val="007F1648"/>
    <w:rsid w:val="007F1C94"/>
    <w:rsid w:val="007F23EC"/>
    <w:rsid w:val="007F331D"/>
    <w:rsid w:val="007F3F71"/>
    <w:rsid w:val="007F463D"/>
    <w:rsid w:val="007F4977"/>
    <w:rsid w:val="007F4D66"/>
    <w:rsid w:val="007F5ED5"/>
    <w:rsid w:val="007F638D"/>
    <w:rsid w:val="007F6EDF"/>
    <w:rsid w:val="007F7667"/>
    <w:rsid w:val="0080014E"/>
    <w:rsid w:val="00800973"/>
    <w:rsid w:val="00800BAB"/>
    <w:rsid w:val="00800E83"/>
    <w:rsid w:val="00801B41"/>
    <w:rsid w:val="00802987"/>
    <w:rsid w:val="00802B0D"/>
    <w:rsid w:val="008068A0"/>
    <w:rsid w:val="00806C66"/>
    <w:rsid w:val="0080744A"/>
    <w:rsid w:val="0081027B"/>
    <w:rsid w:val="008125FF"/>
    <w:rsid w:val="008148DD"/>
    <w:rsid w:val="00814E20"/>
    <w:rsid w:val="00816134"/>
    <w:rsid w:val="008161FD"/>
    <w:rsid w:val="0081657B"/>
    <w:rsid w:val="00816AEC"/>
    <w:rsid w:val="00816DC4"/>
    <w:rsid w:val="008171E4"/>
    <w:rsid w:val="0081756C"/>
    <w:rsid w:val="0081780C"/>
    <w:rsid w:val="008203D8"/>
    <w:rsid w:val="00821918"/>
    <w:rsid w:val="00821F96"/>
    <w:rsid w:val="008228BB"/>
    <w:rsid w:val="00823771"/>
    <w:rsid w:val="00823FBA"/>
    <w:rsid w:val="00826555"/>
    <w:rsid w:val="00826A3F"/>
    <w:rsid w:val="00830730"/>
    <w:rsid w:val="00830C63"/>
    <w:rsid w:val="00830D4B"/>
    <w:rsid w:val="00830F18"/>
    <w:rsid w:val="008314A8"/>
    <w:rsid w:val="00831F73"/>
    <w:rsid w:val="0083284A"/>
    <w:rsid w:val="0083440F"/>
    <w:rsid w:val="0083443C"/>
    <w:rsid w:val="008378C0"/>
    <w:rsid w:val="00837BFE"/>
    <w:rsid w:val="00840ADA"/>
    <w:rsid w:val="008413C1"/>
    <w:rsid w:val="00842275"/>
    <w:rsid w:val="008426BE"/>
    <w:rsid w:val="0084274C"/>
    <w:rsid w:val="008431B2"/>
    <w:rsid w:val="0084324F"/>
    <w:rsid w:val="0084356B"/>
    <w:rsid w:val="008441B2"/>
    <w:rsid w:val="008441E1"/>
    <w:rsid w:val="00844509"/>
    <w:rsid w:val="00845C69"/>
    <w:rsid w:val="0084652D"/>
    <w:rsid w:val="008470E6"/>
    <w:rsid w:val="00847E42"/>
    <w:rsid w:val="008502BD"/>
    <w:rsid w:val="0085103C"/>
    <w:rsid w:val="00851783"/>
    <w:rsid w:val="00851872"/>
    <w:rsid w:val="008532E7"/>
    <w:rsid w:val="0085341D"/>
    <w:rsid w:val="008536B0"/>
    <w:rsid w:val="008546FE"/>
    <w:rsid w:val="00854B57"/>
    <w:rsid w:val="00854E30"/>
    <w:rsid w:val="0085511B"/>
    <w:rsid w:val="008556F0"/>
    <w:rsid w:val="00857271"/>
    <w:rsid w:val="00857566"/>
    <w:rsid w:val="00860C1F"/>
    <w:rsid w:val="00860C30"/>
    <w:rsid w:val="00861313"/>
    <w:rsid w:val="0086271F"/>
    <w:rsid w:val="00862961"/>
    <w:rsid w:val="00862B5E"/>
    <w:rsid w:val="008637E7"/>
    <w:rsid w:val="00863BF0"/>
    <w:rsid w:val="00864B0F"/>
    <w:rsid w:val="00865D77"/>
    <w:rsid w:val="0086614B"/>
    <w:rsid w:val="008663A5"/>
    <w:rsid w:val="008663D5"/>
    <w:rsid w:val="008666EF"/>
    <w:rsid w:val="008667D0"/>
    <w:rsid w:val="0086758B"/>
    <w:rsid w:val="00873918"/>
    <w:rsid w:val="00873A42"/>
    <w:rsid w:val="00874126"/>
    <w:rsid w:val="008741AD"/>
    <w:rsid w:val="00876EC8"/>
    <w:rsid w:val="008777AF"/>
    <w:rsid w:val="00881078"/>
    <w:rsid w:val="0088147B"/>
    <w:rsid w:val="00881ADA"/>
    <w:rsid w:val="00881FBA"/>
    <w:rsid w:val="00882240"/>
    <w:rsid w:val="008823B3"/>
    <w:rsid w:val="008824B6"/>
    <w:rsid w:val="00882EE4"/>
    <w:rsid w:val="00882FDC"/>
    <w:rsid w:val="0088391C"/>
    <w:rsid w:val="00883C3F"/>
    <w:rsid w:val="00884E1D"/>
    <w:rsid w:val="00885442"/>
    <w:rsid w:val="0088581C"/>
    <w:rsid w:val="00885F30"/>
    <w:rsid w:val="008861FB"/>
    <w:rsid w:val="00890CF6"/>
    <w:rsid w:val="00890EED"/>
    <w:rsid w:val="008910B5"/>
    <w:rsid w:val="00891250"/>
    <w:rsid w:val="00891270"/>
    <w:rsid w:val="00891C15"/>
    <w:rsid w:val="00893A2A"/>
    <w:rsid w:val="0089659C"/>
    <w:rsid w:val="008A128D"/>
    <w:rsid w:val="008A13C1"/>
    <w:rsid w:val="008A1C12"/>
    <w:rsid w:val="008A2443"/>
    <w:rsid w:val="008A2735"/>
    <w:rsid w:val="008A4310"/>
    <w:rsid w:val="008A5A72"/>
    <w:rsid w:val="008A6EE4"/>
    <w:rsid w:val="008B1758"/>
    <w:rsid w:val="008B24AA"/>
    <w:rsid w:val="008B2D1E"/>
    <w:rsid w:val="008B3212"/>
    <w:rsid w:val="008B3D5B"/>
    <w:rsid w:val="008B46AC"/>
    <w:rsid w:val="008B49BC"/>
    <w:rsid w:val="008B49C9"/>
    <w:rsid w:val="008B4E0C"/>
    <w:rsid w:val="008B6215"/>
    <w:rsid w:val="008B6539"/>
    <w:rsid w:val="008B7ADA"/>
    <w:rsid w:val="008C0E9B"/>
    <w:rsid w:val="008C1330"/>
    <w:rsid w:val="008C18BB"/>
    <w:rsid w:val="008C2D57"/>
    <w:rsid w:val="008C2DD5"/>
    <w:rsid w:val="008C3D4C"/>
    <w:rsid w:val="008C3D51"/>
    <w:rsid w:val="008C510D"/>
    <w:rsid w:val="008C543A"/>
    <w:rsid w:val="008C5693"/>
    <w:rsid w:val="008C58E6"/>
    <w:rsid w:val="008C5986"/>
    <w:rsid w:val="008C6A08"/>
    <w:rsid w:val="008D02AE"/>
    <w:rsid w:val="008D05CF"/>
    <w:rsid w:val="008D0660"/>
    <w:rsid w:val="008D0663"/>
    <w:rsid w:val="008D095F"/>
    <w:rsid w:val="008D1087"/>
    <w:rsid w:val="008D10DC"/>
    <w:rsid w:val="008D1FE4"/>
    <w:rsid w:val="008D350D"/>
    <w:rsid w:val="008D4F6D"/>
    <w:rsid w:val="008D5D24"/>
    <w:rsid w:val="008D685B"/>
    <w:rsid w:val="008D692F"/>
    <w:rsid w:val="008D6B61"/>
    <w:rsid w:val="008D6D1B"/>
    <w:rsid w:val="008D780E"/>
    <w:rsid w:val="008E1409"/>
    <w:rsid w:val="008E16D0"/>
    <w:rsid w:val="008E1B5E"/>
    <w:rsid w:val="008E1E83"/>
    <w:rsid w:val="008E2028"/>
    <w:rsid w:val="008E21F4"/>
    <w:rsid w:val="008E357D"/>
    <w:rsid w:val="008E359C"/>
    <w:rsid w:val="008E3CCD"/>
    <w:rsid w:val="008E41F9"/>
    <w:rsid w:val="008E4A8A"/>
    <w:rsid w:val="008E4B89"/>
    <w:rsid w:val="008E7219"/>
    <w:rsid w:val="008E74D5"/>
    <w:rsid w:val="008F00B6"/>
    <w:rsid w:val="008F1D91"/>
    <w:rsid w:val="008F1E4D"/>
    <w:rsid w:val="008F2D02"/>
    <w:rsid w:val="008F304F"/>
    <w:rsid w:val="008F3256"/>
    <w:rsid w:val="008F3369"/>
    <w:rsid w:val="008F34F5"/>
    <w:rsid w:val="008F4B8E"/>
    <w:rsid w:val="008F4D74"/>
    <w:rsid w:val="008F5996"/>
    <w:rsid w:val="008F5D4C"/>
    <w:rsid w:val="008F687F"/>
    <w:rsid w:val="008F690C"/>
    <w:rsid w:val="008F77E9"/>
    <w:rsid w:val="009009EF"/>
    <w:rsid w:val="0090186E"/>
    <w:rsid w:val="00902C21"/>
    <w:rsid w:val="00903596"/>
    <w:rsid w:val="009048B1"/>
    <w:rsid w:val="00904965"/>
    <w:rsid w:val="00904A03"/>
    <w:rsid w:val="00904B6A"/>
    <w:rsid w:val="0090598E"/>
    <w:rsid w:val="00905F03"/>
    <w:rsid w:val="009077CA"/>
    <w:rsid w:val="009113DC"/>
    <w:rsid w:val="0091143C"/>
    <w:rsid w:val="009117E5"/>
    <w:rsid w:val="00911B08"/>
    <w:rsid w:val="00911DBD"/>
    <w:rsid w:val="00911EAE"/>
    <w:rsid w:val="009124A6"/>
    <w:rsid w:val="00912D1B"/>
    <w:rsid w:val="00915763"/>
    <w:rsid w:val="00915D85"/>
    <w:rsid w:val="00916F94"/>
    <w:rsid w:val="009202BB"/>
    <w:rsid w:val="00921D8D"/>
    <w:rsid w:val="009227C2"/>
    <w:rsid w:val="009229BA"/>
    <w:rsid w:val="009258E2"/>
    <w:rsid w:val="00925A3D"/>
    <w:rsid w:val="00925A69"/>
    <w:rsid w:val="00925F1C"/>
    <w:rsid w:val="00926406"/>
    <w:rsid w:val="00926F0B"/>
    <w:rsid w:val="00927B92"/>
    <w:rsid w:val="00927E1A"/>
    <w:rsid w:val="00930443"/>
    <w:rsid w:val="009311E0"/>
    <w:rsid w:val="0093123D"/>
    <w:rsid w:val="00933FB4"/>
    <w:rsid w:val="009343F1"/>
    <w:rsid w:val="00934E54"/>
    <w:rsid w:val="00935223"/>
    <w:rsid w:val="00936443"/>
    <w:rsid w:val="00937D59"/>
    <w:rsid w:val="009408EA"/>
    <w:rsid w:val="00941ECC"/>
    <w:rsid w:val="00942A54"/>
    <w:rsid w:val="00942BD0"/>
    <w:rsid w:val="009431F3"/>
    <w:rsid w:val="00943C16"/>
    <w:rsid w:val="00943CEB"/>
    <w:rsid w:val="00944218"/>
    <w:rsid w:val="00944AF2"/>
    <w:rsid w:val="00944F3D"/>
    <w:rsid w:val="00945965"/>
    <w:rsid w:val="00946A7F"/>
    <w:rsid w:val="00946B1E"/>
    <w:rsid w:val="009472DE"/>
    <w:rsid w:val="00947E0D"/>
    <w:rsid w:val="00950059"/>
    <w:rsid w:val="00950E57"/>
    <w:rsid w:val="0095200B"/>
    <w:rsid w:val="009536C8"/>
    <w:rsid w:val="00956147"/>
    <w:rsid w:val="0095643C"/>
    <w:rsid w:val="0095787C"/>
    <w:rsid w:val="009579CF"/>
    <w:rsid w:val="00957E52"/>
    <w:rsid w:val="00960688"/>
    <w:rsid w:val="00960E04"/>
    <w:rsid w:val="00960FCA"/>
    <w:rsid w:val="009614EA"/>
    <w:rsid w:val="00961D52"/>
    <w:rsid w:val="00961F11"/>
    <w:rsid w:val="00962F0C"/>
    <w:rsid w:val="00963CD9"/>
    <w:rsid w:val="00964F6B"/>
    <w:rsid w:val="00966DD1"/>
    <w:rsid w:val="009672FF"/>
    <w:rsid w:val="009701D4"/>
    <w:rsid w:val="00970A99"/>
    <w:rsid w:val="00970FDA"/>
    <w:rsid w:val="00971165"/>
    <w:rsid w:val="0097490B"/>
    <w:rsid w:val="00974A13"/>
    <w:rsid w:val="00975C7C"/>
    <w:rsid w:val="009762F4"/>
    <w:rsid w:val="0097694C"/>
    <w:rsid w:val="00977804"/>
    <w:rsid w:val="00977C17"/>
    <w:rsid w:val="00977DFB"/>
    <w:rsid w:val="00980594"/>
    <w:rsid w:val="00981D9A"/>
    <w:rsid w:val="009822BC"/>
    <w:rsid w:val="0098401A"/>
    <w:rsid w:val="00984639"/>
    <w:rsid w:val="00984E30"/>
    <w:rsid w:val="00984FE2"/>
    <w:rsid w:val="009853A4"/>
    <w:rsid w:val="009853E3"/>
    <w:rsid w:val="00986E10"/>
    <w:rsid w:val="00990B1F"/>
    <w:rsid w:val="00990CA5"/>
    <w:rsid w:val="009916AE"/>
    <w:rsid w:val="009923BA"/>
    <w:rsid w:val="009925CC"/>
    <w:rsid w:val="009925EA"/>
    <w:rsid w:val="0099285A"/>
    <w:rsid w:val="00992BD2"/>
    <w:rsid w:val="00992FD1"/>
    <w:rsid w:val="009930D0"/>
    <w:rsid w:val="0099380F"/>
    <w:rsid w:val="00993C7B"/>
    <w:rsid w:val="009948BA"/>
    <w:rsid w:val="00995215"/>
    <w:rsid w:val="00997054"/>
    <w:rsid w:val="00997470"/>
    <w:rsid w:val="009976D4"/>
    <w:rsid w:val="009A2448"/>
    <w:rsid w:val="009A2AC4"/>
    <w:rsid w:val="009A2BAF"/>
    <w:rsid w:val="009A4913"/>
    <w:rsid w:val="009A51CF"/>
    <w:rsid w:val="009A5AF7"/>
    <w:rsid w:val="009A755E"/>
    <w:rsid w:val="009B0200"/>
    <w:rsid w:val="009B0D2E"/>
    <w:rsid w:val="009B0D72"/>
    <w:rsid w:val="009B1DA9"/>
    <w:rsid w:val="009B29A5"/>
    <w:rsid w:val="009B2D15"/>
    <w:rsid w:val="009B39C5"/>
    <w:rsid w:val="009B4B49"/>
    <w:rsid w:val="009B4DC3"/>
    <w:rsid w:val="009B5E68"/>
    <w:rsid w:val="009B753C"/>
    <w:rsid w:val="009B7D54"/>
    <w:rsid w:val="009B7D79"/>
    <w:rsid w:val="009C070F"/>
    <w:rsid w:val="009C0E65"/>
    <w:rsid w:val="009C0FDE"/>
    <w:rsid w:val="009C188E"/>
    <w:rsid w:val="009C1C7F"/>
    <w:rsid w:val="009C2190"/>
    <w:rsid w:val="009C2410"/>
    <w:rsid w:val="009C24C2"/>
    <w:rsid w:val="009C37F9"/>
    <w:rsid w:val="009C44E4"/>
    <w:rsid w:val="009C52D3"/>
    <w:rsid w:val="009C5DA7"/>
    <w:rsid w:val="009C62CC"/>
    <w:rsid w:val="009C6853"/>
    <w:rsid w:val="009C75C5"/>
    <w:rsid w:val="009D01BB"/>
    <w:rsid w:val="009D09CE"/>
    <w:rsid w:val="009D1574"/>
    <w:rsid w:val="009D2248"/>
    <w:rsid w:val="009D29B4"/>
    <w:rsid w:val="009D3317"/>
    <w:rsid w:val="009D34DC"/>
    <w:rsid w:val="009D58B7"/>
    <w:rsid w:val="009D5F30"/>
    <w:rsid w:val="009D647E"/>
    <w:rsid w:val="009D66DE"/>
    <w:rsid w:val="009D6941"/>
    <w:rsid w:val="009D70E8"/>
    <w:rsid w:val="009E09C1"/>
    <w:rsid w:val="009E1498"/>
    <w:rsid w:val="009E405D"/>
    <w:rsid w:val="009E4602"/>
    <w:rsid w:val="009E51D2"/>
    <w:rsid w:val="009E5802"/>
    <w:rsid w:val="009E627D"/>
    <w:rsid w:val="009E7493"/>
    <w:rsid w:val="009F0FE9"/>
    <w:rsid w:val="009F1079"/>
    <w:rsid w:val="009F1722"/>
    <w:rsid w:val="009F1EEC"/>
    <w:rsid w:val="009F293A"/>
    <w:rsid w:val="009F40D8"/>
    <w:rsid w:val="009F4AC8"/>
    <w:rsid w:val="009F4DCE"/>
    <w:rsid w:val="009F53C6"/>
    <w:rsid w:val="00A00022"/>
    <w:rsid w:val="00A01BC1"/>
    <w:rsid w:val="00A02ABB"/>
    <w:rsid w:val="00A02CEC"/>
    <w:rsid w:val="00A02D55"/>
    <w:rsid w:val="00A0383A"/>
    <w:rsid w:val="00A03A4A"/>
    <w:rsid w:val="00A03C5D"/>
    <w:rsid w:val="00A0428D"/>
    <w:rsid w:val="00A047AD"/>
    <w:rsid w:val="00A05DB0"/>
    <w:rsid w:val="00A05FD0"/>
    <w:rsid w:val="00A06280"/>
    <w:rsid w:val="00A064B9"/>
    <w:rsid w:val="00A06866"/>
    <w:rsid w:val="00A070E4"/>
    <w:rsid w:val="00A0745D"/>
    <w:rsid w:val="00A07BAA"/>
    <w:rsid w:val="00A106B8"/>
    <w:rsid w:val="00A11770"/>
    <w:rsid w:val="00A11AFA"/>
    <w:rsid w:val="00A11E1A"/>
    <w:rsid w:val="00A13350"/>
    <w:rsid w:val="00A133FE"/>
    <w:rsid w:val="00A14497"/>
    <w:rsid w:val="00A15D28"/>
    <w:rsid w:val="00A17390"/>
    <w:rsid w:val="00A179C7"/>
    <w:rsid w:val="00A17B1F"/>
    <w:rsid w:val="00A21394"/>
    <w:rsid w:val="00A21535"/>
    <w:rsid w:val="00A22337"/>
    <w:rsid w:val="00A22A78"/>
    <w:rsid w:val="00A22C01"/>
    <w:rsid w:val="00A23077"/>
    <w:rsid w:val="00A24CB9"/>
    <w:rsid w:val="00A25FEB"/>
    <w:rsid w:val="00A270E7"/>
    <w:rsid w:val="00A300CC"/>
    <w:rsid w:val="00A30FBD"/>
    <w:rsid w:val="00A31386"/>
    <w:rsid w:val="00A33F7A"/>
    <w:rsid w:val="00A34CB8"/>
    <w:rsid w:val="00A34D15"/>
    <w:rsid w:val="00A35076"/>
    <w:rsid w:val="00A35AE6"/>
    <w:rsid w:val="00A367DE"/>
    <w:rsid w:val="00A40D7B"/>
    <w:rsid w:val="00A42B8C"/>
    <w:rsid w:val="00A42C12"/>
    <w:rsid w:val="00A4375C"/>
    <w:rsid w:val="00A43B2B"/>
    <w:rsid w:val="00A45FD6"/>
    <w:rsid w:val="00A46A6C"/>
    <w:rsid w:val="00A47BE5"/>
    <w:rsid w:val="00A50089"/>
    <w:rsid w:val="00A50EE6"/>
    <w:rsid w:val="00A50F1B"/>
    <w:rsid w:val="00A52086"/>
    <w:rsid w:val="00A53A8D"/>
    <w:rsid w:val="00A53D36"/>
    <w:rsid w:val="00A55B87"/>
    <w:rsid w:val="00A56752"/>
    <w:rsid w:val="00A573A8"/>
    <w:rsid w:val="00A600FA"/>
    <w:rsid w:val="00A606E9"/>
    <w:rsid w:val="00A6085A"/>
    <w:rsid w:val="00A60E5D"/>
    <w:rsid w:val="00A62A79"/>
    <w:rsid w:val="00A64295"/>
    <w:rsid w:val="00A65000"/>
    <w:rsid w:val="00A66A86"/>
    <w:rsid w:val="00A67065"/>
    <w:rsid w:val="00A6714E"/>
    <w:rsid w:val="00A70CFE"/>
    <w:rsid w:val="00A720D1"/>
    <w:rsid w:val="00A721F4"/>
    <w:rsid w:val="00A72F9F"/>
    <w:rsid w:val="00A7340D"/>
    <w:rsid w:val="00A7353C"/>
    <w:rsid w:val="00A738A0"/>
    <w:rsid w:val="00A73A85"/>
    <w:rsid w:val="00A73F6D"/>
    <w:rsid w:val="00A75384"/>
    <w:rsid w:val="00A76054"/>
    <w:rsid w:val="00A76CA3"/>
    <w:rsid w:val="00A772B6"/>
    <w:rsid w:val="00A80141"/>
    <w:rsid w:val="00A815C9"/>
    <w:rsid w:val="00A81EF7"/>
    <w:rsid w:val="00A82312"/>
    <w:rsid w:val="00A826C8"/>
    <w:rsid w:val="00A83DCD"/>
    <w:rsid w:val="00A843BB"/>
    <w:rsid w:val="00A84AB0"/>
    <w:rsid w:val="00A84C63"/>
    <w:rsid w:val="00A84E01"/>
    <w:rsid w:val="00A860D1"/>
    <w:rsid w:val="00A91A34"/>
    <w:rsid w:val="00A91D3C"/>
    <w:rsid w:val="00A92C17"/>
    <w:rsid w:val="00A94093"/>
    <w:rsid w:val="00A94E49"/>
    <w:rsid w:val="00A972F3"/>
    <w:rsid w:val="00A97351"/>
    <w:rsid w:val="00A97A57"/>
    <w:rsid w:val="00A97D67"/>
    <w:rsid w:val="00AA0232"/>
    <w:rsid w:val="00AA2052"/>
    <w:rsid w:val="00AA221B"/>
    <w:rsid w:val="00AA2562"/>
    <w:rsid w:val="00AA449B"/>
    <w:rsid w:val="00AA681B"/>
    <w:rsid w:val="00AA71F4"/>
    <w:rsid w:val="00AB1127"/>
    <w:rsid w:val="00AB17FF"/>
    <w:rsid w:val="00AB1860"/>
    <w:rsid w:val="00AB19AF"/>
    <w:rsid w:val="00AB1BAE"/>
    <w:rsid w:val="00AB1C5C"/>
    <w:rsid w:val="00AB1F90"/>
    <w:rsid w:val="00AB554B"/>
    <w:rsid w:val="00AB601A"/>
    <w:rsid w:val="00AB62C1"/>
    <w:rsid w:val="00AB6D60"/>
    <w:rsid w:val="00AB707A"/>
    <w:rsid w:val="00AC1122"/>
    <w:rsid w:val="00AC2470"/>
    <w:rsid w:val="00AC24EA"/>
    <w:rsid w:val="00AC453A"/>
    <w:rsid w:val="00AC6FE1"/>
    <w:rsid w:val="00AC718E"/>
    <w:rsid w:val="00AC78AD"/>
    <w:rsid w:val="00AD01E7"/>
    <w:rsid w:val="00AD08B0"/>
    <w:rsid w:val="00AD0A16"/>
    <w:rsid w:val="00AD13A3"/>
    <w:rsid w:val="00AD13BE"/>
    <w:rsid w:val="00AD19EA"/>
    <w:rsid w:val="00AD26F7"/>
    <w:rsid w:val="00AD40F4"/>
    <w:rsid w:val="00AD565F"/>
    <w:rsid w:val="00AD5ED0"/>
    <w:rsid w:val="00AD6308"/>
    <w:rsid w:val="00AD6577"/>
    <w:rsid w:val="00AD6E68"/>
    <w:rsid w:val="00AD7E96"/>
    <w:rsid w:val="00AD7ECB"/>
    <w:rsid w:val="00AE15CF"/>
    <w:rsid w:val="00AE2176"/>
    <w:rsid w:val="00AE3138"/>
    <w:rsid w:val="00AE46E3"/>
    <w:rsid w:val="00AE4F4E"/>
    <w:rsid w:val="00AE5F4B"/>
    <w:rsid w:val="00AE6C34"/>
    <w:rsid w:val="00AE6F95"/>
    <w:rsid w:val="00AE735F"/>
    <w:rsid w:val="00AE7BD2"/>
    <w:rsid w:val="00AF1AB2"/>
    <w:rsid w:val="00AF1B33"/>
    <w:rsid w:val="00AF1BF2"/>
    <w:rsid w:val="00AF1D02"/>
    <w:rsid w:val="00AF445A"/>
    <w:rsid w:val="00AF4683"/>
    <w:rsid w:val="00AF5C22"/>
    <w:rsid w:val="00AF6CEB"/>
    <w:rsid w:val="00AF6F1F"/>
    <w:rsid w:val="00AF7760"/>
    <w:rsid w:val="00B002FB"/>
    <w:rsid w:val="00B01A98"/>
    <w:rsid w:val="00B031B5"/>
    <w:rsid w:val="00B031C5"/>
    <w:rsid w:val="00B03430"/>
    <w:rsid w:val="00B03698"/>
    <w:rsid w:val="00B04483"/>
    <w:rsid w:val="00B0460B"/>
    <w:rsid w:val="00B0577A"/>
    <w:rsid w:val="00B05D17"/>
    <w:rsid w:val="00B06A40"/>
    <w:rsid w:val="00B10E5C"/>
    <w:rsid w:val="00B110A1"/>
    <w:rsid w:val="00B132D2"/>
    <w:rsid w:val="00B13791"/>
    <w:rsid w:val="00B14146"/>
    <w:rsid w:val="00B1526C"/>
    <w:rsid w:val="00B15441"/>
    <w:rsid w:val="00B1570D"/>
    <w:rsid w:val="00B15D09"/>
    <w:rsid w:val="00B16587"/>
    <w:rsid w:val="00B219D5"/>
    <w:rsid w:val="00B22509"/>
    <w:rsid w:val="00B226A8"/>
    <w:rsid w:val="00B23050"/>
    <w:rsid w:val="00B23666"/>
    <w:rsid w:val="00B23DC2"/>
    <w:rsid w:val="00B23F33"/>
    <w:rsid w:val="00B26282"/>
    <w:rsid w:val="00B26380"/>
    <w:rsid w:val="00B26A85"/>
    <w:rsid w:val="00B27AAD"/>
    <w:rsid w:val="00B31945"/>
    <w:rsid w:val="00B322AC"/>
    <w:rsid w:val="00B32703"/>
    <w:rsid w:val="00B3493C"/>
    <w:rsid w:val="00B37474"/>
    <w:rsid w:val="00B37514"/>
    <w:rsid w:val="00B41D80"/>
    <w:rsid w:val="00B425C5"/>
    <w:rsid w:val="00B42D69"/>
    <w:rsid w:val="00B43361"/>
    <w:rsid w:val="00B44D94"/>
    <w:rsid w:val="00B4572E"/>
    <w:rsid w:val="00B46C24"/>
    <w:rsid w:val="00B50025"/>
    <w:rsid w:val="00B50E1D"/>
    <w:rsid w:val="00B512AC"/>
    <w:rsid w:val="00B51344"/>
    <w:rsid w:val="00B51BB8"/>
    <w:rsid w:val="00B51F87"/>
    <w:rsid w:val="00B528F5"/>
    <w:rsid w:val="00B52C69"/>
    <w:rsid w:val="00B53575"/>
    <w:rsid w:val="00B53C84"/>
    <w:rsid w:val="00B56649"/>
    <w:rsid w:val="00B608EF"/>
    <w:rsid w:val="00B60D57"/>
    <w:rsid w:val="00B60E1B"/>
    <w:rsid w:val="00B613E4"/>
    <w:rsid w:val="00B62006"/>
    <w:rsid w:val="00B63307"/>
    <w:rsid w:val="00B633EB"/>
    <w:rsid w:val="00B63F15"/>
    <w:rsid w:val="00B65E0C"/>
    <w:rsid w:val="00B65F32"/>
    <w:rsid w:val="00B660C8"/>
    <w:rsid w:val="00B661CD"/>
    <w:rsid w:val="00B665A9"/>
    <w:rsid w:val="00B66D39"/>
    <w:rsid w:val="00B6783E"/>
    <w:rsid w:val="00B67BC7"/>
    <w:rsid w:val="00B70466"/>
    <w:rsid w:val="00B71CD6"/>
    <w:rsid w:val="00B7206D"/>
    <w:rsid w:val="00B72993"/>
    <w:rsid w:val="00B72C62"/>
    <w:rsid w:val="00B73600"/>
    <w:rsid w:val="00B74B17"/>
    <w:rsid w:val="00B75204"/>
    <w:rsid w:val="00B7525A"/>
    <w:rsid w:val="00B755E8"/>
    <w:rsid w:val="00B75CB2"/>
    <w:rsid w:val="00B76662"/>
    <w:rsid w:val="00B76C9C"/>
    <w:rsid w:val="00B77337"/>
    <w:rsid w:val="00B82041"/>
    <w:rsid w:val="00B8268C"/>
    <w:rsid w:val="00B82FF7"/>
    <w:rsid w:val="00B83516"/>
    <w:rsid w:val="00B83B84"/>
    <w:rsid w:val="00B85694"/>
    <w:rsid w:val="00B87A73"/>
    <w:rsid w:val="00B90024"/>
    <w:rsid w:val="00B90D3A"/>
    <w:rsid w:val="00B91E9F"/>
    <w:rsid w:val="00B921FE"/>
    <w:rsid w:val="00B9240A"/>
    <w:rsid w:val="00B931F8"/>
    <w:rsid w:val="00B9417E"/>
    <w:rsid w:val="00B94395"/>
    <w:rsid w:val="00B94532"/>
    <w:rsid w:val="00B951AA"/>
    <w:rsid w:val="00B952C6"/>
    <w:rsid w:val="00B955EB"/>
    <w:rsid w:val="00B95A43"/>
    <w:rsid w:val="00B97A12"/>
    <w:rsid w:val="00BA024E"/>
    <w:rsid w:val="00BA0ED5"/>
    <w:rsid w:val="00BA1A73"/>
    <w:rsid w:val="00BA523A"/>
    <w:rsid w:val="00BA5462"/>
    <w:rsid w:val="00BA5A2E"/>
    <w:rsid w:val="00BA68F3"/>
    <w:rsid w:val="00BA70D3"/>
    <w:rsid w:val="00BA71D1"/>
    <w:rsid w:val="00BA7BF0"/>
    <w:rsid w:val="00BB0568"/>
    <w:rsid w:val="00BB0756"/>
    <w:rsid w:val="00BB0CBB"/>
    <w:rsid w:val="00BB0E73"/>
    <w:rsid w:val="00BB1351"/>
    <w:rsid w:val="00BB168F"/>
    <w:rsid w:val="00BB205A"/>
    <w:rsid w:val="00BB214C"/>
    <w:rsid w:val="00BB3F81"/>
    <w:rsid w:val="00BB520B"/>
    <w:rsid w:val="00BB5FE5"/>
    <w:rsid w:val="00BB60F4"/>
    <w:rsid w:val="00BB6655"/>
    <w:rsid w:val="00BB6B1D"/>
    <w:rsid w:val="00BC209D"/>
    <w:rsid w:val="00BC23C5"/>
    <w:rsid w:val="00BC2D60"/>
    <w:rsid w:val="00BC38EC"/>
    <w:rsid w:val="00BC3F3A"/>
    <w:rsid w:val="00BC5FF7"/>
    <w:rsid w:val="00BC77ED"/>
    <w:rsid w:val="00BD0712"/>
    <w:rsid w:val="00BD0E60"/>
    <w:rsid w:val="00BD2575"/>
    <w:rsid w:val="00BD371B"/>
    <w:rsid w:val="00BD3796"/>
    <w:rsid w:val="00BD39BF"/>
    <w:rsid w:val="00BD3F03"/>
    <w:rsid w:val="00BD4615"/>
    <w:rsid w:val="00BD4A72"/>
    <w:rsid w:val="00BD4B12"/>
    <w:rsid w:val="00BD4ECC"/>
    <w:rsid w:val="00BD6434"/>
    <w:rsid w:val="00BD6623"/>
    <w:rsid w:val="00BD6C0D"/>
    <w:rsid w:val="00BD77FF"/>
    <w:rsid w:val="00BE0F18"/>
    <w:rsid w:val="00BE208D"/>
    <w:rsid w:val="00BE2B22"/>
    <w:rsid w:val="00BE354D"/>
    <w:rsid w:val="00BE3A0F"/>
    <w:rsid w:val="00BE45B2"/>
    <w:rsid w:val="00BE4BF5"/>
    <w:rsid w:val="00BE6A21"/>
    <w:rsid w:val="00BE6BF2"/>
    <w:rsid w:val="00BE727A"/>
    <w:rsid w:val="00BE783A"/>
    <w:rsid w:val="00BF077D"/>
    <w:rsid w:val="00BF1878"/>
    <w:rsid w:val="00BF2A09"/>
    <w:rsid w:val="00BF2AB2"/>
    <w:rsid w:val="00BF3003"/>
    <w:rsid w:val="00BF3128"/>
    <w:rsid w:val="00BF4A5F"/>
    <w:rsid w:val="00BF4B6A"/>
    <w:rsid w:val="00BF5A11"/>
    <w:rsid w:val="00BF5DE2"/>
    <w:rsid w:val="00BF64AB"/>
    <w:rsid w:val="00BF682A"/>
    <w:rsid w:val="00C00A45"/>
    <w:rsid w:val="00C0156C"/>
    <w:rsid w:val="00C02E1F"/>
    <w:rsid w:val="00C03426"/>
    <w:rsid w:val="00C03F12"/>
    <w:rsid w:val="00C0422E"/>
    <w:rsid w:val="00C064F7"/>
    <w:rsid w:val="00C065D5"/>
    <w:rsid w:val="00C06ED0"/>
    <w:rsid w:val="00C07403"/>
    <w:rsid w:val="00C07CC7"/>
    <w:rsid w:val="00C114D8"/>
    <w:rsid w:val="00C11A0E"/>
    <w:rsid w:val="00C12171"/>
    <w:rsid w:val="00C14BF8"/>
    <w:rsid w:val="00C1552F"/>
    <w:rsid w:val="00C16953"/>
    <w:rsid w:val="00C1696F"/>
    <w:rsid w:val="00C16AA2"/>
    <w:rsid w:val="00C17366"/>
    <w:rsid w:val="00C2093E"/>
    <w:rsid w:val="00C2120C"/>
    <w:rsid w:val="00C22F83"/>
    <w:rsid w:val="00C23028"/>
    <w:rsid w:val="00C2344E"/>
    <w:rsid w:val="00C23A73"/>
    <w:rsid w:val="00C2456C"/>
    <w:rsid w:val="00C25A22"/>
    <w:rsid w:val="00C26D17"/>
    <w:rsid w:val="00C3012B"/>
    <w:rsid w:val="00C30D91"/>
    <w:rsid w:val="00C326C3"/>
    <w:rsid w:val="00C328E4"/>
    <w:rsid w:val="00C3351B"/>
    <w:rsid w:val="00C335C7"/>
    <w:rsid w:val="00C33986"/>
    <w:rsid w:val="00C34275"/>
    <w:rsid w:val="00C34700"/>
    <w:rsid w:val="00C363C0"/>
    <w:rsid w:val="00C36875"/>
    <w:rsid w:val="00C3737E"/>
    <w:rsid w:val="00C37D36"/>
    <w:rsid w:val="00C40910"/>
    <w:rsid w:val="00C415D6"/>
    <w:rsid w:val="00C4175F"/>
    <w:rsid w:val="00C42082"/>
    <w:rsid w:val="00C4278B"/>
    <w:rsid w:val="00C433AA"/>
    <w:rsid w:val="00C464FF"/>
    <w:rsid w:val="00C46784"/>
    <w:rsid w:val="00C47066"/>
    <w:rsid w:val="00C47BB4"/>
    <w:rsid w:val="00C47F9F"/>
    <w:rsid w:val="00C50C78"/>
    <w:rsid w:val="00C512FF"/>
    <w:rsid w:val="00C51835"/>
    <w:rsid w:val="00C523F0"/>
    <w:rsid w:val="00C52AC7"/>
    <w:rsid w:val="00C54092"/>
    <w:rsid w:val="00C549F5"/>
    <w:rsid w:val="00C5509B"/>
    <w:rsid w:val="00C5560E"/>
    <w:rsid w:val="00C557A9"/>
    <w:rsid w:val="00C5609A"/>
    <w:rsid w:val="00C5741A"/>
    <w:rsid w:val="00C60293"/>
    <w:rsid w:val="00C6071D"/>
    <w:rsid w:val="00C61C1B"/>
    <w:rsid w:val="00C62442"/>
    <w:rsid w:val="00C63768"/>
    <w:rsid w:val="00C64614"/>
    <w:rsid w:val="00C64E42"/>
    <w:rsid w:val="00C6510C"/>
    <w:rsid w:val="00C65DBC"/>
    <w:rsid w:val="00C6787B"/>
    <w:rsid w:val="00C67EE6"/>
    <w:rsid w:val="00C7003C"/>
    <w:rsid w:val="00C70A66"/>
    <w:rsid w:val="00C7139E"/>
    <w:rsid w:val="00C730D0"/>
    <w:rsid w:val="00C73D18"/>
    <w:rsid w:val="00C7416D"/>
    <w:rsid w:val="00C75A9C"/>
    <w:rsid w:val="00C76651"/>
    <w:rsid w:val="00C77060"/>
    <w:rsid w:val="00C7791D"/>
    <w:rsid w:val="00C80F88"/>
    <w:rsid w:val="00C819AB"/>
    <w:rsid w:val="00C81BF5"/>
    <w:rsid w:val="00C8212E"/>
    <w:rsid w:val="00C82375"/>
    <w:rsid w:val="00C83787"/>
    <w:rsid w:val="00C83C47"/>
    <w:rsid w:val="00C84227"/>
    <w:rsid w:val="00C845F1"/>
    <w:rsid w:val="00C849AE"/>
    <w:rsid w:val="00C84D99"/>
    <w:rsid w:val="00C8541D"/>
    <w:rsid w:val="00C857FD"/>
    <w:rsid w:val="00C8616D"/>
    <w:rsid w:val="00C87DE5"/>
    <w:rsid w:val="00C923C3"/>
    <w:rsid w:val="00C93C22"/>
    <w:rsid w:val="00C93E7B"/>
    <w:rsid w:val="00C94446"/>
    <w:rsid w:val="00C94CDA"/>
    <w:rsid w:val="00C95B3E"/>
    <w:rsid w:val="00C961A3"/>
    <w:rsid w:val="00C966E4"/>
    <w:rsid w:val="00C96CB9"/>
    <w:rsid w:val="00C97D07"/>
    <w:rsid w:val="00CA0446"/>
    <w:rsid w:val="00CA28F3"/>
    <w:rsid w:val="00CA2982"/>
    <w:rsid w:val="00CA2A94"/>
    <w:rsid w:val="00CA3559"/>
    <w:rsid w:val="00CA5468"/>
    <w:rsid w:val="00CA6160"/>
    <w:rsid w:val="00CA6B8F"/>
    <w:rsid w:val="00CA6EDC"/>
    <w:rsid w:val="00CA7182"/>
    <w:rsid w:val="00CA7527"/>
    <w:rsid w:val="00CB1133"/>
    <w:rsid w:val="00CB1962"/>
    <w:rsid w:val="00CB1AC7"/>
    <w:rsid w:val="00CB2246"/>
    <w:rsid w:val="00CB292F"/>
    <w:rsid w:val="00CB2F88"/>
    <w:rsid w:val="00CB316C"/>
    <w:rsid w:val="00CB4566"/>
    <w:rsid w:val="00CB4B9A"/>
    <w:rsid w:val="00CB4F13"/>
    <w:rsid w:val="00CB51D7"/>
    <w:rsid w:val="00CB5780"/>
    <w:rsid w:val="00CB74A6"/>
    <w:rsid w:val="00CB79C2"/>
    <w:rsid w:val="00CC0E09"/>
    <w:rsid w:val="00CC0EC6"/>
    <w:rsid w:val="00CC1AE7"/>
    <w:rsid w:val="00CC1DDB"/>
    <w:rsid w:val="00CC1E7E"/>
    <w:rsid w:val="00CC2985"/>
    <w:rsid w:val="00CC2C88"/>
    <w:rsid w:val="00CC2DBB"/>
    <w:rsid w:val="00CC3845"/>
    <w:rsid w:val="00CC4792"/>
    <w:rsid w:val="00CC5023"/>
    <w:rsid w:val="00CC5372"/>
    <w:rsid w:val="00CC54E1"/>
    <w:rsid w:val="00CC551F"/>
    <w:rsid w:val="00CC6C6B"/>
    <w:rsid w:val="00CD0011"/>
    <w:rsid w:val="00CD132C"/>
    <w:rsid w:val="00CD1D20"/>
    <w:rsid w:val="00CD2094"/>
    <w:rsid w:val="00CD253C"/>
    <w:rsid w:val="00CD2CB7"/>
    <w:rsid w:val="00CD38CE"/>
    <w:rsid w:val="00CD3E4A"/>
    <w:rsid w:val="00CD3E87"/>
    <w:rsid w:val="00CD6958"/>
    <w:rsid w:val="00CD7A0C"/>
    <w:rsid w:val="00CD7BD1"/>
    <w:rsid w:val="00CE068D"/>
    <w:rsid w:val="00CE075C"/>
    <w:rsid w:val="00CE07F1"/>
    <w:rsid w:val="00CE08C8"/>
    <w:rsid w:val="00CE361F"/>
    <w:rsid w:val="00CE369D"/>
    <w:rsid w:val="00CE5016"/>
    <w:rsid w:val="00CF0B70"/>
    <w:rsid w:val="00CF0DA7"/>
    <w:rsid w:val="00CF0E3C"/>
    <w:rsid w:val="00CF17FD"/>
    <w:rsid w:val="00CF2205"/>
    <w:rsid w:val="00CF38A7"/>
    <w:rsid w:val="00CF44F8"/>
    <w:rsid w:val="00CF481B"/>
    <w:rsid w:val="00CF6539"/>
    <w:rsid w:val="00CF7447"/>
    <w:rsid w:val="00CF74F5"/>
    <w:rsid w:val="00D003FD"/>
    <w:rsid w:val="00D01A5F"/>
    <w:rsid w:val="00D01CBF"/>
    <w:rsid w:val="00D02B38"/>
    <w:rsid w:val="00D02DAA"/>
    <w:rsid w:val="00D02F5A"/>
    <w:rsid w:val="00D0352F"/>
    <w:rsid w:val="00D0386F"/>
    <w:rsid w:val="00D03879"/>
    <w:rsid w:val="00D03CF6"/>
    <w:rsid w:val="00D056B8"/>
    <w:rsid w:val="00D06BB6"/>
    <w:rsid w:val="00D07BF3"/>
    <w:rsid w:val="00D1041F"/>
    <w:rsid w:val="00D1174F"/>
    <w:rsid w:val="00D11B0D"/>
    <w:rsid w:val="00D11BF1"/>
    <w:rsid w:val="00D11EA1"/>
    <w:rsid w:val="00D127D7"/>
    <w:rsid w:val="00D127FA"/>
    <w:rsid w:val="00D129C4"/>
    <w:rsid w:val="00D132B9"/>
    <w:rsid w:val="00D134D3"/>
    <w:rsid w:val="00D137E8"/>
    <w:rsid w:val="00D13821"/>
    <w:rsid w:val="00D13FA4"/>
    <w:rsid w:val="00D14546"/>
    <w:rsid w:val="00D15201"/>
    <w:rsid w:val="00D15569"/>
    <w:rsid w:val="00D156BC"/>
    <w:rsid w:val="00D15ABC"/>
    <w:rsid w:val="00D176DD"/>
    <w:rsid w:val="00D179EA"/>
    <w:rsid w:val="00D17E5F"/>
    <w:rsid w:val="00D20BF8"/>
    <w:rsid w:val="00D20CBD"/>
    <w:rsid w:val="00D21061"/>
    <w:rsid w:val="00D21265"/>
    <w:rsid w:val="00D2173E"/>
    <w:rsid w:val="00D21CBA"/>
    <w:rsid w:val="00D24744"/>
    <w:rsid w:val="00D24A6A"/>
    <w:rsid w:val="00D27486"/>
    <w:rsid w:val="00D27D76"/>
    <w:rsid w:val="00D27EE0"/>
    <w:rsid w:val="00D30169"/>
    <w:rsid w:val="00D303E7"/>
    <w:rsid w:val="00D307BB"/>
    <w:rsid w:val="00D31354"/>
    <w:rsid w:val="00D31ED4"/>
    <w:rsid w:val="00D32007"/>
    <w:rsid w:val="00D326BA"/>
    <w:rsid w:val="00D327E2"/>
    <w:rsid w:val="00D33644"/>
    <w:rsid w:val="00D34544"/>
    <w:rsid w:val="00D34AE8"/>
    <w:rsid w:val="00D34F12"/>
    <w:rsid w:val="00D35373"/>
    <w:rsid w:val="00D357D0"/>
    <w:rsid w:val="00D3591E"/>
    <w:rsid w:val="00D3671B"/>
    <w:rsid w:val="00D36BDB"/>
    <w:rsid w:val="00D36C48"/>
    <w:rsid w:val="00D36D93"/>
    <w:rsid w:val="00D37225"/>
    <w:rsid w:val="00D377E2"/>
    <w:rsid w:val="00D37A65"/>
    <w:rsid w:val="00D40003"/>
    <w:rsid w:val="00D404CD"/>
    <w:rsid w:val="00D41AD4"/>
    <w:rsid w:val="00D41DC6"/>
    <w:rsid w:val="00D42BD6"/>
    <w:rsid w:val="00D458D5"/>
    <w:rsid w:val="00D45A79"/>
    <w:rsid w:val="00D45DB5"/>
    <w:rsid w:val="00D45E58"/>
    <w:rsid w:val="00D46694"/>
    <w:rsid w:val="00D46B52"/>
    <w:rsid w:val="00D46B9D"/>
    <w:rsid w:val="00D47964"/>
    <w:rsid w:val="00D50C32"/>
    <w:rsid w:val="00D51A6A"/>
    <w:rsid w:val="00D52C2D"/>
    <w:rsid w:val="00D52F0B"/>
    <w:rsid w:val="00D5330A"/>
    <w:rsid w:val="00D55309"/>
    <w:rsid w:val="00D555EA"/>
    <w:rsid w:val="00D55CE1"/>
    <w:rsid w:val="00D56546"/>
    <w:rsid w:val="00D56613"/>
    <w:rsid w:val="00D577FC"/>
    <w:rsid w:val="00D57EB1"/>
    <w:rsid w:val="00D6013E"/>
    <w:rsid w:val="00D6051A"/>
    <w:rsid w:val="00D61635"/>
    <w:rsid w:val="00D621A8"/>
    <w:rsid w:val="00D625B6"/>
    <w:rsid w:val="00D63283"/>
    <w:rsid w:val="00D6365B"/>
    <w:rsid w:val="00D63A6A"/>
    <w:rsid w:val="00D650EA"/>
    <w:rsid w:val="00D6603C"/>
    <w:rsid w:val="00D72E0F"/>
    <w:rsid w:val="00D72EE4"/>
    <w:rsid w:val="00D736C9"/>
    <w:rsid w:val="00D740D3"/>
    <w:rsid w:val="00D749D6"/>
    <w:rsid w:val="00D74A18"/>
    <w:rsid w:val="00D754E2"/>
    <w:rsid w:val="00D75507"/>
    <w:rsid w:val="00D82C6E"/>
    <w:rsid w:val="00D83329"/>
    <w:rsid w:val="00D836DE"/>
    <w:rsid w:val="00D83F9C"/>
    <w:rsid w:val="00D84351"/>
    <w:rsid w:val="00D846EA"/>
    <w:rsid w:val="00D85A3C"/>
    <w:rsid w:val="00D85E23"/>
    <w:rsid w:val="00D8647E"/>
    <w:rsid w:val="00D864D2"/>
    <w:rsid w:val="00D90E4C"/>
    <w:rsid w:val="00D92E3D"/>
    <w:rsid w:val="00D9483F"/>
    <w:rsid w:val="00D948D4"/>
    <w:rsid w:val="00D94AA9"/>
    <w:rsid w:val="00D950FA"/>
    <w:rsid w:val="00D959D1"/>
    <w:rsid w:val="00D96412"/>
    <w:rsid w:val="00D968C5"/>
    <w:rsid w:val="00D96E76"/>
    <w:rsid w:val="00D976F3"/>
    <w:rsid w:val="00DA238D"/>
    <w:rsid w:val="00DA3591"/>
    <w:rsid w:val="00DA490B"/>
    <w:rsid w:val="00DA50BA"/>
    <w:rsid w:val="00DA5232"/>
    <w:rsid w:val="00DA58DA"/>
    <w:rsid w:val="00DA62AB"/>
    <w:rsid w:val="00DA6A1C"/>
    <w:rsid w:val="00DA70E2"/>
    <w:rsid w:val="00DA774A"/>
    <w:rsid w:val="00DB1AFE"/>
    <w:rsid w:val="00DB27E7"/>
    <w:rsid w:val="00DB2C3F"/>
    <w:rsid w:val="00DB5019"/>
    <w:rsid w:val="00DB5497"/>
    <w:rsid w:val="00DB5D86"/>
    <w:rsid w:val="00DB6671"/>
    <w:rsid w:val="00DB6BA9"/>
    <w:rsid w:val="00DB6CF4"/>
    <w:rsid w:val="00DB6D74"/>
    <w:rsid w:val="00DB729F"/>
    <w:rsid w:val="00DC071A"/>
    <w:rsid w:val="00DC0755"/>
    <w:rsid w:val="00DC1BA0"/>
    <w:rsid w:val="00DC271F"/>
    <w:rsid w:val="00DC29D7"/>
    <w:rsid w:val="00DC2D37"/>
    <w:rsid w:val="00DC3063"/>
    <w:rsid w:val="00DC489A"/>
    <w:rsid w:val="00DC4B93"/>
    <w:rsid w:val="00DC5E58"/>
    <w:rsid w:val="00DC61BD"/>
    <w:rsid w:val="00DC7501"/>
    <w:rsid w:val="00DD048D"/>
    <w:rsid w:val="00DD05B2"/>
    <w:rsid w:val="00DD1DF8"/>
    <w:rsid w:val="00DD3825"/>
    <w:rsid w:val="00DD3999"/>
    <w:rsid w:val="00DD39F1"/>
    <w:rsid w:val="00DD3A80"/>
    <w:rsid w:val="00DD3DE8"/>
    <w:rsid w:val="00DD3F6A"/>
    <w:rsid w:val="00DD3FF6"/>
    <w:rsid w:val="00DD4D9B"/>
    <w:rsid w:val="00DD4EE0"/>
    <w:rsid w:val="00DD6BF7"/>
    <w:rsid w:val="00DD75BA"/>
    <w:rsid w:val="00DE084B"/>
    <w:rsid w:val="00DE13EF"/>
    <w:rsid w:val="00DE14E0"/>
    <w:rsid w:val="00DE2701"/>
    <w:rsid w:val="00DE31AC"/>
    <w:rsid w:val="00DE38FC"/>
    <w:rsid w:val="00DE3F6C"/>
    <w:rsid w:val="00DE4D00"/>
    <w:rsid w:val="00DE4F83"/>
    <w:rsid w:val="00DE689A"/>
    <w:rsid w:val="00DE6D95"/>
    <w:rsid w:val="00DE75EC"/>
    <w:rsid w:val="00DF0DF9"/>
    <w:rsid w:val="00DF1815"/>
    <w:rsid w:val="00DF3A45"/>
    <w:rsid w:val="00DF3D19"/>
    <w:rsid w:val="00DF4639"/>
    <w:rsid w:val="00DF4E6B"/>
    <w:rsid w:val="00DF4F0C"/>
    <w:rsid w:val="00DF4F5F"/>
    <w:rsid w:val="00DF6320"/>
    <w:rsid w:val="00DF681A"/>
    <w:rsid w:val="00DF6EA2"/>
    <w:rsid w:val="00DF788F"/>
    <w:rsid w:val="00E02198"/>
    <w:rsid w:val="00E0252D"/>
    <w:rsid w:val="00E0260E"/>
    <w:rsid w:val="00E02C37"/>
    <w:rsid w:val="00E036B5"/>
    <w:rsid w:val="00E03EFA"/>
    <w:rsid w:val="00E03F1F"/>
    <w:rsid w:val="00E04440"/>
    <w:rsid w:val="00E05875"/>
    <w:rsid w:val="00E06346"/>
    <w:rsid w:val="00E07C9E"/>
    <w:rsid w:val="00E112EA"/>
    <w:rsid w:val="00E12009"/>
    <w:rsid w:val="00E1212A"/>
    <w:rsid w:val="00E123C9"/>
    <w:rsid w:val="00E1281E"/>
    <w:rsid w:val="00E12A2D"/>
    <w:rsid w:val="00E13281"/>
    <w:rsid w:val="00E13942"/>
    <w:rsid w:val="00E13BEF"/>
    <w:rsid w:val="00E14240"/>
    <w:rsid w:val="00E14B5F"/>
    <w:rsid w:val="00E15F9E"/>
    <w:rsid w:val="00E160B9"/>
    <w:rsid w:val="00E170B5"/>
    <w:rsid w:val="00E17DCE"/>
    <w:rsid w:val="00E2024E"/>
    <w:rsid w:val="00E21026"/>
    <w:rsid w:val="00E218FF"/>
    <w:rsid w:val="00E2213D"/>
    <w:rsid w:val="00E2235D"/>
    <w:rsid w:val="00E2275D"/>
    <w:rsid w:val="00E22CE5"/>
    <w:rsid w:val="00E22E9D"/>
    <w:rsid w:val="00E23732"/>
    <w:rsid w:val="00E2385D"/>
    <w:rsid w:val="00E23F9C"/>
    <w:rsid w:val="00E25121"/>
    <w:rsid w:val="00E25E6C"/>
    <w:rsid w:val="00E25F09"/>
    <w:rsid w:val="00E2683F"/>
    <w:rsid w:val="00E277B5"/>
    <w:rsid w:val="00E31D13"/>
    <w:rsid w:val="00E32CD7"/>
    <w:rsid w:val="00E342BE"/>
    <w:rsid w:val="00E346FC"/>
    <w:rsid w:val="00E34DD1"/>
    <w:rsid w:val="00E354BE"/>
    <w:rsid w:val="00E364BD"/>
    <w:rsid w:val="00E372E4"/>
    <w:rsid w:val="00E3778B"/>
    <w:rsid w:val="00E378D6"/>
    <w:rsid w:val="00E37FAB"/>
    <w:rsid w:val="00E40156"/>
    <w:rsid w:val="00E421C0"/>
    <w:rsid w:val="00E426BC"/>
    <w:rsid w:val="00E42703"/>
    <w:rsid w:val="00E42C63"/>
    <w:rsid w:val="00E430E1"/>
    <w:rsid w:val="00E4322B"/>
    <w:rsid w:val="00E44114"/>
    <w:rsid w:val="00E4417F"/>
    <w:rsid w:val="00E45165"/>
    <w:rsid w:val="00E45220"/>
    <w:rsid w:val="00E4591B"/>
    <w:rsid w:val="00E4628B"/>
    <w:rsid w:val="00E465AC"/>
    <w:rsid w:val="00E46DC4"/>
    <w:rsid w:val="00E46F35"/>
    <w:rsid w:val="00E5009C"/>
    <w:rsid w:val="00E50E43"/>
    <w:rsid w:val="00E50FBF"/>
    <w:rsid w:val="00E52765"/>
    <w:rsid w:val="00E53487"/>
    <w:rsid w:val="00E53573"/>
    <w:rsid w:val="00E53C9D"/>
    <w:rsid w:val="00E54481"/>
    <w:rsid w:val="00E552DC"/>
    <w:rsid w:val="00E55854"/>
    <w:rsid w:val="00E55FFD"/>
    <w:rsid w:val="00E56C3A"/>
    <w:rsid w:val="00E57C03"/>
    <w:rsid w:val="00E606D9"/>
    <w:rsid w:val="00E61A44"/>
    <w:rsid w:val="00E61FBD"/>
    <w:rsid w:val="00E63817"/>
    <w:rsid w:val="00E63A1F"/>
    <w:rsid w:val="00E63A3D"/>
    <w:rsid w:val="00E63C2A"/>
    <w:rsid w:val="00E63D8E"/>
    <w:rsid w:val="00E64B86"/>
    <w:rsid w:val="00E6525C"/>
    <w:rsid w:val="00E66360"/>
    <w:rsid w:val="00E6673B"/>
    <w:rsid w:val="00E66F32"/>
    <w:rsid w:val="00E670DD"/>
    <w:rsid w:val="00E67555"/>
    <w:rsid w:val="00E6795A"/>
    <w:rsid w:val="00E70318"/>
    <w:rsid w:val="00E70569"/>
    <w:rsid w:val="00E710C2"/>
    <w:rsid w:val="00E7112D"/>
    <w:rsid w:val="00E71A17"/>
    <w:rsid w:val="00E72FC4"/>
    <w:rsid w:val="00E7340C"/>
    <w:rsid w:val="00E73EFD"/>
    <w:rsid w:val="00E73F9C"/>
    <w:rsid w:val="00E746D9"/>
    <w:rsid w:val="00E74B94"/>
    <w:rsid w:val="00E753EE"/>
    <w:rsid w:val="00E757A9"/>
    <w:rsid w:val="00E76F28"/>
    <w:rsid w:val="00E7731E"/>
    <w:rsid w:val="00E77996"/>
    <w:rsid w:val="00E77A33"/>
    <w:rsid w:val="00E77C1F"/>
    <w:rsid w:val="00E82653"/>
    <w:rsid w:val="00E82777"/>
    <w:rsid w:val="00E85556"/>
    <w:rsid w:val="00E85D79"/>
    <w:rsid w:val="00E862CE"/>
    <w:rsid w:val="00E8695E"/>
    <w:rsid w:val="00E86D43"/>
    <w:rsid w:val="00E86F1A"/>
    <w:rsid w:val="00E87E48"/>
    <w:rsid w:val="00E87E75"/>
    <w:rsid w:val="00E87EA1"/>
    <w:rsid w:val="00E908E0"/>
    <w:rsid w:val="00E90D4B"/>
    <w:rsid w:val="00E917B7"/>
    <w:rsid w:val="00E93811"/>
    <w:rsid w:val="00E9411B"/>
    <w:rsid w:val="00E94135"/>
    <w:rsid w:val="00E94E11"/>
    <w:rsid w:val="00E959DF"/>
    <w:rsid w:val="00E96481"/>
    <w:rsid w:val="00E96E63"/>
    <w:rsid w:val="00E975D1"/>
    <w:rsid w:val="00E97FCE"/>
    <w:rsid w:val="00EA012F"/>
    <w:rsid w:val="00EA2783"/>
    <w:rsid w:val="00EA2CE1"/>
    <w:rsid w:val="00EA36DB"/>
    <w:rsid w:val="00EA3DF8"/>
    <w:rsid w:val="00EA3E01"/>
    <w:rsid w:val="00EA4897"/>
    <w:rsid w:val="00EA4AAA"/>
    <w:rsid w:val="00EA5ACF"/>
    <w:rsid w:val="00EA66B4"/>
    <w:rsid w:val="00EA6AB7"/>
    <w:rsid w:val="00EA79D1"/>
    <w:rsid w:val="00EB0134"/>
    <w:rsid w:val="00EB16E4"/>
    <w:rsid w:val="00EB19F7"/>
    <w:rsid w:val="00EB1F2B"/>
    <w:rsid w:val="00EB1F9C"/>
    <w:rsid w:val="00EB2D47"/>
    <w:rsid w:val="00EB44A5"/>
    <w:rsid w:val="00EB480E"/>
    <w:rsid w:val="00EB497E"/>
    <w:rsid w:val="00EB4EB7"/>
    <w:rsid w:val="00EB54AC"/>
    <w:rsid w:val="00EB6B2C"/>
    <w:rsid w:val="00EB6CC8"/>
    <w:rsid w:val="00EB7CAC"/>
    <w:rsid w:val="00EC0865"/>
    <w:rsid w:val="00EC0951"/>
    <w:rsid w:val="00EC1003"/>
    <w:rsid w:val="00EC10C4"/>
    <w:rsid w:val="00EC1B1A"/>
    <w:rsid w:val="00EC1B57"/>
    <w:rsid w:val="00EC2AC8"/>
    <w:rsid w:val="00EC2C16"/>
    <w:rsid w:val="00EC327C"/>
    <w:rsid w:val="00EC32DA"/>
    <w:rsid w:val="00EC3B61"/>
    <w:rsid w:val="00EC53A7"/>
    <w:rsid w:val="00EC637B"/>
    <w:rsid w:val="00EC7CD2"/>
    <w:rsid w:val="00EC7E76"/>
    <w:rsid w:val="00EC7E80"/>
    <w:rsid w:val="00ED0D7B"/>
    <w:rsid w:val="00ED25AF"/>
    <w:rsid w:val="00ED28A2"/>
    <w:rsid w:val="00ED290B"/>
    <w:rsid w:val="00ED2D7F"/>
    <w:rsid w:val="00ED2E7D"/>
    <w:rsid w:val="00ED3509"/>
    <w:rsid w:val="00ED3F43"/>
    <w:rsid w:val="00ED437E"/>
    <w:rsid w:val="00ED5909"/>
    <w:rsid w:val="00ED6C4F"/>
    <w:rsid w:val="00ED6D51"/>
    <w:rsid w:val="00ED6F32"/>
    <w:rsid w:val="00ED7369"/>
    <w:rsid w:val="00ED75CF"/>
    <w:rsid w:val="00ED7C9A"/>
    <w:rsid w:val="00ED7F94"/>
    <w:rsid w:val="00EE1669"/>
    <w:rsid w:val="00EE275A"/>
    <w:rsid w:val="00EE2AA4"/>
    <w:rsid w:val="00EE2D14"/>
    <w:rsid w:val="00EE30B1"/>
    <w:rsid w:val="00EE3307"/>
    <w:rsid w:val="00EE7882"/>
    <w:rsid w:val="00EE7DE2"/>
    <w:rsid w:val="00EF00CC"/>
    <w:rsid w:val="00EF0245"/>
    <w:rsid w:val="00EF065B"/>
    <w:rsid w:val="00EF07F1"/>
    <w:rsid w:val="00EF0ECC"/>
    <w:rsid w:val="00EF0FED"/>
    <w:rsid w:val="00EF1AFD"/>
    <w:rsid w:val="00EF2642"/>
    <w:rsid w:val="00EF2C49"/>
    <w:rsid w:val="00EF3778"/>
    <w:rsid w:val="00EF4A26"/>
    <w:rsid w:val="00EF4F7C"/>
    <w:rsid w:val="00EF5060"/>
    <w:rsid w:val="00EF5516"/>
    <w:rsid w:val="00EF630A"/>
    <w:rsid w:val="00EF6407"/>
    <w:rsid w:val="00EF6AAA"/>
    <w:rsid w:val="00EF6B3B"/>
    <w:rsid w:val="00EF6DA0"/>
    <w:rsid w:val="00EF725D"/>
    <w:rsid w:val="00EF72DB"/>
    <w:rsid w:val="00EF76E2"/>
    <w:rsid w:val="00EF7D49"/>
    <w:rsid w:val="00EF7F51"/>
    <w:rsid w:val="00F000BA"/>
    <w:rsid w:val="00F0074D"/>
    <w:rsid w:val="00F0121C"/>
    <w:rsid w:val="00F0144E"/>
    <w:rsid w:val="00F0170A"/>
    <w:rsid w:val="00F01BC6"/>
    <w:rsid w:val="00F01C12"/>
    <w:rsid w:val="00F02236"/>
    <w:rsid w:val="00F039FF"/>
    <w:rsid w:val="00F04023"/>
    <w:rsid w:val="00F04701"/>
    <w:rsid w:val="00F051C7"/>
    <w:rsid w:val="00F05249"/>
    <w:rsid w:val="00F06396"/>
    <w:rsid w:val="00F0642E"/>
    <w:rsid w:val="00F1026A"/>
    <w:rsid w:val="00F11949"/>
    <w:rsid w:val="00F124A3"/>
    <w:rsid w:val="00F12914"/>
    <w:rsid w:val="00F1293F"/>
    <w:rsid w:val="00F13672"/>
    <w:rsid w:val="00F16763"/>
    <w:rsid w:val="00F16D4D"/>
    <w:rsid w:val="00F17448"/>
    <w:rsid w:val="00F1747B"/>
    <w:rsid w:val="00F20E5B"/>
    <w:rsid w:val="00F20F3A"/>
    <w:rsid w:val="00F21410"/>
    <w:rsid w:val="00F21F35"/>
    <w:rsid w:val="00F228D5"/>
    <w:rsid w:val="00F22C71"/>
    <w:rsid w:val="00F23EB7"/>
    <w:rsid w:val="00F2513A"/>
    <w:rsid w:val="00F2562D"/>
    <w:rsid w:val="00F25B8A"/>
    <w:rsid w:val="00F26364"/>
    <w:rsid w:val="00F26A14"/>
    <w:rsid w:val="00F26DE2"/>
    <w:rsid w:val="00F27BC8"/>
    <w:rsid w:val="00F3092E"/>
    <w:rsid w:val="00F31660"/>
    <w:rsid w:val="00F3173E"/>
    <w:rsid w:val="00F3291A"/>
    <w:rsid w:val="00F32A02"/>
    <w:rsid w:val="00F339FA"/>
    <w:rsid w:val="00F33E44"/>
    <w:rsid w:val="00F359AF"/>
    <w:rsid w:val="00F35F1B"/>
    <w:rsid w:val="00F40221"/>
    <w:rsid w:val="00F402B0"/>
    <w:rsid w:val="00F404F3"/>
    <w:rsid w:val="00F405F2"/>
    <w:rsid w:val="00F416E8"/>
    <w:rsid w:val="00F4234B"/>
    <w:rsid w:val="00F43091"/>
    <w:rsid w:val="00F433F1"/>
    <w:rsid w:val="00F4494E"/>
    <w:rsid w:val="00F4514B"/>
    <w:rsid w:val="00F45814"/>
    <w:rsid w:val="00F46A35"/>
    <w:rsid w:val="00F46AED"/>
    <w:rsid w:val="00F46BD3"/>
    <w:rsid w:val="00F470B2"/>
    <w:rsid w:val="00F47A3B"/>
    <w:rsid w:val="00F545B1"/>
    <w:rsid w:val="00F54A33"/>
    <w:rsid w:val="00F54E54"/>
    <w:rsid w:val="00F5648C"/>
    <w:rsid w:val="00F565B7"/>
    <w:rsid w:val="00F5670F"/>
    <w:rsid w:val="00F56FE6"/>
    <w:rsid w:val="00F60CE1"/>
    <w:rsid w:val="00F62326"/>
    <w:rsid w:val="00F63AD7"/>
    <w:rsid w:val="00F63C02"/>
    <w:rsid w:val="00F63F7B"/>
    <w:rsid w:val="00F646F9"/>
    <w:rsid w:val="00F66828"/>
    <w:rsid w:val="00F67DAC"/>
    <w:rsid w:val="00F704B1"/>
    <w:rsid w:val="00F70787"/>
    <w:rsid w:val="00F71512"/>
    <w:rsid w:val="00F7194E"/>
    <w:rsid w:val="00F72314"/>
    <w:rsid w:val="00F7232B"/>
    <w:rsid w:val="00F7239C"/>
    <w:rsid w:val="00F73E39"/>
    <w:rsid w:val="00F73F71"/>
    <w:rsid w:val="00F74857"/>
    <w:rsid w:val="00F74DC6"/>
    <w:rsid w:val="00F775CD"/>
    <w:rsid w:val="00F805AB"/>
    <w:rsid w:val="00F80C1D"/>
    <w:rsid w:val="00F81BE8"/>
    <w:rsid w:val="00F8227E"/>
    <w:rsid w:val="00F84625"/>
    <w:rsid w:val="00F849F9"/>
    <w:rsid w:val="00F86DE0"/>
    <w:rsid w:val="00F902FC"/>
    <w:rsid w:val="00F90B05"/>
    <w:rsid w:val="00F920A3"/>
    <w:rsid w:val="00F92565"/>
    <w:rsid w:val="00F933B3"/>
    <w:rsid w:val="00F93808"/>
    <w:rsid w:val="00F94222"/>
    <w:rsid w:val="00F94616"/>
    <w:rsid w:val="00F94703"/>
    <w:rsid w:val="00F94CF9"/>
    <w:rsid w:val="00F94D2D"/>
    <w:rsid w:val="00F95297"/>
    <w:rsid w:val="00F960C2"/>
    <w:rsid w:val="00F96C8C"/>
    <w:rsid w:val="00FA0228"/>
    <w:rsid w:val="00FA0E95"/>
    <w:rsid w:val="00FA0FEB"/>
    <w:rsid w:val="00FA0FED"/>
    <w:rsid w:val="00FA1234"/>
    <w:rsid w:val="00FA281C"/>
    <w:rsid w:val="00FA3092"/>
    <w:rsid w:val="00FA4106"/>
    <w:rsid w:val="00FA4759"/>
    <w:rsid w:val="00FA4B0E"/>
    <w:rsid w:val="00FA5126"/>
    <w:rsid w:val="00FA6D04"/>
    <w:rsid w:val="00FA6E17"/>
    <w:rsid w:val="00FA73E9"/>
    <w:rsid w:val="00FA75F5"/>
    <w:rsid w:val="00FA7687"/>
    <w:rsid w:val="00FA78E8"/>
    <w:rsid w:val="00FA7D99"/>
    <w:rsid w:val="00FB0104"/>
    <w:rsid w:val="00FB02C2"/>
    <w:rsid w:val="00FB3589"/>
    <w:rsid w:val="00FB476D"/>
    <w:rsid w:val="00FB52D1"/>
    <w:rsid w:val="00FB5B45"/>
    <w:rsid w:val="00FB67BC"/>
    <w:rsid w:val="00FC0899"/>
    <w:rsid w:val="00FC1E40"/>
    <w:rsid w:val="00FC1E5B"/>
    <w:rsid w:val="00FC2A90"/>
    <w:rsid w:val="00FC2A97"/>
    <w:rsid w:val="00FC3327"/>
    <w:rsid w:val="00FC3586"/>
    <w:rsid w:val="00FC4410"/>
    <w:rsid w:val="00FC4ECD"/>
    <w:rsid w:val="00FC5170"/>
    <w:rsid w:val="00FC5800"/>
    <w:rsid w:val="00FC5BDC"/>
    <w:rsid w:val="00FC7A2E"/>
    <w:rsid w:val="00FC7A61"/>
    <w:rsid w:val="00FC7C93"/>
    <w:rsid w:val="00FD0F89"/>
    <w:rsid w:val="00FD13BF"/>
    <w:rsid w:val="00FD1427"/>
    <w:rsid w:val="00FD1594"/>
    <w:rsid w:val="00FD2012"/>
    <w:rsid w:val="00FD2411"/>
    <w:rsid w:val="00FD27B8"/>
    <w:rsid w:val="00FD2BAC"/>
    <w:rsid w:val="00FD3596"/>
    <w:rsid w:val="00FD36C4"/>
    <w:rsid w:val="00FD50FF"/>
    <w:rsid w:val="00FD5252"/>
    <w:rsid w:val="00FD76B9"/>
    <w:rsid w:val="00FD76BD"/>
    <w:rsid w:val="00FD7907"/>
    <w:rsid w:val="00FD7F46"/>
    <w:rsid w:val="00FE005C"/>
    <w:rsid w:val="00FE159E"/>
    <w:rsid w:val="00FE1C00"/>
    <w:rsid w:val="00FE3517"/>
    <w:rsid w:val="00FE5608"/>
    <w:rsid w:val="00FE70E0"/>
    <w:rsid w:val="00FE740A"/>
    <w:rsid w:val="00FE7858"/>
    <w:rsid w:val="00FE7AAE"/>
    <w:rsid w:val="00FF007C"/>
    <w:rsid w:val="00FF00C7"/>
    <w:rsid w:val="00FF0561"/>
    <w:rsid w:val="00FF1509"/>
    <w:rsid w:val="00FF1D0E"/>
    <w:rsid w:val="00FF3AD5"/>
    <w:rsid w:val="00FF5ADD"/>
    <w:rsid w:val="00FF65D4"/>
    <w:rsid w:val="00FF7C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6AD0FE1"/>
  <w14:defaultImageDpi w14:val="32767"/>
  <w15:chartTrackingRefBased/>
  <w15:docId w15:val="{16C759C8-A1DB-504D-8C1F-80355BE9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623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3623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3623D1"/>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3623D1"/>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623D1"/>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623D1"/>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623D1"/>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623D1"/>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623D1"/>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23D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3623D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3623D1"/>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3623D1"/>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623D1"/>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623D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623D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623D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623D1"/>
    <w:rPr>
      <w:rFonts w:eastAsiaTheme="majorEastAsia" w:cstheme="majorBidi"/>
      <w:color w:val="272727" w:themeColor="text1" w:themeTint="D8"/>
    </w:rPr>
  </w:style>
  <w:style w:type="paragraph" w:styleId="Titre">
    <w:name w:val="Title"/>
    <w:basedOn w:val="Normal"/>
    <w:next w:val="Normal"/>
    <w:link w:val="TitreCar"/>
    <w:uiPriority w:val="10"/>
    <w:qFormat/>
    <w:rsid w:val="003623D1"/>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623D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623D1"/>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623D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623D1"/>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3623D1"/>
    <w:rPr>
      <w:i/>
      <w:iCs/>
      <w:color w:val="404040" w:themeColor="text1" w:themeTint="BF"/>
    </w:rPr>
  </w:style>
  <w:style w:type="paragraph" w:styleId="Paragraphedeliste">
    <w:name w:val="List Paragraph"/>
    <w:basedOn w:val="Normal"/>
    <w:uiPriority w:val="34"/>
    <w:qFormat/>
    <w:rsid w:val="003623D1"/>
    <w:pPr>
      <w:ind w:left="720"/>
      <w:contextualSpacing/>
    </w:pPr>
  </w:style>
  <w:style w:type="character" w:styleId="Accentuationintense">
    <w:name w:val="Intense Emphasis"/>
    <w:basedOn w:val="Policepardfaut"/>
    <w:uiPriority w:val="21"/>
    <w:qFormat/>
    <w:rsid w:val="003623D1"/>
    <w:rPr>
      <w:i/>
      <w:iCs/>
      <w:color w:val="2F5496" w:themeColor="accent1" w:themeShade="BF"/>
    </w:rPr>
  </w:style>
  <w:style w:type="paragraph" w:styleId="Citationintense">
    <w:name w:val="Intense Quote"/>
    <w:basedOn w:val="Normal"/>
    <w:next w:val="Normal"/>
    <w:link w:val="CitationintenseCar"/>
    <w:uiPriority w:val="30"/>
    <w:qFormat/>
    <w:rsid w:val="003623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623D1"/>
    <w:rPr>
      <w:i/>
      <w:iCs/>
      <w:color w:val="2F5496" w:themeColor="accent1" w:themeShade="BF"/>
    </w:rPr>
  </w:style>
  <w:style w:type="character" w:styleId="Rfrenceintense">
    <w:name w:val="Intense Reference"/>
    <w:basedOn w:val="Policepardfaut"/>
    <w:uiPriority w:val="32"/>
    <w:qFormat/>
    <w:rsid w:val="003623D1"/>
    <w:rPr>
      <w:b/>
      <w:bCs/>
      <w:smallCaps/>
      <w:color w:val="2F5496" w:themeColor="accent1" w:themeShade="BF"/>
      <w:spacing w:val="5"/>
    </w:rPr>
  </w:style>
  <w:style w:type="paragraph" w:styleId="Pieddepage">
    <w:name w:val="footer"/>
    <w:basedOn w:val="Normal"/>
    <w:link w:val="PieddepageCar"/>
    <w:uiPriority w:val="99"/>
    <w:unhideWhenUsed/>
    <w:rsid w:val="00662F96"/>
    <w:pPr>
      <w:tabs>
        <w:tab w:val="center" w:pos="4536"/>
        <w:tab w:val="right" w:pos="9072"/>
      </w:tabs>
    </w:pPr>
  </w:style>
  <w:style w:type="character" w:customStyle="1" w:styleId="PieddepageCar">
    <w:name w:val="Pied de page Car"/>
    <w:basedOn w:val="Policepardfaut"/>
    <w:link w:val="Pieddepage"/>
    <w:uiPriority w:val="99"/>
    <w:rsid w:val="00662F96"/>
  </w:style>
  <w:style w:type="character" w:styleId="Numrodepage">
    <w:name w:val="page number"/>
    <w:basedOn w:val="Policepardfaut"/>
    <w:uiPriority w:val="99"/>
    <w:semiHidden/>
    <w:unhideWhenUsed/>
    <w:rsid w:val="00662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1008</Words>
  <Characters>5549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Peyruchaud</dc:creator>
  <cp:keywords/>
  <dc:description/>
  <cp:lastModifiedBy>Olivier Peyruchaud</cp:lastModifiedBy>
  <cp:revision>1</cp:revision>
  <dcterms:created xsi:type="dcterms:W3CDTF">2026-02-11T10:52:00Z</dcterms:created>
  <dcterms:modified xsi:type="dcterms:W3CDTF">2026-02-11T12:59:00Z</dcterms:modified>
</cp:coreProperties>
</file>