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6A1BE7" w14:textId="77777777" w:rsidR="00D5732A" w:rsidRPr="00DB7718" w:rsidRDefault="00D5732A" w:rsidP="00D5732A">
      <w:r w:rsidRPr="00FA301D">
        <w:rPr>
          <w:b/>
          <w:bCs/>
        </w:rPr>
        <w:t xml:space="preserve">Extended Data Table 1: Blood gas measurements. </w:t>
      </w:r>
      <w:r>
        <w:t>Measurements of pH, pCO</w:t>
      </w:r>
      <w:r>
        <w:rPr>
          <w:vertAlign w:val="subscript"/>
        </w:rPr>
        <w:t>2</w:t>
      </w:r>
      <w:r>
        <w:t>, pO</w:t>
      </w:r>
      <w:r>
        <w:rPr>
          <w:vertAlign w:val="subscript"/>
        </w:rPr>
        <w:t>2</w:t>
      </w:r>
      <w:r>
        <w:t>, and total hemoglobin (</w:t>
      </w:r>
      <w:proofErr w:type="spellStart"/>
      <w:r>
        <w:t>tHb</w:t>
      </w:r>
      <w:proofErr w:type="spellEnd"/>
      <w:r>
        <w:t xml:space="preserve">) in the arterial blood at two timepoints throughout the experiment, and absolute value of the difference between measurements at each timepoint. Mean +/- standard deviation. For ascending (&lt;) stim </w:t>
      </w:r>
      <w:r w:rsidRPr="00FD5494">
        <w:t>C</w:t>
      </w:r>
      <w:r w:rsidRPr="00FD5494">
        <w:rPr>
          <w:vertAlign w:val="subscript"/>
        </w:rPr>
        <w:t>2</w:t>
      </w:r>
      <w:r w:rsidRPr="00FD5494">
        <w:t>HS</w:t>
      </w:r>
      <w:r>
        <w:t xml:space="preserve">, descending (&gt;) stim </w:t>
      </w:r>
      <w:r w:rsidRPr="00FD5494">
        <w:t>C</w:t>
      </w:r>
      <w:r w:rsidRPr="00FD5494">
        <w:rPr>
          <w:vertAlign w:val="subscript"/>
        </w:rPr>
        <w:t>2</w:t>
      </w:r>
      <w:r w:rsidRPr="00FD5494">
        <w:t>HS</w:t>
      </w:r>
      <w:r>
        <w:t xml:space="preserve">, sham </w:t>
      </w:r>
      <w:r w:rsidRPr="00FD5494">
        <w:t>C</w:t>
      </w:r>
      <w:r w:rsidRPr="00FD5494">
        <w:rPr>
          <w:vertAlign w:val="subscript"/>
        </w:rPr>
        <w:t>2</w:t>
      </w:r>
      <w:r w:rsidRPr="00FD5494">
        <w:t>HS</w:t>
      </w:r>
      <w:r>
        <w:t xml:space="preserve">, intact, and sham intact rats, time 1 corresponds to just prior to the first bout of stimulus/sham, while time 2 corresponds to just prior to the second bout of stimulus sham. For the transection group, time 1 corresponds to just prior to stimulation after </w:t>
      </w:r>
      <w:proofErr w:type="spellStart"/>
      <w:r>
        <w:t>hemisection</w:t>
      </w:r>
      <w:proofErr w:type="spellEnd"/>
      <w:r>
        <w:t xml:space="preserve">, and time 2 corresponds to just prior to stimulation after </w:t>
      </w:r>
      <w:proofErr w:type="gramStart"/>
      <w:r>
        <w:t>transection</w:t>
      </w:r>
      <w:proofErr w:type="gramEnd"/>
      <w:r>
        <w:t>. For the intrathecal PTX and sham groups, time 1 is just prior to stimulation before drug administration, and time 2 is just prior to stimulation after drug administration. Respiratory set point varied from rat to rat. As such, ventilator parameters were adjusted to keep pCO</w:t>
      </w:r>
      <w:r>
        <w:rPr>
          <w:vertAlign w:val="subscript"/>
        </w:rPr>
        <w:t>2</w:t>
      </w:r>
      <w:r>
        <w:t xml:space="preserve"> below 50 mmHg while minimizing differences between time 1 and time 2 to improve comparisons of stimulation timing/injury/drug administration within rat. While intra-rat variability from measurement to measurement remained low, hemisected rats tended to have a higher pCO</w:t>
      </w:r>
      <w:r>
        <w:rPr>
          <w:vertAlign w:val="subscript"/>
        </w:rPr>
        <w:t>2</w:t>
      </w:r>
      <w:r>
        <w:t xml:space="preserve"> setpoint vs. intact rats. </w:t>
      </w:r>
    </w:p>
    <w:p w14:paraId="43BD458F" w14:textId="77777777" w:rsidR="00D5732A" w:rsidRDefault="00D5732A" w:rsidP="00D5732A">
      <w:pPr>
        <w:rPr>
          <w:b/>
          <w:bCs/>
        </w:rPr>
      </w:pPr>
      <w:r>
        <w:rPr>
          <w:b/>
          <w:bCs/>
        </w:rPr>
        <w:br w:type="page"/>
      </w:r>
    </w:p>
    <w:p w14:paraId="4F225438" w14:textId="77777777" w:rsidR="00D5732A" w:rsidRDefault="00D5732A" w:rsidP="00D5732A">
      <w:pPr>
        <w:rPr>
          <w:b/>
          <w:bCs/>
        </w:rPr>
        <w:sectPr w:rsidR="00D5732A" w:rsidSect="00D5732A">
          <w:pgSz w:w="12240" w:h="15840"/>
          <w:pgMar w:top="1440" w:right="1440" w:bottom="1440" w:left="1440" w:header="720" w:footer="720" w:gutter="0"/>
          <w:cols w:space="720"/>
          <w:docGrid w:linePitch="360"/>
        </w:sectPr>
      </w:pPr>
    </w:p>
    <w:p w14:paraId="7305B6F1" w14:textId="77777777" w:rsidR="00D5732A" w:rsidRDefault="00D5732A" w:rsidP="00D5732A">
      <w:pPr>
        <w:rPr>
          <w:b/>
          <w:bCs/>
        </w:rPr>
      </w:pPr>
    </w:p>
    <w:p w14:paraId="3D482A25" w14:textId="77777777" w:rsidR="00D5732A" w:rsidRDefault="00D5732A" w:rsidP="00D5732A">
      <w:pPr>
        <w:rPr>
          <w:b/>
          <w:bCs/>
        </w:rPr>
      </w:pPr>
    </w:p>
    <w:tbl>
      <w:tblPr>
        <w:tblW w:w="15587" w:type="dxa"/>
        <w:tblInd w:w="-1170" w:type="dxa"/>
        <w:tblLayout w:type="fixed"/>
        <w:tblLook w:val="04A0" w:firstRow="1" w:lastRow="0" w:firstColumn="1" w:lastColumn="0" w:noHBand="0" w:noVBand="1"/>
      </w:tblPr>
      <w:tblGrid>
        <w:gridCol w:w="1531"/>
        <w:gridCol w:w="1757"/>
        <w:gridCol w:w="1757"/>
        <w:gridCol w:w="1757"/>
        <w:gridCol w:w="1757"/>
        <w:gridCol w:w="1757"/>
        <w:gridCol w:w="1757"/>
        <w:gridCol w:w="1757"/>
        <w:gridCol w:w="1757"/>
      </w:tblGrid>
      <w:tr w:rsidR="00D5732A" w:rsidRPr="00FD5494" w14:paraId="05714B8F" w14:textId="77777777" w:rsidTr="006E21A3">
        <w:trPr>
          <w:trHeight w:val="339"/>
        </w:trPr>
        <w:tc>
          <w:tcPr>
            <w:tcW w:w="1531" w:type="dxa"/>
            <w:tcBorders>
              <w:top w:val="nil"/>
              <w:left w:val="nil"/>
              <w:bottom w:val="nil"/>
              <w:right w:val="nil"/>
            </w:tcBorders>
            <w:noWrap/>
            <w:vAlign w:val="bottom"/>
            <w:hideMark/>
          </w:tcPr>
          <w:p w14:paraId="1485AB2E" w14:textId="77777777" w:rsidR="00D5732A" w:rsidRPr="00FD5494" w:rsidRDefault="00D5732A" w:rsidP="006E21A3">
            <w:pPr>
              <w:spacing w:after="0" w:line="240" w:lineRule="auto"/>
              <w:ind w:left="-1102"/>
              <w:rPr>
                <w:rFonts w:ascii="Times New Roman" w:eastAsia="Times New Roman" w:hAnsi="Times New Roman" w:cs="Times New Roman"/>
                <w:kern w:val="0"/>
                <w14:ligatures w14:val="none"/>
              </w:rPr>
            </w:pPr>
          </w:p>
        </w:tc>
        <w:tc>
          <w:tcPr>
            <w:tcW w:w="1757" w:type="dxa"/>
            <w:tcBorders>
              <w:top w:val="nil"/>
              <w:left w:val="nil"/>
              <w:bottom w:val="nil"/>
              <w:right w:val="nil"/>
            </w:tcBorders>
            <w:noWrap/>
            <w:vAlign w:val="bottom"/>
            <w:hideMark/>
          </w:tcPr>
          <w:p w14:paraId="6704C01A"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&lt; Stim</w:t>
            </w:r>
            <w:r w:rsidRPr="00FD5494">
              <w:rPr>
                <w:rFonts w:ascii="Aptos Narrow" w:eastAsia="Times New Roman" w:hAnsi="Aptos Narrow" w:cs="Times New Roman"/>
                <w:color w:val="000000"/>
                <w:kern w:val="0"/>
                <w:sz w:val="22"/>
                <w:szCs w:val="22"/>
                <w14:ligatures w14:val="none"/>
              </w:rPr>
              <w:t xml:space="preserve"> C</w:t>
            </w:r>
            <w:r w:rsidRPr="00FD5494">
              <w:rPr>
                <w:rFonts w:ascii="Aptos Narrow" w:eastAsia="Times New Roman" w:hAnsi="Aptos Narrow" w:cs="Times New Roman"/>
                <w:color w:val="000000"/>
                <w:kern w:val="0"/>
                <w:sz w:val="22"/>
                <w:szCs w:val="22"/>
                <w:vertAlign w:val="subscript"/>
                <w14:ligatures w14:val="none"/>
              </w:rPr>
              <w:t>2</w:t>
            </w:r>
            <w:r w:rsidRPr="00FD5494">
              <w:rPr>
                <w:rFonts w:ascii="Aptos Narrow" w:eastAsia="Times New Roman" w:hAnsi="Aptos Narrow" w:cs="Times New Roman"/>
                <w:color w:val="000000"/>
                <w:kern w:val="0"/>
                <w:sz w:val="22"/>
                <w:szCs w:val="22"/>
                <w14:ligatures w14:val="none"/>
              </w:rPr>
              <w:t>HS</w:t>
            </w:r>
          </w:p>
        </w:tc>
        <w:tc>
          <w:tcPr>
            <w:tcW w:w="1757" w:type="dxa"/>
            <w:tcBorders>
              <w:top w:val="nil"/>
              <w:left w:val="nil"/>
              <w:bottom w:val="nil"/>
              <w:right w:val="nil"/>
            </w:tcBorders>
            <w:noWrap/>
            <w:vAlign w:val="bottom"/>
            <w:hideMark/>
          </w:tcPr>
          <w:p w14:paraId="3C4A8EB8"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proofErr w:type="gramStart"/>
            <w:r>
              <w:rPr>
                <w:rFonts w:ascii="Aptos Narrow" w:eastAsia="Times New Roman" w:hAnsi="Aptos Narrow" w:cs="Times New Roman"/>
                <w:color w:val="000000"/>
                <w:kern w:val="0"/>
                <w:sz w:val="22"/>
                <w:szCs w:val="22"/>
                <w14:ligatures w14:val="none"/>
              </w:rPr>
              <w:t>&gt;  Stim</w:t>
            </w:r>
            <w:proofErr w:type="gramEnd"/>
            <w:r>
              <w:rPr>
                <w:rFonts w:ascii="Aptos Narrow" w:eastAsia="Times New Roman" w:hAnsi="Aptos Narrow" w:cs="Times New Roman"/>
                <w:color w:val="000000"/>
                <w:kern w:val="0"/>
                <w:sz w:val="22"/>
                <w:szCs w:val="22"/>
                <w14:ligatures w14:val="none"/>
              </w:rPr>
              <w:t xml:space="preserve"> </w:t>
            </w:r>
            <w:r w:rsidRPr="00FD5494">
              <w:rPr>
                <w:rFonts w:ascii="Aptos Narrow" w:eastAsia="Times New Roman" w:hAnsi="Aptos Narrow" w:cs="Times New Roman"/>
                <w:color w:val="000000"/>
                <w:kern w:val="0"/>
                <w:sz w:val="22"/>
                <w:szCs w:val="22"/>
                <w14:ligatures w14:val="none"/>
              </w:rPr>
              <w:t>C</w:t>
            </w:r>
            <w:r w:rsidRPr="00FD5494">
              <w:rPr>
                <w:rFonts w:ascii="Aptos Narrow" w:eastAsia="Times New Roman" w:hAnsi="Aptos Narrow" w:cs="Times New Roman"/>
                <w:color w:val="000000"/>
                <w:kern w:val="0"/>
                <w:sz w:val="22"/>
                <w:szCs w:val="22"/>
                <w:vertAlign w:val="subscript"/>
                <w14:ligatures w14:val="none"/>
              </w:rPr>
              <w:t>2</w:t>
            </w:r>
            <w:r w:rsidRPr="00FD5494">
              <w:rPr>
                <w:rFonts w:ascii="Aptos Narrow" w:eastAsia="Times New Roman" w:hAnsi="Aptos Narrow" w:cs="Times New Roman"/>
                <w:color w:val="000000"/>
                <w:kern w:val="0"/>
                <w:sz w:val="22"/>
                <w:szCs w:val="22"/>
                <w14:ligatures w14:val="none"/>
              </w:rPr>
              <w:t>HS</w:t>
            </w:r>
          </w:p>
        </w:tc>
        <w:tc>
          <w:tcPr>
            <w:tcW w:w="1757" w:type="dxa"/>
            <w:tcBorders>
              <w:top w:val="nil"/>
              <w:left w:val="nil"/>
              <w:bottom w:val="nil"/>
              <w:right w:val="nil"/>
            </w:tcBorders>
            <w:noWrap/>
            <w:vAlign w:val="bottom"/>
            <w:hideMark/>
          </w:tcPr>
          <w:p w14:paraId="13520A8E"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Sham C</w:t>
            </w:r>
            <w:r w:rsidRPr="00FD5494">
              <w:rPr>
                <w:rFonts w:ascii="Aptos Narrow" w:eastAsia="Times New Roman" w:hAnsi="Aptos Narrow" w:cs="Times New Roman"/>
                <w:color w:val="000000"/>
                <w:kern w:val="0"/>
                <w:sz w:val="22"/>
                <w:szCs w:val="22"/>
                <w:vertAlign w:val="subscript"/>
                <w14:ligatures w14:val="none"/>
              </w:rPr>
              <w:t>2</w:t>
            </w:r>
            <w:r w:rsidRPr="00FD5494">
              <w:rPr>
                <w:rFonts w:ascii="Aptos Narrow" w:eastAsia="Times New Roman" w:hAnsi="Aptos Narrow" w:cs="Times New Roman"/>
                <w:color w:val="000000"/>
                <w:kern w:val="0"/>
                <w:sz w:val="22"/>
                <w:szCs w:val="22"/>
                <w14:ligatures w14:val="none"/>
              </w:rPr>
              <w:t>HS</w:t>
            </w:r>
          </w:p>
        </w:tc>
        <w:tc>
          <w:tcPr>
            <w:tcW w:w="1757" w:type="dxa"/>
            <w:tcBorders>
              <w:top w:val="nil"/>
              <w:left w:val="nil"/>
              <w:bottom w:val="nil"/>
              <w:right w:val="nil"/>
            </w:tcBorders>
            <w:noWrap/>
            <w:vAlign w:val="bottom"/>
            <w:hideMark/>
          </w:tcPr>
          <w:p w14:paraId="4D6B97AB"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Intact</w:t>
            </w:r>
          </w:p>
        </w:tc>
        <w:tc>
          <w:tcPr>
            <w:tcW w:w="1757" w:type="dxa"/>
            <w:tcBorders>
              <w:top w:val="nil"/>
              <w:left w:val="nil"/>
              <w:bottom w:val="nil"/>
              <w:right w:val="nil"/>
            </w:tcBorders>
            <w:noWrap/>
            <w:vAlign w:val="bottom"/>
            <w:hideMark/>
          </w:tcPr>
          <w:p w14:paraId="33A649CC"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Sham Intact</w:t>
            </w:r>
          </w:p>
        </w:tc>
        <w:tc>
          <w:tcPr>
            <w:tcW w:w="1757" w:type="dxa"/>
            <w:tcBorders>
              <w:top w:val="nil"/>
              <w:left w:val="nil"/>
              <w:bottom w:val="nil"/>
              <w:right w:val="nil"/>
            </w:tcBorders>
            <w:noWrap/>
            <w:vAlign w:val="bottom"/>
            <w:hideMark/>
          </w:tcPr>
          <w:p w14:paraId="0D69E650"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Transection</w:t>
            </w:r>
          </w:p>
        </w:tc>
        <w:tc>
          <w:tcPr>
            <w:tcW w:w="1757" w:type="dxa"/>
            <w:tcBorders>
              <w:top w:val="nil"/>
              <w:left w:val="nil"/>
              <w:bottom w:val="nil"/>
              <w:right w:val="nil"/>
            </w:tcBorders>
            <w:noWrap/>
            <w:vAlign w:val="bottom"/>
            <w:hideMark/>
          </w:tcPr>
          <w:p w14:paraId="32B53E51"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Intrathecal PTX</w:t>
            </w:r>
          </w:p>
        </w:tc>
        <w:tc>
          <w:tcPr>
            <w:tcW w:w="1757" w:type="dxa"/>
            <w:tcBorders>
              <w:top w:val="nil"/>
              <w:left w:val="nil"/>
              <w:bottom w:val="nil"/>
              <w:right w:val="nil"/>
            </w:tcBorders>
            <w:noWrap/>
            <w:vAlign w:val="bottom"/>
            <w:hideMark/>
          </w:tcPr>
          <w:p w14:paraId="6E246631"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Intrathecal Sham</w:t>
            </w:r>
          </w:p>
        </w:tc>
      </w:tr>
      <w:tr w:rsidR="00D5732A" w:rsidRPr="00FD5494" w14:paraId="35AE837E" w14:textId="77777777" w:rsidTr="006E21A3">
        <w:trPr>
          <w:trHeight w:val="339"/>
        </w:trPr>
        <w:tc>
          <w:tcPr>
            <w:tcW w:w="1531" w:type="dxa"/>
            <w:tcBorders>
              <w:top w:val="nil"/>
              <w:left w:val="nil"/>
              <w:bottom w:val="nil"/>
              <w:right w:val="nil"/>
            </w:tcBorders>
            <w:noWrap/>
            <w:vAlign w:val="bottom"/>
            <w:hideMark/>
          </w:tcPr>
          <w:p w14:paraId="666C53D6" w14:textId="77777777" w:rsidR="00D5732A" w:rsidRPr="00FD5494" w:rsidRDefault="00D5732A" w:rsidP="006E21A3">
            <w:pPr>
              <w:spacing w:after="0" w:line="240" w:lineRule="auto"/>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Time</w:t>
            </w:r>
            <w:r w:rsidRPr="00FD5494">
              <w:rPr>
                <w:rFonts w:ascii="Aptos Narrow" w:eastAsia="Times New Roman" w:hAnsi="Aptos Narrow" w:cs="Times New Roman"/>
                <w:color w:val="000000"/>
                <w:kern w:val="0"/>
                <w:sz w:val="22"/>
                <w:szCs w:val="22"/>
                <w14:ligatures w14:val="none"/>
              </w:rPr>
              <w:t xml:space="preserve"> 1</w:t>
            </w:r>
          </w:p>
        </w:tc>
        <w:tc>
          <w:tcPr>
            <w:tcW w:w="1757" w:type="dxa"/>
            <w:tcBorders>
              <w:top w:val="nil"/>
              <w:left w:val="nil"/>
              <w:bottom w:val="nil"/>
              <w:right w:val="nil"/>
            </w:tcBorders>
            <w:noWrap/>
            <w:vAlign w:val="bottom"/>
            <w:hideMark/>
          </w:tcPr>
          <w:p w14:paraId="64D91CFF"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p>
        </w:tc>
        <w:tc>
          <w:tcPr>
            <w:tcW w:w="1757" w:type="dxa"/>
            <w:tcBorders>
              <w:top w:val="nil"/>
              <w:left w:val="nil"/>
              <w:bottom w:val="nil"/>
              <w:right w:val="nil"/>
            </w:tcBorders>
            <w:noWrap/>
            <w:vAlign w:val="bottom"/>
            <w:hideMark/>
          </w:tcPr>
          <w:p w14:paraId="783A3DD2"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6D62A3A9"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7C2D8CB1"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7A7B5DB4"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69C6C8E2"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0A15881B"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77132CE7"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r>
      <w:tr w:rsidR="00D5732A" w:rsidRPr="00FD5494" w14:paraId="481F2A97" w14:textId="77777777" w:rsidTr="006E21A3">
        <w:trPr>
          <w:trHeight w:val="339"/>
        </w:trPr>
        <w:tc>
          <w:tcPr>
            <w:tcW w:w="1531" w:type="dxa"/>
            <w:tcBorders>
              <w:top w:val="nil"/>
              <w:left w:val="nil"/>
              <w:bottom w:val="nil"/>
              <w:right w:val="nil"/>
            </w:tcBorders>
            <w:noWrap/>
            <w:vAlign w:val="bottom"/>
            <w:hideMark/>
          </w:tcPr>
          <w:p w14:paraId="02F75012"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pH</w:t>
            </w:r>
          </w:p>
        </w:tc>
        <w:tc>
          <w:tcPr>
            <w:tcW w:w="1757" w:type="dxa"/>
            <w:tcBorders>
              <w:top w:val="nil"/>
              <w:left w:val="nil"/>
              <w:bottom w:val="nil"/>
              <w:right w:val="nil"/>
            </w:tcBorders>
            <w:noWrap/>
            <w:vAlign w:val="bottom"/>
            <w:hideMark/>
          </w:tcPr>
          <w:p w14:paraId="64C7671A"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7.341 +/- 0.036</w:t>
            </w:r>
          </w:p>
        </w:tc>
        <w:tc>
          <w:tcPr>
            <w:tcW w:w="1757" w:type="dxa"/>
            <w:tcBorders>
              <w:top w:val="nil"/>
              <w:left w:val="nil"/>
              <w:bottom w:val="nil"/>
              <w:right w:val="nil"/>
            </w:tcBorders>
            <w:noWrap/>
            <w:vAlign w:val="bottom"/>
            <w:hideMark/>
          </w:tcPr>
          <w:p w14:paraId="50CB42DD"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7.366 +/- 0.026</w:t>
            </w:r>
          </w:p>
        </w:tc>
        <w:tc>
          <w:tcPr>
            <w:tcW w:w="1757" w:type="dxa"/>
            <w:tcBorders>
              <w:top w:val="nil"/>
              <w:left w:val="nil"/>
              <w:bottom w:val="nil"/>
              <w:right w:val="nil"/>
            </w:tcBorders>
            <w:noWrap/>
            <w:vAlign w:val="bottom"/>
            <w:hideMark/>
          </w:tcPr>
          <w:p w14:paraId="20D0F0C7"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7.34 +/- 0.039</w:t>
            </w:r>
          </w:p>
        </w:tc>
        <w:tc>
          <w:tcPr>
            <w:tcW w:w="1757" w:type="dxa"/>
            <w:tcBorders>
              <w:top w:val="nil"/>
              <w:left w:val="nil"/>
              <w:bottom w:val="nil"/>
              <w:right w:val="nil"/>
            </w:tcBorders>
            <w:noWrap/>
            <w:vAlign w:val="bottom"/>
            <w:hideMark/>
          </w:tcPr>
          <w:p w14:paraId="0AB1C9A1"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7.379 +/- 0.018</w:t>
            </w:r>
          </w:p>
        </w:tc>
        <w:tc>
          <w:tcPr>
            <w:tcW w:w="1757" w:type="dxa"/>
            <w:tcBorders>
              <w:top w:val="nil"/>
              <w:left w:val="nil"/>
              <w:bottom w:val="nil"/>
              <w:right w:val="nil"/>
            </w:tcBorders>
            <w:noWrap/>
            <w:vAlign w:val="bottom"/>
            <w:hideMark/>
          </w:tcPr>
          <w:p w14:paraId="6190D5F7"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7.365 +/- 0.013</w:t>
            </w:r>
          </w:p>
        </w:tc>
        <w:tc>
          <w:tcPr>
            <w:tcW w:w="1757" w:type="dxa"/>
            <w:tcBorders>
              <w:top w:val="nil"/>
              <w:left w:val="nil"/>
              <w:bottom w:val="nil"/>
              <w:right w:val="nil"/>
            </w:tcBorders>
            <w:noWrap/>
            <w:vAlign w:val="bottom"/>
            <w:hideMark/>
          </w:tcPr>
          <w:p w14:paraId="0C6D5294"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7.332 +/- 0.028</w:t>
            </w:r>
          </w:p>
        </w:tc>
        <w:tc>
          <w:tcPr>
            <w:tcW w:w="1757" w:type="dxa"/>
            <w:tcBorders>
              <w:top w:val="nil"/>
              <w:left w:val="nil"/>
              <w:bottom w:val="nil"/>
              <w:right w:val="nil"/>
            </w:tcBorders>
            <w:noWrap/>
            <w:vAlign w:val="bottom"/>
            <w:hideMark/>
          </w:tcPr>
          <w:p w14:paraId="5905B62E" w14:textId="708C05D6"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7.338 +/- 0.030</w:t>
            </w:r>
          </w:p>
        </w:tc>
        <w:tc>
          <w:tcPr>
            <w:tcW w:w="1757" w:type="dxa"/>
            <w:tcBorders>
              <w:top w:val="nil"/>
              <w:left w:val="nil"/>
              <w:bottom w:val="nil"/>
              <w:right w:val="nil"/>
            </w:tcBorders>
            <w:noWrap/>
            <w:vAlign w:val="bottom"/>
            <w:hideMark/>
          </w:tcPr>
          <w:p w14:paraId="4B2AE850" w14:textId="1DEEC720"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7.365 +/- 0.045</w:t>
            </w:r>
          </w:p>
        </w:tc>
      </w:tr>
      <w:tr w:rsidR="00D5732A" w:rsidRPr="00FD5494" w14:paraId="243E2677" w14:textId="77777777" w:rsidTr="006E21A3">
        <w:trPr>
          <w:trHeight w:val="339"/>
        </w:trPr>
        <w:tc>
          <w:tcPr>
            <w:tcW w:w="1531" w:type="dxa"/>
            <w:tcBorders>
              <w:top w:val="nil"/>
              <w:left w:val="nil"/>
              <w:bottom w:val="nil"/>
              <w:right w:val="nil"/>
            </w:tcBorders>
            <w:noWrap/>
            <w:vAlign w:val="bottom"/>
            <w:hideMark/>
          </w:tcPr>
          <w:p w14:paraId="6EB1C16A"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pCO</w:t>
            </w:r>
            <w:r w:rsidRPr="00FD5494">
              <w:rPr>
                <w:rFonts w:ascii="Aptos Narrow" w:eastAsia="Times New Roman" w:hAnsi="Aptos Narrow" w:cs="Times New Roman"/>
                <w:color w:val="000000"/>
                <w:kern w:val="0"/>
                <w:sz w:val="22"/>
                <w:szCs w:val="22"/>
                <w:vertAlign w:val="subscript"/>
                <w14:ligatures w14:val="none"/>
              </w:rPr>
              <w:t>2</w:t>
            </w:r>
            <w:r>
              <w:rPr>
                <w:rFonts w:ascii="Aptos Narrow" w:eastAsia="Times New Roman" w:hAnsi="Aptos Narrow" w:cs="Times New Roman"/>
                <w:color w:val="000000"/>
                <w:kern w:val="0"/>
                <w:sz w:val="22"/>
                <w:szCs w:val="22"/>
                <w14:ligatures w14:val="none"/>
              </w:rPr>
              <w:t xml:space="preserve"> (mmHg)</w:t>
            </w:r>
          </w:p>
        </w:tc>
        <w:tc>
          <w:tcPr>
            <w:tcW w:w="1757" w:type="dxa"/>
            <w:tcBorders>
              <w:top w:val="nil"/>
              <w:left w:val="nil"/>
              <w:bottom w:val="nil"/>
              <w:right w:val="nil"/>
            </w:tcBorders>
            <w:noWrap/>
            <w:vAlign w:val="bottom"/>
            <w:hideMark/>
          </w:tcPr>
          <w:p w14:paraId="3455E230"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45.0 +/- 4.3</w:t>
            </w:r>
          </w:p>
        </w:tc>
        <w:tc>
          <w:tcPr>
            <w:tcW w:w="1757" w:type="dxa"/>
            <w:tcBorders>
              <w:top w:val="nil"/>
              <w:left w:val="nil"/>
              <w:bottom w:val="nil"/>
              <w:right w:val="nil"/>
            </w:tcBorders>
            <w:noWrap/>
            <w:vAlign w:val="bottom"/>
            <w:hideMark/>
          </w:tcPr>
          <w:p w14:paraId="5DD32DD1"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42.6 +/- 2.8</w:t>
            </w:r>
          </w:p>
        </w:tc>
        <w:tc>
          <w:tcPr>
            <w:tcW w:w="1757" w:type="dxa"/>
            <w:tcBorders>
              <w:top w:val="nil"/>
              <w:left w:val="nil"/>
              <w:bottom w:val="nil"/>
              <w:right w:val="nil"/>
            </w:tcBorders>
            <w:noWrap/>
            <w:vAlign w:val="bottom"/>
            <w:hideMark/>
          </w:tcPr>
          <w:p w14:paraId="099197BA"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46.5 +/- 4.3</w:t>
            </w:r>
          </w:p>
        </w:tc>
        <w:tc>
          <w:tcPr>
            <w:tcW w:w="1757" w:type="dxa"/>
            <w:tcBorders>
              <w:top w:val="nil"/>
              <w:left w:val="nil"/>
              <w:bottom w:val="nil"/>
              <w:right w:val="nil"/>
            </w:tcBorders>
            <w:noWrap/>
            <w:vAlign w:val="bottom"/>
            <w:hideMark/>
          </w:tcPr>
          <w:p w14:paraId="31766428"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40.6 +/- 2.5</w:t>
            </w:r>
          </w:p>
        </w:tc>
        <w:tc>
          <w:tcPr>
            <w:tcW w:w="1757" w:type="dxa"/>
            <w:tcBorders>
              <w:top w:val="nil"/>
              <w:left w:val="nil"/>
              <w:bottom w:val="nil"/>
              <w:right w:val="nil"/>
            </w:tcBorders>
            <w:noWrap/>
            <w:vAlign w:val="bottom"/>
            <w:hideMark/>
          </w:tcPr>
          <w:p w14:paraId="25ED251B"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39.5 +/- 3.6</w:t>
            </w:r>
          </w:p>
        </w:tc>
        <w:tc>
          <w:tcPr>
            <w:tcW w:w="1757" w:type="dxa"/>
            <w:tcBorders>
              <w:top w:val="nil"/>
              <w:left w:val="nil"/>
              <w:bottom w:val="nil"/>
              <w:right w:val="nil"/>
            </w:tcBorders>
            <w:noWrap/>
            <w:vAlign w:val="bottom"/>
            <w:hideMark/>
          </w:tcPr>
          <w:p w14:paraId="15B536BB"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43.7 +/- 5.6</w:t>
            </w:r>
          </w:p>
        </w:tc>
        <w:tc>
          <w:tcPr>
            <w:tcW w:w="1757" w:type="dxa"/>
            <w:tcBorders>
              <w:top w:val="nil"/>
              <w:left w:val="nil"/>
              <w:bottom w:val="nil"/>
              <w:right w:val="nil"/>
            </w:tcBorders>
            <w:noWrap/>
            <w:vAlign w:val="bottom"/>
            <w:hideMark/>
          </w:tcPr>
          <w:p w14:paraId="64016711" w14:textId="38B555B2"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38.7 +/- 3.2</w:t>
            </w:r>
          </w:p>
        </w:tc>
        <w:tc>
          <w:tcPr>
            <w:tcW w:w="1757" w:type="dxa"/>
            <w:tcBorders>
              <w:top w:val="nil"/>
              <w:left w:val="nil"/>
              <w:bottom w:val="nil"/>
              <w:right w:val="nil"/>
            </w:tcBorders>
            <w:noWrap/>
            <w:vAlign w:val="bottom"/>
            <w:hideMark/>
          </w:tcPr>
          <w:p w14:paraId="24DBEDCA" w14:textId="13E85EC3"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43.4 +/- 5.6</w:t>
            </w:r>
          </w:p>
        </w:tc>
      </w:tr>
      <w:tr w:rsidR="00D5732A" w:rsidRPr="00FD5494" w14:paraId="0E1B78A7" w14:textId="77777777" w:rsidTr="006E21A3">
        <w:trPr>
          <w:trHeight w:val="339"/>
        </w:trPr>
        <w:tc>
          <w:tcPr>
            <w:tcW w:w="1531" w:type="dxa"/>
            <w:tcBorders>
              <w:top w:val="nil"/>
              <w:left w:val="nil"/>
              <w:bottom w:val="nil"/>
              <w:right w:val="nil"/>
            </w:tcBorders>
            <w:noWrap/>
            <w:vAlign w:val="bottom"/>
            <w:hideMark/>
          </w:tcPr>
          <w:p w14:paraId="7F567307"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pO</w:t>
            </w:r>
            <w:r w:rsidRPr="00FD5494">
              <w:rPr>
                <w:rFonts w:ascii="Aptos Narrow" w:eastAsia="Times New Roman" w:hAnsi="Aptos Narrow" w:cs="Times New Roman"/>
                <w:color w:val="000000"/>
                <w:kern w:val="0"/>
                <w:sz w:val="22"/>
                <w:szCs w:val="22"/>
                <w:vertAlign w:val="subscript"/>
                <w14:ligatures w14:val="none"/>
              </w:rPr>
              <w:t>2</w:t>
            </w:r>
            <w:r>
              <w:rPr>
                <w:rFonts w:ascii="Aptos Narrow" w:eastAsia="Times New Roman" w:hAnsi="Aptos Narrow" w:cs="Times New Roman"/>
                <w:color w:val="000000"/>
                <w:kern w:val="0"/>
                <w:sz w:val="22"/>
                <w:szCs w:val="22"/>
                <w14:ligatures w14:val="none"/>
              </w:rPr>
              <w:t xml:space="preserve"> (mmHg)</w:t>
            </w:r>
          </w:p>
        </w:tc>
        <w:tc>
          <w:tcPr>
            <w:tcW w:w="1757" w:type="dxa"/>
            <w:tcBorders>
              <w:top w:val="nil"/>
              <w:left w:val="nil"/>
              <w:bottom w:val="nil"/>
              <w:right w:val="nil"/>
            </w:tcBorders>
            <w:noWrap/>
            <w:vAlign w:val="bottom"/>
            <w:hideMark/>
          </w:tcPr>
          <w:p w14:paraId="3287BE8B"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131.4 +/- 24.0</w:t>
            </w:r>
          </w:p>
        </w:tc>
        <w:tc>
          <w:tcPr>
            <w:tcW w:w="1757" w:type="dxa"/>
            <w:tcBorders>
              <w:top w:val="nil"/>
              <w:left w:val="nil"/>
              <w:bottom w:val="nil"/>
              <w:right w:val="nil"/>
            </w:tcBorders>
            <w:noWrap/>
            <w:vAlign w:val="bottom"/>
            <w:hideMark/>
          </w:tcPr>
          <w:p w14:paraId="1CA59CA9"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147.8 +/- 16.5</w:t>
            </w:r>
          </w:p>
        </w:tc>
        <w:tc>
          <w:tcPr>
            <w:tcW w:w="1757" w:type="dxa"/>
            <w:tcBorders>
              <w:top w:val="nil"/>
              <w:left w:val="nil"/>
              <w:bottom w:val="nil"/>
              <w:right w:val="nil"/>
            </w:tcBorders>
            <w:noWrap/>
            <w:vAlign w:val="bottom"/>
            <w:hideMark/>
          </w:tcPr>
          <w:p w14:paraId="1877C1C9"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136.1 +/- 15.0</w:t>
            </w:r>
          </w:p>
        </w:tc>
        <w:tc>
          <w:tcPr>
            <w:tcW w:w="1757" w:type="dxa"/>
            <w:tcBorders>
              <w:top w:val="nil"/>
              <w:left w:val="nil"/>
              <w:bottom w:val="nil"/>
              <w:right w:val="nil"/>
            </w:tcBorders>
            <w:noWrap/>
            <w:vAlign w:val="bottom"/>
            <w:hideMark/>
          </w:tcPr>
          <w:p w14:paraId="4551ECF3"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149.4 +/- 18.9</w:t>
            </w:r>
          </w:p>
        </w:tc>
        <w:tc>
          <w:tcPr>
            <w:tcW w:w="1757" w:type="dxa"/>
            <w:tcBorders>
              <w:top w:val="nil"/>
              <w:left w:val="nil"/>
              <w:bottom w:val="nil"/>
              <w:right w:val="nil"/>
            </w:tcBorders>
            <w:noWrap/>
            <w:vAlign w:val="bottom"/>
            <w:hideMark/>
          </w:tcPr>
          <w:p w14:paraId="72FBF134"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146.4 +/- 15.0</w:t>
            </w:r>
          </w:p>
        </w:tc>
        <w:tc>
          <w:tcPr>
            <w:tcW w:w="1757" w:type="dxa"/>
            <w:tcBorders>
              <w:top w:val="nil"/>
              <w:left w:val="nil"/>
              <w:bottom w:val="nil"/>
              <w:right w:val="nil"/>
            </w:tcBorders>
            <w:noWrap/>
            <w:vAlign w:val="bottom"/>
            <w:hideMark/>
          </w:tcPr>
          <w:p w14:paraId="46614A4E"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155.6 +/- 22.8</w:t>
            </w:r>
          </w:p>
        </w:tc>
        <w:tc>
          <w:tcPr>
            <w:tcW w:w="1757" w:type="dxa"/>
            <w:tcBorders>
              <w:top w:val="nil"/>
              <w:left w:val="nil"/>
              <w:bottom w:val="nil"/>
              <w:right w:val="nil"/>
            </w:tcBorders>
            <w:noWrap/>
            <w:vAlign w:val="bottom"/>
            <w:hideMark/>
          </w:tcPr>
          <w:p w14:paraId="1D6C7A44" w14:textId="7F7FE55F"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147.3 +/- 20.9</w:t>
            </w:r>
          </w:p>
        </w:tc>
        <w:tc>
          <w:tcPr>
            <w:tcW w:w="1757" w:type="dxa"/>
            <w:tcBorders>
              <w:top w:val="nil"/>
              <w:left w:val="nil"/>
              <w:bottom w:val="nil"/>
              <w:right w:val="nil"/>
            </w:tcBorders>
            <w:noWrap/>
            <w:vAlign w:val="bottom"/>
            <w:hideMark/>
          </w:tcPr>
          <w:p w14:paraId="659B33B4" w14:textId="66276FD6"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131.6 +/- 36.6</w:t>
            </w:r>
          </w:p>
        </w:tc>
      </w:tr>
      <w:tr w:rsidR="00D5732A" w:rsidRPr="00FD5494" w14:paraId="7E21F6D6" w14:textId="77777777" w:rsidTr="006E21A3">
        <w:trPr>
          <w:trHeight w:val="339"/>
        </w:trPr>
        <w:tc>
          <w:tcPr>
            <w:tcW w:w="1531" w:type="dxa"/>
            <w:tcBorders>
              <w:top w:val="nil"/>
              <w:left w:val="nil"/>
              <w:bottom w:val="nil"/>
              <w:right w:val="nil"/>
            </w:tcBorders>
            <w:noWrap/>
            <w:vAlign w:val="bottom"/>
            <w:hideMark/>
          </w:tcPr>
          <w:p w14:paraId="4EF06699"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proofErr w:type="spellStart"/>
            <w:r w:rsidRPr="00FD5494">
              <w:rPr>
                <w:rFonts w:ascii="Aptos Narrow" w:eastAsia="Times New Roman" w:hAnsi="Aptos Narrow" w:cs="Times New Roman"/>
                <w:color w:val="000000"/>
                <w:kern w:val="0"/>
                <w:sz w:val="22"/>
                <w:szCs w:val="22"/>
                <w14:ligatures w14:val="none"/>
              </w:rPr>
              <w:t>tHb</w:t>
            </w:r>
            <w:proofErr w:type="spellEnd"/>
            <w:r>
              <w:rPr>
                <w:rFonts w:ascii="Aptos Narrow" w:eastAsia="Times New Roman" w:hAnsi="Aptos Narrow" w:cs="Times New Roman"/>
                <w:color w:val="000000"/>
                <w:kern w:val="0"/>
                <w:sz w:val="22"/>
                <w:szCs w:val="22"/>
                <w14:ligatures w14:val="none"/>
              </w:rPr>
              <w:t xml:space="preserve"> (g/dL)</w:t>
            </w:r>
          </w:p>
        </w:tc>
        <w:tc>
          <w:tcPr>
            <w:tcW w:w="1757" w:type="dxa"/>
            <w:tcBorders>
              <w:top w:val="nil"/>
              <w:left w:val="nil"/>
              <w:bottom w:val="nil"/>
              <w:right w:val="nil"/>
            </w:tcBorders>
            <w:noWrap/>
            <w:vAlign w:val="bottom"/>
            <w:hideMark/>
          </w:tcPr>
          <w:p w14:paraId="779CE3CE"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13.3 +/- 0.8</w:t>
            </w:r>
          </w:p>
        </w:tc>
        <w:tc>
          <w:tcPr>
            <w:tcW w:w="1757" w:type="dxa"/>
            <w:tcBorders>
              <w:top w:val="nil"/>
              <w:left w:val="nil"/>
              <w:bottom w:val="nil"/>
              <w:right w:val="nil"/>
            </w:tcBorders>
            <w:noWrap/>
            <w:vAlign w:val="bottom"/>
            <w:hideMark/>
          </w:tcPr>
          <w:p w14:paraId="58DC4913"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14.0 +/- 0.8</w:t>
            </w:r>
          </w:p>
        </w:tc>
        <w:tc>
          <w:tcPr>
            <w:tcW w:w="1757" w:type="dxa"/>
            <w:tcBorders>
              <w:top w:val="nil"/>
              <w:left w:val="nil"/>
              <w:bottom w:val="nil"/>
              <w:right w:val="nil"/>
            </w:tcBorders>
            <w:noWrap/>
            <w:vAlign w:val="bottom"/>
            <w:hideMark/>
          </w:tcPr>
          <w:p w14:paraId="15EC45D5"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14.4 +/- 0.4</w:t>
            </w:r>
          </w:p>
        </w:tc>
        <w:tc>
          <w:tcPr>
            <w:tcW w:w="1757" w:type="dxa"/>
            <w:tcBorders>
              <w:top w:val="nil"/>
              <w:left w:val="nil"/>
              <w:bottom w:val="nil"/>
              <w:right w:val="nil"/>
            </w:tcBorders>
            <w:noWrap/>
            <w:vAlign w:val="bottom"/>
            <w:hideMark/>
          </w:tcPr>
          <w:p w14:paraId="243FAD62"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13.6 +/- 0.7</w:t>
            </w:r>
          </w:p>
        </w:tc>
        <w:tc>
          <w:tcPr>
            <w:tcW w:w="1757" w:type="dxa"/>
            <w:tcBorders>
              <w:top w:val="nil"/>
              <w:left w:val="nil"/>
              <w:bottom w:val="nil"/>
              <w:right w:val="nil"/>
            </w:tcBorders>
            <w:noWrap/>
            <w:vAlign w:val="bottom"/>
            <w:hideMark/>
          </w:tcPr>
          <w:p w14:paraId="39EB5A80"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13.6 +/- 1.2</w:t>
            </w:r>
          </w:p>
        </w:tc>
        <w:tc>
          <w:tcPr>
            <w:tcW w:w="1757" w:type="dxa"/>
            <w:tcBorders>
              <w:top w:val="nil"/>
              <w:left w:val="nil"/>
              <w:bottom w:val="nil"/>
              <w:right w:val="nil"/>
            </w:tcBorders>
            <w:noWrap/>
            <w:vAlign w:val="bottom"/>
            <w:hideMark/>
          </w:tcPr>
          <w:p w14:paraId="14FBA86F"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13.0 +/- 2.0</w:t>
            </w:r>
          </w:p>
        </w:tc>
        <w:tc>
          <w:tcPr>
            <w:tcW w:w="1757" w:type="dxa"/>
            <w:tcBorders>
              <w:top w:val="nil"/>
              <w:left w:val="nil"/>
              <w:bottom w:val="nil"/>
              <w:right w:val="nil"/>
            </w:tcBorders>
            <w:noWrap/>
            <w:vAlign w:val="bottom"/>
            <w:hideMark/>
          </w:tcPr>
          <w:p w14:paraId="15796C30" w14:textId="287018A0"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13.0 +/- 2.1</w:t>
            </w:r>
          </w:p>
        </w:tc>
        <w:tc>
          <w:tcPr>
            <w:tcW w:w="1757" w:type="dxa"/>
            <w:tcBorders>
              <w:top w:val="nil"/>
              <w:left w:val="nil"/>
              <w:bottom w:val="nil"/>
              <w:right w:val="nil"/>
            </w:tcBorders>
            <w:noWrap/>
            <w:vAlign w:val="bottom"/>
            <w:hideMark/>
          </w:tcPr>
          <w:p w14:paraId="6E383A50" w14:textId="2D43B74A"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12.7 +/- 2.5</w:t>
            </w:r>
          </w:p>
        </w:tc>
      </w:tr>
      <w:tr w:rsidR="00D5732A" w:rsidRPr="00FD5494" w14:paraId="7721D22D" w14:textId="77777777" w:rsidTr="006E21A3">
        <w:trPr>
          <w:trHeight w:val="339"/>
        </w:trPr>
        <w:tc>
          <w:tcPr>
            <w:tcW w:w="1531" w:type="dxa"/>
            <w:tcBorders>
              <w:top w:val="nil"/>
              <w:left w:val="nil"/>
              <w:bottom w:val="nil"/>
              <w:right w:val="nil"/>
            </w:tcBorders>
            <w:noWrap/>
            <w:vAlign w:val="bottom"/>
            <w:hideMark/>
          </w:tcPr>
          <w:p w14:paraId="78075F9B" w14:textId="77777777" w:rsidR="00D5732A" w:rsidRDefault="00D5732A" w:rsidP="006E21A3">
            <w:pPr>
              <w:spacing w:after="0" w:line="240" w:lineRule="auto"/>
              <w:rPr>
                <w:rFonts w:ascii="Aptos Narrow" w:eastAsia="Times New Roman" w:hAnsi="Aptos Narrow" w:cs="Times New Roman"/>
                <w:color w:val="000000"/>
                <w:kern w:val="0"/>
                <w:sz w:val="22"/>
                <w:szCs w:val="22"/>
                <w14:ligatures w14:val="none"/>
              </w:rPr>
            </w:pPr>
          </w:p>
          <w:p w14:paraId="4DEBC4DA" w14:textId="77777777" w:rsidR="00D5732A" w:rsidRPr="00FD5494" w:rsidRDefault="00D5732A" w:rsidP="006E21A3">
            <w:pPr>
              <w:spacing w:after="0" w:line="240" w:lineRule="auto"/>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Time</w:t>
            </w:r>
            <w:r w:rsidRPr="00FD5494">
              <w:rPr>
                <w:rFonts w:ascii="Aptos Narrow" w:eastAsia="Times New Roman" w:hAnsi="Aptos Narrow" w:cs="Times New Roman"/>
                <w:color w:val="000000"/>
                <w:kern w:val="0"/>
                <w:sz w:val="22"/>
                <w:szCs w:val="22"/>
                <w14:ligatures w14:val="none"/>
              </w:rPr>
              <w:t xml:space="preserve"> 2</w:t>
            </w:r>
          </w:p>
        </w:tc>
        <w:tc>
          <w:tcPr>
            <w:tcW w:w="1757" w:type="dxa"/>
            <w:tcBorders>
              <w:top w:val="nil"/>
              <w:left w:val="nil"/>
              <w:bottom w:val="nil"/>
              <w:right w:val="nil"/>
            </w:tcBorders>
            <w:noWrap/>
            <w:vAlign w:val="bottom"/>
            <w:hideMark/>
          </w:tcPr>
          <w:p w14:paraId="68EBCFA9"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p>
        </w:tc>
        <w:tc>
          <w:tcPr>
            <w:tcW w:w="1757" w:type="dxa"/>
            <w:tcBorders>
              <w:top w:val="nil"/>
              <w:left w:val="nil"/>
              <w:bottom w:val="nil"/>
              <w:right w:val="nil"/>
            </w:tcBorders>
            <w:noWrap/>
            <w:vAlign w:val="bottom"/>
            <w:hideMark/>
          </w:tcPr>
          <w:p w14:paraId="398A78E3"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104C64EC"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5DC87E03"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6F970F7B"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1139CC16"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715718C5"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355E20EC"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r>
      <w:tr w:rsidR="00D5732A" w:rsidRPr="00FD5494" w14:paraId="17B60249" w14:textId="77777777" w:rsidTr="006E21A3">
        <w:trPr>
          <w:trHeight w:val="339"/>
        </w:trPr>
        <w:tc>
          <w:tcPr>
            <w:tcW w:w="1531" w:type="dxa"/>
            <w:tcBorders>
              <w:top w:val="nil"/>
              <w:left w:val="nil"/>
              <w:bottom w:val="nil"/>
              <w:right w:val="nil"/>
            </w:tcBorders>
            <w:noWrap/>
            <w:vAlign w:val="bottom"/>
            <w:hideMark/>
          </w:tcPr>
          <w:p w14:paraId="6788FD62"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pH</w:t>
            </w:r>
          </w:p>
        </w:tc>
        <w:tc>
          <w:tcPr>
            <w:tcW w:w="1757" w:type="dxa"/>
            <w:tcBorders>
              <w:top w:val="nil"/>
              <w:left w:val="nil"/>
              <w:bottom w:val="nil"/>
              <w:right w:val="nil"/>
            </w:tcBorders>
            <w:noWrap/>
            <w:vAlign w:val="bottom"/>
            <w:hideMark/>
          </w:tcPr>
          <w:p w14:paraId="0D6D8E51"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7.340 +/- 0.033</w:t>
            </w:r>
          </w:p>
        </w:tc>
        <w:tc>
          <w:tcPr>
            <w:tcW w:w="1757" w:type="dxa"/>
            <w:tcBorders>
              <w:top w:val="nil"/>
              <w:left w:val="nil"/>
              <w:bottom w:val="nil"/>
              <w:right w:val="nil"/>
            </w:tcBorders>
            <w:noWrap/>
            <w:vAlign w:val="bottom"/>
            <w:hideMark/>
          </w:tcPr>
          <w:p w14:paraId="3EF97A9D"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7.376 +/- 0.032</w:t>
            </w:r>
          </w:p>
        </w:tc>
        <w:tc>
          <w:tcPr>
            <w:tcW w:w="1757" w:type="dxa"/>
            <w:tcBorders>
              <w:top w:val="nil"/>
              <w:left w:val="nil"/>
              <w:bottom w:val="nil"/>
              <w:right w:val="nil"/>
            </w:tcBorders>
            <w:noWrap/>
            <w:vAlign w:val="bottom"/>
            <w:hideMark/>
          </w:tcPr>
          <w:p w14:paraId="03E1B3ED"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7.328 +/- 0.038</w:t>
            </w:r>
          </w:p>
        </w:tc>
        <w:tc>
          <w:tcPr>
            <w:tcW w:w="1757" w:type="dxa"/>
            <w:tcBorders>
              <w:top w:val="nil"/>
              <w:left w:val="nil"/>
              <w:bottom w:val="nil"/>
              <w:right w:val="nil"/>
            </w:tcBorders>
            <w:noWrap/>
            <w:vAlign w:val="bottom"/>
            <w:hideMark/>
          </w:tcPr>
          <w:p w14:paraId="04C04B3D"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7.394 +/- 0.021</w:t>
            </w:r>
          </w:p>
        </w:tc>
        <w:tc>
          <w:tcPr>
            <w:tcW w:w="1757" w:type="dxa"/>
            <w:tcBorders>
              <w:top w:val="nil"/>
              <w:left w:val="nil"/>
              <w:bottom w:val="nil"/>
              <w:right w:val="nil"/>
            </w:tcBorders>
            <w:noWrap/>
            <w:vAlign w:val="bottom"/>
            <w:hideMark/>
          </w:tcPr>
          <w:p w14:paraId="60132937"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7.361 +/- 0.015</w:t>
            </w:r>
          </w:p>
        </w:tc>
        <w:tc>
          <w:tcPr>
            <w:tcW w:w="1757" w:type="dxa"/>
            <w:tcBorders>
              <w:top w:val="nil"/>
              <w:left w:val="nil"/>
              <w:bottom w:val="nil"/>
              <w:right w:val="nil"/>
            </w:tcBorders>
            <w:noWrap/>
            <w:vAlign w:val="bottom"/>
            <w:hideMark/>
          </w:tcPr>
          <w:p w14:paraId="5A211CD0"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7.335 +/- 0.042</w:t>
            </w:r>
          </w:p>
        </w:tc>
        <w:tc>
          <w:tcPr>
            <w:tcW w:w="1757" w:type="dxa"/>
            <w:tcBorders>
              <w:top w:val="nil"/>
              <w:left w:val="nil"/>
              <w:bottom w:val="nil"/>
              <w:right w:val="nil"/>
            </w:tcBorders>
            <w:noWrap/>
            <w:vAlign w:val="bottom"/>
            <w:hideMark/>
          </w:tcPr>
          <w:p w14:paraId="435B3EBD" w14:textId="5E97429E"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7.395 +/- 0.053</w:t>
            </w:r>
          </w:p>
        </w:tc>
        <w:tc>
          <w:tcPr>
            <w:tcW w:w="1757" w:type="dxa"/>
            <w:tcBorders>
              <w:top w:val="nil"/>
              <w:left w:val="nil"/>
              <w:bottom w:val="nil"/>
              <w:right w:val="nil"/>
            </w:tcBorders>
            <w:noWrap/>
            <w:vAlign w:val="bottom"/>
            <w:hideMark/>
          </w:tcPr>
          <w:p w14:paraId="1E82B712" w14:textId="002556B9"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7.405 +/- 0.042</w:t>
            </w:r>
          </w:p>
        </w:tc>
      </w:tr>
      <w:tr w:rsidR="00D5732A" w:rsidRPr="00FD5494" w14:paraId="2E41C035" w14:textId="77777777" w:rsidTr="006E21A3">
        <w:trPr>
          <w:trHeight w:val="339"/>
        </w:trPr>
        <w:tc>
          <w:tcPr>
            <w:tcW w:w="1531" w:type="dxa"/>
            <w:tcBorders>
              <w:top w:val="nil"/>
              <w:left w:val="nil"/>
              <w:bottom w:val="nil"/>
              <w:right w:val="nil"/>
            </w:tcBorders>
            <w:noWrap/>
            <w:vAlign w:val="bottom"/>
            <w:hideMark/>
          </w:tcPr>
          <w:p w14:paraId="3C826EB4"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pCO</w:t>
            </w:r>
            <w:r w:rsidRPr="00FD5494">
              <w:rPr>
                <w:rFonts w:ascii="Aptos Narrow" w:eastAsia="Times New Roman" w:hAnsi="Aptos Narrow" w:cs="Times New Roman"/>
                <w:color w:val="000000"/>
                <w:kern w:val="0"/>
                <w:sz w:val="22"/>
                <w:szCs w:val="22"/>
                <w:vertAlign w:val="subscript"/>
                <w14:ligatures w14:val="none"/>
              </w:rPr>
              <w:t>2</w:t>
            </w:r>
            <w:r>
              <w:rPr>
                <w:rFonts w:ascii="Aptos Narrow" w:eastAsia="Times New Roman" w:hAnsi="Aptos Narrow" w:cs="Times New Roman"/>
                <w:color w:val="000000"/>
                <w:kern w:val="0"/>
                <w:sz w:val="22"/>
                <w:szCs w:val="22"/>
                <w14:ligatures w14:val="none"/>
              </w:rPr>
              <w:t xml:space="preserve"> (mmHg)</w:t>
            </w:r>
          </w:p>
        </w:tc>
        <w:tc>
          <w:tcPr>
            <w:tcW w:w="1757" w:type="dxa"/>
            <w:tcBorders>
              <w:top w:val="nil"/>
              <w:left w:val="nil"/>
              <w:bottom w:val="nil"/>
              <w:right w:val="nil"/>
            </w:tcBorders>
            <w:noWrap/>
            <w:vAlign w:val="bottom"/>
            <w:hideMark/>
          </w:tcPr>
          <w:p w14:paraId="72DDD477"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43.7 +/- 6.3</w:t>
            </w:r>
          </w:p>
        </w:tc>
        <w:tc>
          <w:tcPr>
            <w:tcW w:w="1757" w:type="dxa"/>
            <w:tcBorders>
              <w:top w:val="nil"/>
              <w:left w:val="nil"/>
              <w:bottom w:val="nil"/>
              <w:right w:val="nil"/>
            </w:tcBorders>
            <w:noWrap/>
            <w:vAlign w:val="bottom"/>
            <w:hideMark/>
          </w:tcPr>
          <w:p w14:paraId="432CDAB5"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40.7 +/- 5.3</w:t>
            </w:r>
          </w:p>
        </w:tc>
        <w:tc>
          <w:tcPr>
            <w:tcW w:w="1757" w:type="dxa"/>
            <w:tcBorders>
              <w:top w:val="nil"/>
              <w:left w:val="nil"/>
              <w:bottom w:val="nil"/>
              <w:right w:val="nil"/>
            </w:tcBorders>
            <w:noWrap/>
            <w:vAlign w:val="bottom"/>
            <w:hideMark/>
          </w:tcPr>
          <w:p w14:paraId="2ACF26CD"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46.9 +/- 4.7</w:t>
            </w:r>
          </w:p>
        </w:tc>
        <w:tc>
          <w:tcPr>
            <w:tcW w:w="1757" w:type="dxa"/>
            <w:tcBorders>
              <w:top w:val="nil"/>
              <w:left w:val="nil"/>
              <w:bottom w:val="nil"/>
              <w:right w:val="nil"/>
            </w:tcBorders>
            <w:noWrap/>
            <w:vAlign w:val="bottom"/>
            <w:hideMark/>
          </w:tcPr>
          <w:p w14:paraId="6810402A"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38.7 +/- 3.0</w:t>
            </w:r>
          </w:p>
        </w:tc>
        <w:tc>
          <w:tcPr>
            <w:tcW w:w="1757" w:type="dxa"/>
            <w:tcBorders>
              <w:top w:val="nil"/>
              <w:left w:val="nil"/>
              <w:bottom w:val="nil"/>
              <w:right w:val="nil"/>
            </w:tcBorders>
            <w:noWrap/>
            <w:vAlign w:val="bottom"/>
            <w:hideMark/>
          </w:tcPr>
          <w:p w14:paraId="527A8637"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41.3 +/- 2.7</w:t>
            </w:r>
          </w:p>
        </w:tc>
        <w:tc>
          <w:tcPr>
            <w:tcW w:w="1757" w:type="dxa"/>
            <w:tcBorders>
              <w:top w:val="nil"/>
              <w:left w:val="nil"/>
              <w:bottom w:val="nil"/>
              <w:right w:val="nil"/>
            </w:tcBorders>
            <w:noWrap/>
            <w:vAlign w:val="bottom"/>
            <w:hideMark/>
          </w:tcPr>
          <w:p w14:paraId="417BC898"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43.0 +/- 6.3</w:t>
            </w:r>
          </w:p>
        </w:tc>
        <w:tc>
          <w:tcPr>
            <w:tcW w:w="1757" w:type="dxa"/>
            <w:tcBorders>
              <w:top w:val="nil"/>
              <w:left w:val="nil"/>
              <w:bottom w:val="nil"/>
              <w:right w:val="nil"/>
            </w:tcBorders>
            <w:noWrap/>
            <w:vAlign w:val="bottom"/>
            <w:hideMark/>
          </w:tcPr>
          <w:p w14:paraId="44CB362D" w14:textId="122D83E2"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38.4 +/- 6.5</w:t>
            </w:r>
          </w:p>
        </w:tc>
        <w:tc>
          <w:tcPr>
            <w:tcW w:w="1757" w:type="dxa"/>
            <w:tcBorders>
              <w:top w:val="nil"/>
              <w:left w:val="nil"/>
              <w:bottom w:val="nil"/>
              <w:right w:val="nil"/>
            </w:tcBorders>
            <w:noWrap/>
            <w:vAlign w:val="bottom"/>
            <w:hideMark/>
          </w:tcPr>
          <w:p w14:paraId="42EA36B6" w14:textId="66E208D8"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40.8 +/- 6.1</w:t>
            </w:r>
          </w:p>
        </w:tc>
      </w:tr>
      <w:tr w:rsidR="00D5732A" w:rsidRPr="00FD5494" w14:paraId="1DF5E52A" w14:textId="77777777" w:rsidTr="006E21A3">
        <w:trPr>
          <w:trHeight w:val="339"/>
        </w:trPr>
        <w:tc>
          <w:tcPr>
            <w:tcW w:w="1531" w:type="dxa"/>
            <w:tcBorders>
              <w:top w:val="nil"/>
              <w:left w:val="nil"/>
              <w:bottom w:val="nil"/>
              <w:right w:val="nil"/>
            </w:tcBorders>
            <w:noWrap/>
            <w:vAlign w:val="bottom"/>
            <w:hideMark/>
          </w:tcPr>
          <w:p w14:paraId="2B776DCC"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pO</w:t>
            </w:r>
            <w:r w:rsidRPr="00FD5494">
              <w:rPr>
                <w:rFonts w:ascii="Aptos Narrow" w:eastAsia="Times New Roman" w:hAnsi="Aptos Narrow" w:cs="Times New Roman"/>
                <w:color w:val="000000"/>
                <w:kern w:val="0"/>
                <w:sz w:val="22"/>
                <w:szCs w:val="22"/>
                <w:vertAlign w:val="subscript"/>
                <w14:ligatures w14:val="none"/>
              </w:rPr>
              <w:t>2</w:t>
            </w:r>
            <w:r>
              <w:rPr>
                <w:rFonts w:ascii="Aptos Narrow" w:eastAsia="Times New Roman" w:hAnsi="Aptos Narrow" w:cs="Times New Roman"/>
                <w:color w:val="000000"/>
                <w:kern w:val="0"/>
                <w:sz w:val="22"/>
                <w:szCs w:val="22"/>
                <w14:ligatures w14:val="none"/>
              </w:rPr>
              <w:t xml:space="preserve"> (mmHg)</w:t>
            </w:r>
          </w:p>
        </w:tc>
        <w:tc>
          <w:tcPr>
            <w:tcW w:w="1757" w:type="dxa"/>
            <w:tcBorders>
              <w:top w:val="nil"/>
              <w:left w:val="nil"/>
              <w:bottom w:val="nil"/>
              <w:right w:val="nil"/>
            </w:tcBorders>
            <w:noWrap/>
            <w:vAlign w:val="bottom"/>
            <w:hideMark/>
          </w:tcPr>
          <w:p w14:paraId="1FBBFBF6"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124.9 +/- 23.8</w:t>
            </w:r>
          </w:p>
        </w:tc>
        <w:tc>
          <w:tcPr>
            <w:tcW w:w="1757" w:type="dxa"/>
            <w:tcBorders>
              <w:top w:val="nil"/>
              <w:left w:val="nil"/>
              <w:bottom w:val="nil"/>
              <w:right w:val="nil"/>
            </w:tcBorders>
            <w:noWrap/>
            <w:vAlign w:val="bottom"/>
            <w:hideMark/>
          </w:tcPr>
          <w:p w14:paraId="09BDBF79"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142.7 +/- 21.9</w:t>
            </w:r>
          </w:p>
        </w:tc>
        <w:tc>
          <w:tcPr>
            <w:tcW w:w="1757" w:type="dxa"/>
            <w:tcBorders>
              <w:top w:val="nil"/>
              <w:left w:val="nil"/>
              <w:bottom w:val="nil"/>
              <w:right w:val="nil"/>
            </w:tcBorders>
            <w:noWrap/>
            <w:vAlign w:val="bottom"/>
            <w:hideMark/>
          </w:tcPr>
          <w:p w14:paraId="4F6733C9"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125.9 +/- 10.9</w:t>
            </w:r>
          </w:p>
        </w:tc>
        <w:tc>
          <w:tcPr>
            <w:tcW w:w="1757" w:type="dxa"/>
            <w:tcBorders>
              <w:top w:val="nil"/>
              <w:left w:val="nil"/>
              <w:bottom w:val="nil"/>
              <w:right w:val="nil"/>
            </w:tcBorders>
            <w:noWrap/>
            <w:vAlign w:val="bottom"/>
            <w:hideMark/>
          </w:tcPr>
          <w:p w14:paraId="453A9404"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158.1 +/- 10.7</w:t>
            </w:r>
          </w:p>
        </w:tc>
        <w:tc>
          <w:tcPr>
            <w:tcW w:w="1757" w:type="dxa"/>
            <w:tcBorders>
              <w:top w:val="nil"/>
              <w:left w:val="nil"/>
              <w:bottom w:val="nil"/>
              <w:right w:val="nil"/>
            </w:tcBorders>
            <w:noWrap/>
            <w:vAlign w:val="bottom"/>
            <w:hideMark/>
          </w:tcPr>
          <w:p w14:paraId="734D29CD"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133.3 +/- 20.1</w:t>
            </w:r>
          </w:p>
        </w:tc>
        <w:tc>
          <w:tcPr>
            <w:tcW w:w="1757" w:type="dxa"/>
            <w:tcBorders>
              <w:top w:val="nil"/>
              <w:left w:val="nil"/>
              <w:bottom w:val="nil"/>
              <w:right w:val="nil"/>
            </w:tcBorders>
            <w:noWrap/>
            <w:vAlign w:val="bottom"/>
            <w:hideMark/>
          </w:tcPr>
          <w:p w14:paraId="7249A132"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179.0 +/- 9.8</w:t>
            </w:r>
          </w:p>
        </w:tc>
        <w:tc>
          <w:tcPr>
            <w:tcW w:w="1757" w:type="dxa"/>
            <w:tcBorders>
              <w:top w:val="nil"/>
              <w:left w:val="nil"/>
              <w:bottom w:val="nil"/>
              <w:right w:val="nil"/>
            </w:tcBorders>
            <w:noWrap/>
            <w:vAlign w:val="bottom"/>
            <w:hideMark/>
          </w:tcPr>
          <w:p w14:paraId="0DB9E198" w14:textId="6F2D6A56"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166.6 +/- 25.2</w:t>
            </w:r>
          </w:p>
        </w:tc>
        <w:tc>
          <w:tcPr>
            <w:tcW w:w="1757" w:type="dxa"/>
            <w:tcBorders>
              <w:top w:val="nil"/>
              <w:left w:val="nil"/>
              <w:bottom w:val="nil"/>
              <w:right w:val="nil"/>
            </w:tcBorders>
            <w:noWrap/>
            <w:vAlign w:val="bottom"/>
            <w:hideMark/>
          </w:tcPr>
          <w:p w14:paraId="2F104362" w14:textId="5D2181CC"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139.5 +/- 28.0</w:t>
            </w:r>
          </w:p>
        </w:tc>
      </w:tr>
      <w:tr w:rsidR="00D5732A" w:rsidRPr="00FD5494" w14:paraId="3A484363" w14:textId="77777777" w:rsidTr="006E21A3">
        <w:trPr>
          <w:trHeight w:val="339"/>
        </w:trPr>
        <w:tc>
          <w:tcPr>
            <w:tcW w:w="1531" w:type="dxa"/>
            <w:tcBorders>
              <w:top w:val="nil"/>
              <w:left w:val="nil"/>
              <w:bottom w:val="nil"/>
              <w:right w:val="nil"/>
            </w:tcBorders>
            <w:noWrap/>
            <w:vAlign w:val="bottom"/>
            <w:hideMark/>
          </w:tcPr>
          <w:p w14:paraId="7D653892"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proofErr w:type="spellStart"/>
            <w:r w:rsidRPr="00FD5494">
              <w:rPr>
                <w:rFonts w:ascii="Aptos Narrow" w:eastAsia="Times New Roman" w:hAnsi="Aptos Narrow" w:cs="Times New Roman"/>
                <w:color w:val="000000"/>
                <w:kern w:val="0"/>
                <w:sz w:val="22"/>
                <w:szCs w:val="22"/>
                <w14:ligatures w14:val="none"/>
              </w:rPr>
              <w:t>tHb</w:t>
            </w:r>
            <w:proofErr w:type="spellEnd"/>
            <w:r>
              <w:rPr>
                <w:rFonts w:ascii="Aptos Narrow" w:eastAsia="Times New Roman" w:hAnsi="Aptos Narrow" w:cs="Times New Roman"/>
                <w:color w:val="000000"/>
                <w:kern w:val="0"/>
                <w:sz w:val="22"/>
                <w:szCs w:val="22"/>
                <w14:ligatures w14:val="none"/>
              </w:rPr>
              <w:t xml:space="preserve"> (g/dL)</w:t>
            </w:r>
          </w:p>
        </w:tc>
        <w:tc>
          <w:tcPr>
            <w:tcW w:w="1757" w:type="dxa"/>
            <w:tcBorders>
              <w:top w:val="nil"/>
              <w:left w:val="nil"/>
              <w:bottom w:val="nil"/>
              <w:right w:val="nil"/>
            </w:tcBorders>
            <w:noWrap/>
            <w:vAlign w:val="bottom"/>
            <w:hideMark/>
          </w:tcPr>
          <w:p w14:paraId="2F3841B6"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13.0 +/- 1.3</w:t>
            </w:r>
          </w:p>
        </w:tc>
        <w:tc>
          <w:tcPr>
            <w:tcW w:w="1757" w:type="dxa"/>
            <w:tcBorders>
              <w:top w:val="nil"/>
              <w:left w:val="nil"/>
              <w:bottom w:val="nil"/>
              <w:right w:val="nil"/>
            </w:tcBorders>
            <w:noWrap/>
            <w:vAlign w:val="bottom"/>
            <w:hideMark/>
          </w:tcPr>
          <w:p w14:paraId="1C3DA295"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14.1 +/- 1.6</w:t>
            </w:r>
          </w:p>
        </w:tc>
        <w:tc>
          <w:tcPr>
            <w:tcW w:w="1757" w:type="dxa"/>
            <w:tcBorders>
              <w:top w:val="nil"/>
              <w:left w:val="nil"/>
              <w:bottom w:val="nil"/>
              <w:right w:val="nil"/>
            </w:tcBorders>
            <w:noWrap/>
            <w:vAlign w:val="bottom"/>
            <w:hideMark/>
          </w:tcPr>
          <w:p w14:paraId="03930234"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14.4 +/- 1.0</w:t>
            </w:r>
          </w:p>
        </w:tc>
        <w:tc>
          <w:tcPr>
            <w:tcW w:w="1757" w:type="dxa"/>
            <w:tcBorders>
              <w:top w:val="nil"/>
              <w:left w:val="nil"/>
              <w:bottom w:val="nil"/>
              <w:right w:val="nil"/>
            </w:tcBorders>
            <w:noWrap/>
            <w:vAlign w:val="bottom"/>
            <w:hideMark/>
          </w:tcPr>
          <w:p w14:paraId="39C830B9"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13.9 +/- 1.1</w:t>
            </w:r>
          </w:p>
        </w:tc>
        <w:tc>
          <w:tcPr>
            <w:tcW w:w="1757" w:type="dxa"/>
            <w:tcBorders>
              <w:top w:val="nil"/>
              <w:left w:val="nil"/>
              <w:bottom w:val="nil"/>
              <w:right w:val="nil"/>
            </w:tcBorders>
            <w:noWrap/>
            <w:vAlign w:val="bottom"/>
            <w:hideMark/>
          </w:tcPr>
          <w:p w14:paraId="50020D03"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13.5 +/- 0.7</w:t>
            </w:r>
          </w:p>
        </w:tc>
        <w:tc>
          <w:tcPr>
            <w:tcW w:w="1757" w:type="dxa"/>
            <w:tcBorders>
              <w:top w:val="nil"/>
              <w:left w:val="nil"/>
              <w:bottom w:val="nil"/>
              <w:right w:val="nil"/>
            </w:tcBorders>
            <w:noWrap/>
            <w:vAlign w:val="bottom"/>
            <w:hideMark/>
          </w:tcPr>
          <w:p w14:paraId="79BA03D4"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14.2 +/- 0.8</w:t>
            </w:r>
          </w:p>
        </w:tc>
        <w:tc>
          <w:tcPr>
            <w:tcW w:w="1757" w:type="dxa"/>
            <w:tcBorders>
              <w:top w:val="nil"/>
              <w:left w:val="nil"/>
              <w:bottom w:val="nil"/>
              <w:right w:val="nil"/>
            </w:tcBorders>
            <w:noWrap/>
            <w:vAlign w:val="bottom"/>
            <w:hideMark/>
          </w:tcPr>
          <w:p w14:paraId="7031D0C0" w14:textId="2F279C7E"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13.9 +/- 1.0</w:t>
            </w:r>
          </w:p>
        </w:tc>
        <w:tc>
          <w:tcPr>
            <w:tcW w:w="1757" w:type="dxa"/>
            <w:tcBorders>
              <w:top w:val="nil"/>
              <w:left w:val="nil"/>
              <w:bottom w:val="nil"/>
              <w:right w:val="nil"/>
            </w:tcBorders>
            <w:noWrap/>
            <w:vAlign w:val="bottom"/>
            <w:hideMark/>
          </w:tcPr>
          <w:p w14:paraId="422255F4" w14:textId="76E161E5"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14.1 +/- 1.0</w:t>
            </w:r>
          </w:p>
        </w:tc>
      </w:tr>
      <w:tr w:rsidR="00D5732A" w:rsidRPr="00FD5494" w14:paraId="4859E422" w14:textId="77777777" w:rsidTr="006E21A3">
        <w:trPr>
          <w:trHeight w:val="339"/>
        </w:trPr>
        <w:tc>
          <w:tcPr>
            <w:tcW w:w="1531" w:type="dxa"/>
            <w:tcBorders>
              <w:top w:val="nil"/>
              <w:left w:val="nil"/>
              <w:bottom w:val="nil"/>
              <w:right w:val="nil"/>
            </w:tcBorders>
            <w:noWrap/>
            <w:vAlign w:val="bottom"/>
            <w:hideMark/>
          </w:tcPr>
          <w:p w14:paraId="014E0D54" w14:textId="77777777" w:rsidR="00D5732A" w:rsidRDefault="00D5732A" w:rsidP="006E21A3">
            <w:pPr>
              <w:spacing w:after="0" w:line="240" w:lineRule="auto"/>
              <w:rPr>
                <w:rFonts w:ascii="Aptos Narrow" w:eastAsia="Times New Roman" w:hAnsi="Aptos Narrow" w:cs="Times New Roman"/>
                <w:color w:val="000000"/>
                <w:kern w:val="0"/>
                <w:sz w:val="22"/>
                <w:szCs w:val="22"/>
                <w14:ligatures w14:val="none"/>
              </w:rPr>
            </w:pPr>
          </w:p>
          <w:p w14:paraId="2A61F342" w14:textId="77777777" w:rsidR="00D5732A" w:rsidRPr="00FD5494" w:rsidRDefault="00D5732A" w:rsidP="006E21A3">
            <w:pPr>
              <w:spacing w:after="0" w:line="240" w:lineRule="auto"/>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Abs. Δ 1-2</w:t>
            </w:r>
          </w:p>
        </w:tc>
        <w:tc>
          <w:tcPr>
            <w:tcW w:w="1757" w:type="dxa"/>
            <w:tcBorders>
              <w:top w:val="nil"/>
              <w:left w:val="nil"/>
              <w:bottom w:val="nil"/>
              <w:right w:val="nil"/>
            </w:tcBorders>
            <w:noWrap/>
            <w:vAlign w:val="bottom"/>
            <w:hideMark/>
          </w:tcPr>
          <w:p w14:paraId="0ABDF71C"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p>
        </w:tc>
        <w:tc>
          <w:tcPr>
            <w:tcW w:w="1757" w:type="dxa"/>
            <w:tcBorders>
              <w:top w:val="nil"/>
              <w:left w:val="nil"/>
              <w:bottom w:val="nil"/>
              <w:right w:val="nil"/>
            </w:tcBorders>
            <w:noWrap/>
            <w:vAlign w:val="bottom"/>
            <w:hideMark/>
          </w:tcPr>
          <w:p w14:paraId="34BD9AC4"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68E72C20"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0794C4CC"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714E76F6"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6A36A5B0"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4D7F478C"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c>
          <w:tcPr>
            <w:tcW w:w="1757" w:type="dxa"/>
            <w:tcBorders>
              <w:top w:val="nil"/>
              <w:left w:val="nil"/>
              <w:bottom w:val="nil"/>
              <w:right w:val="nil"/>
            </w:tcBorders>
            <w:noWrap/>
            <w:vAlign w:val="bottom"/>
            <w:hideMark/>
          </w:tcPr>
          <w:p w14:paraId="26E8B44E" w14:textId="77777777" w:rsidR="00D5732A" w:rsidRPr="00FD5494" w:rsidRDefault="00D5732A" w:rsidP="006E21A3">
            <w:pPr>
              <w:spacing w:after="0" w:line="240" w:lineRule="auto"/>
              <w:jc w:val="center"/>
              <w:rPr>
                <w:rFonts w:ascii="Times New Roman" w:eastAsia="Times New Roman" w:hAnsi="Times New Roman" w:cs="Times New Roman"/>
                <w:kern w:val="0"/>
                <w:sz w:val="20"/>
                <w:szCs w:val="20"/>
                <w14:ligatures w14:val="none"/>
              </w:rPr>
            </w:pPr>
          </w:p>
        </w:tc>
      </w:tr>
      <w:tr w:rsidR="00D5732A" w:rsidRPr="00FD5494" w14:paraId="53FEEF40" w14:textId="77777777" w:rsidTr="006E21A3">
        <w:trPr>
          <w:trHeight w:val="339"/>
        </w:trPr>
        <w:tc>
          <w:tcPr>
            <w:tcW w:w="1531" w:type="dxa"/>
            <w:tcBorders>
              <w:top w:val="nil"/>
              <w:left w:val="nil"/>
              <w:bottom w:val="nil"/>
              <w:right w:val="nil"/>
            </w:tcBorders>
            <w:noWrap/>
            <w:vAlign w:val="bottom"/>
            <w:hideMark/>
          </w:tcPr>
          <w:p w14:paraId="3B91D75A"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pH</w:t>
            </w:r>
          </w:p>
        </w:tc>
        <w:tc>
          <w:tcPr>
            <w:tcW w:w="1757" w:type="dxa"/>
            <w:tcBorders>
              <w:top w:val="nil"/>
              <w:left w:val="nil"/>
              <w:bottom w:val="nil"/>
              <w:right w:val="nil"/>
            </w:tcBorders>
            <w:noWrap/>
            <w:vAlign w:val="bottom"/>
            <w:hideMark/>
          </w:tcPr>
          <w:p w14:paraId="64FF59DB"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0.019 +/- 0.014</w:t>
            </w:r>
          </w:p>
        </w:tc>
        <w:tc>
          <w:tcPr>
            <w:tcW w:w="1757" w:type="dxa"/>
            <w:tcBorders>
              <w:top w:val="nil"/>
              <w:left w:val="nil"/>
              <w:bottom w:val="nil"/>
              <w:right w:val="nil"/>
            </w:tcBorders>
            <w:noWrap/>
            <w:vAlign w:val="bottom"/>
            <w:hideMark/>
          </w:tcPr>
          <w:p w14:paraId="33270F4F"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0.027 +/- 0.024</w:t>
            </w:r>
          </w:p>
        </w:tc>
        <w:tc>
          <w:tcPr>
            <w:tcW w:w="1757" w:type="dxa"/>
            <w:tcBorders>
              <w:top w:val="nil"/>
              <w:left w:val="nil"/>
              <w:bottom w:val="nil"/>
              <w:right w:val="nil"/>
            </w:tcBorders>
            <w:noWrap/>
            <w:vAlign w:val="bottom"/>
            <w:hideMark/>
          </w:tcPr>
          <w:p w14:paraId="7C8320FD"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0.016 +/- 0.009</w:t>
            </w:r>
          </w:p>
        </w:tc>
        <w:tc>
          <w:tcPr>
            <w:tcW w:w="1757" w:type="dxa"/>
            <w:tcBorders>
              <w:top w:val="nil"/>
              <w:left w:val="nil"/>
              <w:bottom w:val="nil"/>
              <w:right w:val="nil"/>
            </w:tcBorders>
            <w:noWrap/>
            <w:vAlign w:val="bottom"/>
            <w:hideMark/>
          </w:tcPr>
          <w:p w14:paraId="4D957B34"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0.018 +/- 0.015</w:t>
            </w:r>
          </w:p>
        </w:tc>
        <w:tc>
          <w:tcPr>
            <w:tcW w:w="1757" w:type="dxa"/>
            <w:tcBorders>
              <w:top w:val="nil"/>
              <w:left w:val="nil"/>
              <w:bottom w:val="nil"/>
              <w:right w:val="nil"/>
            </w:tcBorders>
            <w:noWrap/>
            <w:vAlign w:val="bottom"/>
            <w:hideMark/>
          </w:tcPr>
          <w:p w14:paraId="7AA445F1"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0.010 +/- 0.005</w:t>
            </w:r>
          </w:p>
        </w:tc>
        <w:tc>
          <w:tcPr>
            <w:tcW w:w="1757" w:type="dxa"/>
            <w:tcBorders>
              <w:top w:val="nil"/>
              <w:left w:val="nil"/>
              <w:bottom w:val="nil"/>
              <w:right w:val="nil"/>
            </w:tcBorders>
            <w:noWrap/>
            <w:vAlign w:val="bottom"/>
            <w:hideMark/>
          </w:tcPr>
          <w:p w14:paraId="0B1C1668"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0.036 +/- 0.017</w:t>
            </w:r>
          </w:p>
        </w:tc>
        <w:tc>
          <w:tcPr>
            <w:tcW w:w="1757" w:type="dxa"/>
            <w:tcBorders>
              <w:top w:val="nil"/>
              <w:left w:val="nil"/>
              <w:bottom w:val="nil"/>
              <w:right w:val="nil"/>
            </w:tcBorders>
            <w:noWrap/>
            <w:vAlign w:val="bottom"/>
            <w:hideMark/>
          </w:tcPr>
          <w:p w14:paraId="4F943DF7" w14:textId="40042C10"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0.051 +/- 0.020</w:t>
            </w:r>
          </w:p>
        </w:tc>
        <w:tc>
          <w:tcPr>
            <w:tcW w:w="1757" w:type="dxa"/>
            <w:tcBorders>
              <w:top w:val="nil"/>
              <w:left w:val="nil"/>
              <w:bottom w:val="nil"/>
              <w:right w:val="nil"/>
            </w:tcBorders>
            <w:noWrap/>
            <w:vAlign w:val="bottom"/>
            <w:hideMark/>
          </w:tcPr>
          <w:p w14:paraId="051A10B0" w14:textId="218E352D"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0.051 +/- 0.052</w:t>
            </w:r>
          </w:p>
        </w:tc>
      </w:tr>
      <w:tr w:rsidR="00D5732A" w:rsidRPr="00FD5494" w14:paraId="0BC28AF4" w14:textId="77777777" w:rsidTr="006E21A3">
        <w:trPr>
          <w:trHeight w:val="339"/>
        </w:trPr>
        <w:tc>
          <w:tcPr>
            <w:tcW w:w="1531" w:type="dxa"/>
            <w:tcBorders>
              <w:top w:val="nil"/>
              <w:left w:val="nil"/>
              <w:bottom w:val="nil"/>
              <w:right w:val="nil"/>
            </w:tcBorders>
            <w:noWrap/>
            <w:vAlign w:val="bottom"/>
            <w:hideMark/>
          </w:tcPr>
          <w:p w14:paraId="762D56BE"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pCO</w:t>
            </w:r>
            <w:r w:rsidRPr="00FD5494">
              <w:rPr>
                <w:rFonts w:ascii="Aptos Narrow" w:eastAsia="Times New Roman" w:hAnsi="Aptos Narrow" w:cs="Times New Roman"/>
                <w:color w:val="000000"/>
                <w:kern w:val="0"/>
                <w:sz w:val="22"/>
                <w:szCs w:val="22"/>
                <w:vertAlign w:val="subscript"/>
                <w14:ligatures w14:val="none"/>
              </w:rPr>
              <w:t>2</w:t>
            </w:r>
            <w:r>
              <w:rPr>
                <w:rFonts w:ascii="Aptos Narrow" w:eastAsia="Times New Roman" w:hAnsi="Aptos Narrow" w:cs="Times New Roman"/>
                <w:color w:val="000000"/>
                <w:kern w:val="0"/>
                <w:sz w:val="22"/>
                <w:szCs w:val="22"/>
                <w14:ligatures w14:val="none"/>
              </w:rPr>
              <w:t xml:space="preserve"> (mmHg)</w:t>
            </w:r>
          </w:p>
        </w:tc>
        <w:tc>
          <w:tcPr>
            <w:tcW w:w="1757" w:type="dxa"/>
            <w:tcBorders>
              <w:top w:val="nil"/>
              <w:left w:val="nil"/>
              <w:bottom w:val="nil"/>
              <w:right w:val="nil"/>
            </w:tcBorders>
            <w:noWrap/>
            <w:vAlign w:val="bottom"/>
            <w:hideMark/>
          </w:tcPr>
          <w:p w14:paraId="4465B7D3"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2.5 +/- 3.2</w:t>
            </w:r>
          </w:p>
        </w:tc>
        <w:tc>
          <w:tcPr>
            <w:tcW w:w="1757" w:type="dxa"/>
            <w:tcBorders>
              <w:top w:val="nil"/>
              <w:left w:val="nil"/>
              <w:bottom w:val="nil"/>
              <w:right w:val="nil"/>
            </w:tcBorders>
            <w:noWrap/>
            <w:vAlign w:val="bottom"/>
            <w:hideMark/>
          </w:tcPr>
          <w:p w14:paraId="0D49FCC9"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4.2 +/- 4.5</w:t>
            </w:r>
          </w:p>
        </w:tc>
        <w:tc>
          <w:tcPr>
            <w:tcW w:w="1757" w:type="dxa"/>
            <w:tcBorders>
              <w:top w:val="nil"/>
              <w:left w:val="nil"/>
              <w:bottom w:val="nil"/>
              <w:right w:val="nil"/>
            </w:tcBorders>
            <w:noWrap/>
            <w:vAlign w:val="bottom"/>
            <w:hideMark/>
          </w:tcPr>
          <w:p w14:paraId="6A736A68"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2.6 +/- 1.7</w:t>
            </w:r>
          </w:p>
        </w:tc>
        <w:tc>
          <w:tcPr>
            <w:tcW w:w="1757" w:type="dxa"/>
            <w:tcBorders>
              <w:top w:val="nil"/>
              <w:left w:val="nil"/>
              <w:bottom w:val="nil"/>
              <w:right w:val="nil"/>
            </w:tcBorders>
            <w:noWrap/>
            <w:vAlign w:val="bottom"/>
            <w:hideMark/>
          </w:tcPr>
          <w:p w14:paraId="68C60B3E"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3.1 +/- 1.6</w:t>
            </w:r>
          </w:p>
        </w:tc>
        <w:tc>
          <w:tcPr>
            <w:tcW w:w="1757" w:type="dxa"/>
            <w:tcBorders>
              <w:top w:val="nil"/>
              <w:left w:val="nil"/>
              <w:bottom w:val="nil"/>
              <w:right w:val="nil"/>
            </w:tcBorders>
            <w:noWrap/>
            <w:vAlign w:val="bottom"/>
            <w:hideMark/>
          </w:tcPr>
          <w:p w14:paraId="10AA4635"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2.8 +/- 2.8</w:t>
            </w:r>
          </w:p>
        </w:tc>
        <w:tc>
          <w:tcPr>
            <w:tcW w:w="1757" w:type="dxa"/>
            <w:tcBorders>
              <w:top w:val="nil"/>
              <w:left w:val="nil"/>
              <w:bottom w:val="nil"/>
              <w:right w:val="nil"/>
            </w:tcBorders>
            <w:noWrap/>
            <w:vAlign w:val="bottom"/>
            <w:hideMark/>
          </w:tcPr>
          <w:p w14:paraId="6F541C51"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7.9 +/- 2.4</w:t>
            </w:r>
          </w:p>
        </w:tc>
        <w:tc>
          <w:tcPr>
            <w:tcW w:w="1757" w:type="dxa"/>
            <w:tcBorders>
              <w:top w:val="nil"/>
              <w:left w:val="nil"/>
              <w:bottom w:val="nil"/>
              <w:right w:val="nil"/>
            </w:tcBorders>
            <w:noWrap/>
            <w:vAlign w:val="bottom"/>
            <w:hideMark/>
          </w:tcPr>
          <w:p w14:paraId="08CF510E" w14:textId="25F48B7A"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4.9 +/- 3.1</w:t>
            </w:r>
          </w:p>
        </w:tc>
        <w:tc>
          <w:tcPr>
            <w:tcW w:w="1757" w:type="dxa"/>
            <w:tcBorders>
              <w:top w:val="nil"/>
              <w:left w:val="nil"/>
              <w:bottom w:val="nil"/>
              <w:right w:val="nil"/>
            </w:tcBorders>
            <w:noWrap/>
            <w:vAlign w:val="bottom"/>
            <w:hideMark/>
          </w:tcPr>
          <w:p w14:paraId="146542DB" w14:textId="543176FE"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6.1 +/- 5.6</w:t>
            </w:r>
          </w:p>
        </w:tc>
      </w:tr>
      <w:tr w:rsidR="00D5732A" w:rsidRPr="00FD5494" w14:paraId="7181A264" w14:textId="77777777" w:rsidTr="006E21A3">
        <w:trPr>
          <w:trHeight w:val="339"/>
        </w:trPr>
        <w:tc>
          <w:tcPr>
            <w:tcW w:w="1531" w:type="dxa"/>
            <w:tcBorders>
              <w:top w:val="nil"/>
              <w:left w:val="nil"/>
              <w:bottom w:val="nil"/>
              <w:right w:val="nil"/>
            </w:tcBorders>
            <w:noWrap/>
            <w:vAlign w:val="bottom"/>
            <w:hideMark/>
          </w:tcPr>
          <w:p w14:paraId="41595961"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pO</w:t>
            </w:r>
            <w:r w:rsidRPr="00FD5494">
              <w:rPr>
                <w:rFonts w:ascii="Aptos Narrow" w:eastAsia="Times New Roman" w:hAnsi="Aptos Narrow" w:cs="Times New Roman"/>
                <w:color w:val="000000"/>
                <w:kern w:val="0"/>
                <w:sz w:val="22"/>
                <w:szCs w:val="22"/>
                <w:vertAlign w:val="subscript"/>
                <w14:ligatures w14:val="none"/>
              </w:rPr>
              <w:t>2</w:t>
            </w:r>
            <w:r>
              <w:rPr>
                <w:rFonts w:ascii="Aptos Narrow" w:eastAsia="Times New Roman" w:hAnsi="Aptos Narrow" w:cs="Times New Roman"/>
                <w:color w:val="000000"/>
                <w:kern w:val="0"/>
                <w:sz w:val="22"/>
                <w:szCs w:val="22"/>
                <w14:ligatures w14:val="none"/>
              </w:rPr>
              <w:t xml:space="preserve"> (mmHg)</w:t>
            </w:r>
          </w:p>
        </w:tc>
        <w:tc>
          <w:tcPr>
            <w:tcW w:w="1757" w:type="dxa"/>
            <w:tcBorders>
              <w:top w:val="nil"/>
              <w:left w:val="nil"/>
              <w:bottom w:val="nil"/>
              <w:right w:val="nil"/>
            </w:tcBorders>
            <w:noWrap/>
            <w:vAlign w:val="bottom"/>
            <w:hideMark/>
          </w:tcPr>
          <w:p w14:paraId="1BC6B48F"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16.9 +/- 9.1</w:t>
            </w:r>
          </w:p>
        </w:tc>
        <w:tc>
          <w:tcPr>
            <w:tcW w:w="1757" w:type="dxa"/>
            <w:tcBorders>
              <w:top w:val="nil"/>
              <w:left w:val="nil"/>
              <w:bottom w:val="nil"/>
              <w:right w:val="nil"/>
            </w:tcBorders>
            <w:noWrap/>
            <w:vAlign w:val="bottom"/>
            <w:hideMark/>
          </w:tcPr>
          <w:p w14:paraId="31098F04"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13.7 +/- 5.8</w:t>
            </w:r>
          </w:p>
        </w:tc>
        <w:tc>
          <w:tcPr>
            <w:tcW w:w="1757" w:type="dxa"/>
            <w:tcBorders>
              <w:top w:val="nil"/>
              <w:left w:val="nil"/>
              <w:bottom w:val="nil"/>
              <w:right w:val="nil"/>
            </w:tcBorders>
            <w:noWrap/>
            <w:vAlign w:val="bottom"/>
            <w:hideMark/>
          </w:tcPr>
          <w:p w14:paraId="56C067B7"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20.5 +/- 5.9</w:t>
            </w:r>
          </w:p>
        </w:tc>
        <w:tc>
          <w:tcPr>
            <w:tcW w:w="1757" w:type="dxa"/>
            <w:tcBorders>
              <w:top w:val="nil"/>
              <w:left w:val="nil"/>
              <w:bottom w:val="nil"/>
              <w:right w:val="nil"/>
            </w:tcBorders>
            <w:noWrap/>
            <w:vAlign w:val="bottom"/>
            <w:hideMark/>
          </w:tcPr>
          <w:p w14:paraId="2E57BA76"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16.3 +/- 14.2</w:t>
            </w:r>
          </w:p>
        </w:tc>
        <w:tc>
          <w:tcPr>
            <w:tcW w:w="1757" w:type="dxa"/>
            <w:tcBorders>
              <w:top w:val="nil"/>
              <w:left w:val="nil"/>
              <w:bottom w:val="nil"/>
              <w:right w:val="nil"/>
            </w:tcBorders>
            <w:noWrap/>
            <w:vAlign w:val="bottom"/>
            <w:hideMark/>
          </w:tcPr>
          <w:p w14:paraId="769918AE"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15.2 +/- 13.6</w:t>
            </w:r>
          </w:p>
        </w:tc>
        <w:tc>
          <w:tcPr>
            <w:tcW w:w="1757" w:type="dxa"/>
            <w:tcBorders>
              <w:top w:val="nil"/>
              <w:left w:val="nil"/>
              <w:bottom w:val="nil"/>
              <w:right w:val="nil"/>
            </w:tcBorders>
            <w:noWrap/>
            <w:vAlign w:val="bottom"/>
            <w:hideMark/>
          </w:tcPr>
          <w:p w14:paraId="6A54C6EA"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25.8 +/- 20.7</w:t>
            </w:r>
          </w:p>
        </w:tc>
        <w:tc>
          <w:tcPr>
            <w:tcW w:w="1757" w:type="dxa"/>
            <w:tcBorders>
              <w:top w:val="nil"/>
              <w:left w:val="nil"/>
              <w:bottom w:val="nil"/>
              <w:right w:val="nil"/>
            </w:tcBorders>
            <w:noWrap/>
            <w:vAlign w:val="bottom"/>
            <w:hideMark/>
          </w:tcPr>
          <w:p w14:paraId="515FFB03" w14:textId="1BA2E43C"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19.2 +/- 14.5</w:t>
            </w:r>
          </w:p>
        </w:tc>
        <w:tc>
          <w:tcPr>
            <w:tcW w:w="1757" w:type="dxa"/>
            <w:tcBorders>
              <w:top w:val="nil"/>
              <w:left w:val="nil"/>
              <w:bottom w:val="nil"/>
              <w:right w:val="nil"/>
            </w:tcBorders>
            <w:noWrap/>
            <w:vAlign w:val="bottom"/>
            <w:hideMark/>
          </w:tcPr>
          <w:p w14:paraId="6A2D9387" w14:textId="2CADA926"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20.8 +/- 11.2</w:t>
            </w:r>
          </w:p>
        </w:tc>
      </w:tr>
      <w:tr w:rsidR="00D5732A" w:rsidRPr="00FD5494" w14:paraId="27F165B6" w14:textId="77777777" w:rsidTr="006E21A3">
        <w:trPr>
          <w:trHeight w:val="339"/>
        </w:trPr>
        <w:tc>
          <w:tcPr>
            <w:tcW w:w="1531" w:type="dxa"/>
            <w:tcBorders>
              <w:top w:val="nil"/>
              <w:left w:val="nil"/>
              <w:bottom w:val="nil"/>
              <w:right w:val="nil"/>
            </w:tcBorders>
            <w:noWrap/>
            <w:vAlign w:val="bottom"/>
            <w:hideMark/>
          </w:tcPr>
          <w:p w14:paraId="153FDC4E" w14:textId="77777777" w:rsidR="00D5732A" w:rsidRPr="00FD5494" w:rsidRDefault="00D5732A" w:rsidP="006E21A3">
            <w:pPr>
              <w:spacing w:after="0" w:line="240" w:lineRule="auto"/>
              <w:jc w:val="right"/>
              <w:rPr>
                <w:rFonts w:ascii="Aptos Narrow" w:eastAsia="Times New Roman" w:hAnsi="Aptos Narrow" w:cs="Times New Roman"/>
                <w:color w:val="000000"/>
                <w:kern w:val="0"/>
                <w:sz w:val="22"/>
                <w:szCs w:val="22"/>
                <w14:ligatures w14:val="none"/>
              </w:rPr>
            </w:pPr>
            <w:proofErr w:type="spellStart"/>
            <w:r w:rsidRPr="00FD5494">
              <w:rPr>
                <w:rFonts w:ascii="Aptos Narrow" w:eastAsia="Times New Roman" w:hAnsi="Aptos Narrow" w:cs="Times New Roman"/>
                <w:color w:val="000000"/>
                <w:kern w:val="0"/>
                <w:sz w:val="22"/>
                <w:szCs w:val="22"/>
                <w14:ligatures w14:val="none"/>
              </w:rPr>
              <w:t>tHb</w:t>
            </w:r>
            <w:proofErr w:type="spellEnd"/>
            <w:r>
              <w:rPr>
                <w:rFonts w:ascii="Aptos Narrow" w:eastAsia="Times New Roman" w:hAnsi="Aptos Narrow" w:cs="Times New Roman"/>
                <w:color w:val="000000"/>
                <w:kern w:val="0"/>
                <w:sz w:val="22"/>
                <w:szCs w:val="22"/>
                <w14:ligatures w14:val="none"/>
              </w:rPr>
              <w:t xml:space="preserve"> (g/dL)</w:t>
            </w:r>
          </w:p>
        </w:tc>
        <w:tc>
          <w:tcPr>
            <w:tcW w:w="1757" w:type="dxa"/>
            <w:tcBorders>
              <w:top w:val="nil"/>
              <w:left w:val="nil"/>
              <w:bottom w:val="nil"/>
              <w:right w:val="nil"/>
            </w:tcBorders>
            <w:noWrap/>
            <w:vAlign w:val="bottom"/>
            <w:hideMark/>
          </w:tcPr>
          <w:p w14:paraId="4DF3471F"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0.8 +/- 0.7</w:t>
            </w:r>
          </w:p>
        </w:tc>
        <w:tc>
          <w:tcPr>
            <w:tcW w:w="1757" w:type="dxa"/>
            <w:tcBorders>
              <w:top w:val="nil"/>
              <w:left w:val="nil"/>
              <w:bottom w:val="nil"/>
              <w:right w:val="nil"/>
            </w:tcBorders>
            <w:noWrap/>
            <w:vAlign w:val="bottom"/>
            <w:hideMark/>
          </w:tcPr>
          <w:p w14:paraId="08FC3F3D"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1.1 +/- 0.8</w:t>
            </w:r>
          </w:p>
        </w:tc>
        <w:tc>
          <w:tcPr>
            <w:tcW w:w="1757" w:type="dxa"/>
            <w:tcBorders>
              <w:top w:val="nil"/>
              <w:left w:val="nil"/>
              <w:bottom w:val="nil"/>
              <w:right w:val="nil"/>
            </w:tcBorders>
            <w:noWrap/>
            <w:vAlign w:val="bottom"/>
            <w:hideMark/>
          </w:tcPr>
          <w:p w14:paraId="5012CBDE"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0.8 +/- 0.5</w:t>
            </w:r>
          </w:p>
        </w:tc>
        <w:tc>
          <w:tcPr>
            <w:tcW w:w="1757" w:type="dxa"/>
            <w:tcBorders>
              <w:top w:val="nil"/>
              <w:left w:val="nil"/>
              <w:bottom w:val="nil"/>
              <w:right w:val="nil"/>
            </w:tcBorders>
            <w:noWrap/>
            <w:vAlign w:val="bottom"/>
            <w:hideMark/>
          </w:tcPr>
          <w:p w14:paraId="7C23F323"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0.8 +/- 0.6</w:t>
            </w:r>
          </w:p>
        </w:tc>
        <w:tc>
          <w:tcPr>
            <w:tcW w:w="1757" w:type="dxa"/>
            <w:tcBorders>
              <w:top w:val="nil"/>
              <w:left w:val="nil"/>
              <w:bottom w:val="nil"/>
              <w:right w:val="nil"/>
            </w:tcBorders>
            <w:noWrap/>
            <w:vAlign w:val="bottom"/>
            <w:hideMark/>
          </w:tcPr>
          <w:p w14:paraId="0A3390B6" w14:textId="77777777" w:rsidR="00D5732A" w:rsidRPr="00FD5494" w:rsidRDefault="00D5732A" w:rsidP="006E21A3">
            <w:pPr>
              <w:spacing w:after="0" w:line="240" w:lineRule="auto"/>
              <w:jc w:val="center"/>
              <w:rPr>
                <w:rFonts w:ascii="Arial" w:eastAsia="Times New Roman" w:hAnsi="Arial" w:cs="Arial"/>
                <w:kern w:val="0"/>
                <w:sz w:val="20"/>
                <w:szCs w:val="20"/>
                <w14:ligatures w14:val="none"/>
              </w:rPr>
            </w:pPr>
            <w:r w:rsidRPr="00FD5494">
              <w:rPr>
                <w:rFonts w:ascii="Arial" w:eastAsia="Times New Roman" w:hAnsi="Arial" w:cs="Arial"/>
                <w:kern w:val="0"/>
                <w:sz w:val="20"/>
                <w:szCs w:val="20"/>
                <w14:ligatures w14:val="none"/>
              </w:rPr>
              <w:t>0.9 +/- 0.4</w:t>
            </w:r>
          </w:p>
        </w:tc>
        <w:tc>
          <w:tcPr>
            <w:tcW w:w="1757" w:type="dxa"/>
            <w:tcBorders>
              <w:top w:val="nil"/>
              <w:left w:val="nil"/>
              <w:bottom w:val="nil"/>
              <w:right w:val="nil"/>
            </w:tcBorders>
            <w:noWrap/>
            <w:vAlign w:val="bottom"/>
            <w:hideMark/>
          </w:tcPr>
          <w:p w14:paraId="7743477E" w14:textId="77777777" w:rsidR="00D5732A" w:rsidRPr="00FD5494" w:rsidRDefault="00D5732A" w:rsidP="006E21A3">
            <w:pPr>
              <w:spacing w:after="0" w:line="240" w:lineRule="auto"/>
              <w:jc w:val="center"/>
              <w:rPr>
                <w:rFonts w:ascii="Aptos Narrow" w:eastAsia="Times New Roman" w:hAnsi="Aptos Narrow" w:cs="Times New Roman"/>
                <w:color w:val="000000"/>
                <w:kern w:val="0"/>
                <w:sz w:val="22"/>
                <w:szCs w:val="22"/>
                <w14:ligatures w14:val="none"/>
              </w:rPr>
            </w:pPr>
            <w:r w:rsidRPr="00FD5494">
              <w:rPr>
                <w:rFonts w:ascii="Aptos Narrow" w:eastAsia="Times New Roman" w:hAnsi="Aptos Narrow" w:cs="Times New Roman"/>
                <w:color w:val="000000"/>
                <w:kern w:val="0"/>
                <w:sz w:val="22"/>
                <w:szCs w:val="22"/>
                <w14:ligatures w14:val="none"/>
              </w:rPr>
              <w:t>1.7 +/- 1.5</w:t>
            </w:r>
          </w:p>
        </w:tc>
        <w:tc>
          <w:tcPr>
            <w:tcW w:w="1757" w:type="dxa"/>
            <w:tcBorders>
              <w:top w:val="nil"/>
              <w:left w:val="nil"/>
              <w:bottom w:val="nil"/>
              <w:right w:val="nil"/>
            </w:tcBorders>
            <w:noWrap/>
            <w:vAlign w:val="bottom"/>
            <w:hideMark/>
          </w:tcPr>
          <w:p w14:paraId="6B1AA182" w14:textId="0826967D"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1.6 +/- 1.4</w:t>
            </w:r>
          </w:p>
        </w:tc>
        <w:tc>
          <w:tcPr>
            <w:tcW w:w="1757" w:type="dxa"/>
            <w:tcBorders>
              <w:top w:val="nil"/>
              <w:left w:val="nil"/>
              <w:bottom w:val="nil"/>
              <w:right w:val="nil"/>
            </w:tcBorders>
            <w:noWrap/>
            <w:vAlign w:val="bottom"/>
            <w:hideMark/>
          </w:tcPr>
          <w:p w14:paraId="77B2F86D" w14:textId="238B9BF3" w:rsidR="00D5732A" w:rsidRPr="00FD5494" w:rsidRDefault="00EA679A" w:rsidP="006E21A3">
            <w:pPr>
              <w:spacing w:after="0" w:line="240" w:lineRule="auto"/>
              <w:jc w:val="center"/>
              <w:rPr>
                <w:rFonts w:ascii="Aptos Narrow" w:eastAsia="Times New Roman" w:hAnsi="Aptos Narrow" w:cs="Times New Roman"/>
                <w:color w:val="000000"/>
                <w:kern w:val="0"/>
                <w:sz w:val="22"/>
                <w:szCs w:val="22"/>
                <w14:ligatures w14:val="none"/>
              </w:rPr>
            </w:pPr>
            <w:r>
              <w:rPr>
                <w:rFonts w:ascii="Aptos Narrow" w:eastAsia="Times New Roman" w:hAnsi="Aptos Narrow" w:cs="Times New Roman"/>
                <w:color w:val="000000"/>
                <w:kern w:val="0"/>
                <w:sz w:val="22"/>
                <w:szCs w:val="22"/>
                <w14:ligatures w14:val="none"/>
              </w:rPr>
              <w:t>1.9 +/- 2.0</w:t>
            </w:r>
          </w:p>
        </w:tc>
      </w:tr>
    </w:tbl>
    <w:p w14:paraId="72D7B12F" w14:textId="77777777" w:rsidR="00D5732A" w:rsidRDefault="00D5732A" w:rsidP="00D5732A">
      <w:pPr>
        <w:rPr>
          <w:b/>
          <w:bCs/>
        </w:rPr>
        <w:sectPr w:rsidR="00D5732A" w:rsidSect="00D5732A">
          <w:pgSz w:w="15840" w:h="12240" w:orient="landscape"/>
          <w:pgMar w:top="1440" w:right="1440" w:bottom="1440" w:left="1440" w:header="720" w:footer="720" w:gutter="0"/>
          <w:cols w:space="720"/>
          <w:docGrid w:linePitch="360"/>
        </w:sectPr>
      </w:pPr>
    </w:p>
    <w:p w14:paraId="50EDDE44" w14:textId="32F43437" w:rsidR="006D468F" w:rsidRPr="00323E6E" w:rsidRDefault="00E82993" w:rsidP="0056599E">
      <w:r>
        <w:rPr>
          <w:noProof/>
        </w:rPr>
        <w:object w:dxaOrig="12437" w:dyaOrig="11055" w14:anchorId="58C029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28pt;height:471pt;mso-width-percent:0;mso-height-percent:0;mso-width-percent:0;mso-height-percent:0" o:ole="">
            <v:imagedata r:id="rId5" o:title=""/>
          </v:shape>
          <o:OLEObject Type="Embed" ProgID="Prism9.Document" ShapeID="_x0000_i1025" DrawAspect="Content" ObjectID="_1832226935" r:id="rId6"/>
        </w:object>
      </w:r>
    </w:p>
    <w:p w14:paraId="27AE4024" w14:textId="77777777" w:rsidR="008A5D33" w:rsidRDefault="008A5D33" w:rsidP="008A5D33">
      <w:pPr>
        <w:ind w:left="-1080"/>
      </w:pPr>
    </w:p>
    <w:p w14:paraId="2C58B5C0" w14:textId="1FF45B9B" w:rsidR="006D468F" w:rsidRDefault="006D468F">
      <w:pPr>
        <w:rPr>
          <w:b/>
          <w:bCs/>
        </w:rPr>
      </w:pPr>
      <w:r>
        <w:rPr>
          <w:b/>
          <w:bCs/>
        </w:rPr>
        <w:br w:type="page"/>
      </w:r>
    </w:p>
    <w:p w14:paraId="1FB0944F" w14:textId="27BD22DD" w:rsidR="00956412" w:rsidRDefault="00956412" w:rsidP="00956412">
      <w:r w:rsidRPr="008B3925">
        <w:rPr>
          <w:b/>
          <w:bCs/>
        </w:rPr>
        <w:lastRenderedPageBreak/>
        <w:t>Extended Data Figure</w:t>
      </w:r>
      <w:r>
        <w:rPr>
          <w:b/>
          <w:bCs/>
        </w:rPr>
        <w:t xml:space="preserve"> </w:t>
      </w:r>
      <w:r w:rsidR="0056599E">
        <w:rPr>
          <w:b/>
          <w:bCs/>
        </w:rPr>
        <w:t>1</w:t>
      </w:r>
      <w:r w:rsidRPr="008B3925">
        <w:rPr>
          <w:b/>
          <w:bCs/>
        </w:rPr>
        <w:t>: Average stimulation characteristics.</w:t>
      </w:r>
      <w:r>
        <w:t xml:space="preserve"> </w:t>
      </w:r>
    </w:p>
    <w:p w14:paraId="54366541" w14:textId="53E19924" w:rsidR="00956412" w:rsidRDefault="00967EA1" w:rsidP="00956412">
      <w:r>
        <w:t>(</w:t>
      </w:r>
      <w:r w:rsidR="00956412">
        <w:t xml:space="preserve">A-B) Average number of stimuli per breath at each current level, </w:t>
      </w:r>
      <w:r>
        <w:t>(</w:t>
      </w:r>
      <w:r w:rsidR="00956412">
        <w:t xml:space="preserve">C-D) overall frequency across the full respiratory cycle, </w:t>
      </w:r>
      <w:r>
        <w:t>(</w:t>
      </w:r>
      <w:r w:rsidR="00956412">
        <w:t xml:space="preserve">E-F) total length of time stimulated, and </w:t>
      </w:r>
      <w:r>
        <w:t>(</w:t>
      </w:r>
      <w:r w:rsidR="00956412">
        <w:t xml:space="preserve">G-H) number of breaths stimulated during inspiratory and expiratory phase stimulation. Multiple comparisons show differences at each current level between intact vs ascending current hemisected and descending vs ascending current hemisected. * p &lt; 0.05. ** p &lt; 0.01, *** p &lt; 0.001, **** p &lt; 0.0001. Significant effects not involving group are not listed. As stimulation, particularly during the inspiratory phase, led to disruptions in respiratory rhythms, the total amount of stimulation both in how many stimuli were administered per breath, amount of time stimulus lasted and number of breaths that were stimulated was lower at higher currents in intact rats as compared to the hemisected ascending current group. However, the frequency of stimulation across the respiratory cycle remained relatively constant between groups. </w:t>
      </w:r>
    </w:p>
    <w:p w14:paraId="41707713" w14:textId="77777777" w:rsidR="00956412" w:rsidRDefault="00956412">
      <w:pPr>
        <w:rPr>
          <w:b/>
          <w:bCs/>
        </w:rPr>
      </w:pPr>
      <w:r>
        <w:rPr>
          <w:b/>
          <w:bCs/>
        </w:rPr>
        <w:br w:type="page"/>
      </w:r>
    </w:p>
    <w:p w14:paraId="4CBD0C40" w14:textId="088ACBB2" w:rsidR="00967EA1" w:rsidRDefault="00E82993" w:rsidP="00967EA1">
      <w:pPr>
        <w:ind w:hanging="1080"/>
        <w:rPr>
          <w:b/>
          <w:bCs/>
        </w:rPr>
      </w:pPr>
      <w:r>
        <w:rPr>
          <w:noProof/>
        </w:rPr>
        <w:object w:dxaOrig="12398" w:dyaOrig="8873" w14:anchorId="30F56762">
          <v:shape id="_x0000_i1026" type="#_x0000_t75" alt="" style="width:584.25pt;height:418.5pt;mso-width-percent:0;mso-height-percent:0;mso-width-percent:0;mso-height-percent:0" o:ole="">
            <v:imagedata r:id="rId7" o:title=""/>
          </v:shape>
          <o:OLEObject Type="Embed" ProgID="Prism9.Document" ShapeID="_x0000_i1026" DrawAspect="Content" ObjectID="_1832226936" r:id="rId8"/>
        </w:object>
      </w:r>
    </w:p>
    <w:p w14:paraId="735B8F88" w14:textId="77777777" w:rsidR="00967EA1" w:rsidRDefault="00967EA1" w:rsidP="0056599E">
      <w:pPr>
        <w:rPr>
          <w:b/>
          <w:bCs/>
        </w:rPr>
      </w:pPr>
    </w:p>
    <w:p w14:paraId="4443B752" w14:textId="77777777" w:rsidR="00967EA1" w:rsidRDefault="00967EA1" w:rsidP="0056599E">
      <w:pPr>
        <w:rPr>
          <w:b/>
          <w:bCs/>
        </w:rPr>
      </w:pPr>
    </w:p>
    <w:p w14:paraId="50EEDEF1" w14:textId="77777777" w:rsidR="00967EA1" w:rsidRDefault="00967EA1" w:rsidP="0056599E">
      <w:pPr>
        <w:rPr>
          <w:b/>
          <w:bCs/>
        </w:rPr>
      </w:pPr>
    </w:p>
    <w:p w14:paraId="48411428" w14:textId="77777777" w:rsidR="00967EA1" w:rsidRDefault="00967EA1" w:rsidP="0056599E">
      <w:pPr>
        <w:rPr>
          <w:b/>
          <w:bCs/>
        </w:rPr>
      </w:pPr>
    </w:p>
    <w:p w14:paraId="6DB85303" w14:textId="77777777" w:rsidR="00967EA1" w:rsidRDefault="00967EA1" w:rsidP="0056599E">
      <w:pPr>
        <w:rPr>
          <w:b/>
          <w:bCs/>
        </w:rPr>
      </w:pPr>
    </w:p>
    <w:p w14:paraId="13D3DA9A" w14:textId="77777777" w:rsidR="00967EA1" w:rsidRDefault="00967EA1" w:rsidP="0056599E">
      <w:pPr>
        <w:rPr>
          <w:b/>
          <w:bCs/>
        </w:rPr>
      </w:pPr>
    </w:p>
    <w:p w14:paraId="687538CE" w14:textId="77777777" w:rsidR="00967EA1" w:rsidRDefault="00967EA1" w:rsidP="0056599E">
      <w:pPr>
        <w:rPr>
          <w:b/>
          <w:bCs/>
        </w:rPr>
      </w:pPr>
    </w:p>
    <w:p w14:paraId="526DF855" w14:textId="77777777" w:rsidR="00967EA1" w:rsidRDefault="00967EA1" w:rsidP="0056599E">
      <w:pPr>
        <w:rPr>
          <w:b/>
          <w:bCs/>
        </w:rPr>
      </w:pPr>
    </w:p>
    <w:p w14:paraId="2E154188" w14:textId="572BF75A" w:rsidR="0056599E" w:rsidRDefault="0056599E" w:rsidP="0056599E">
      <w:r w:rsidRPr="00847454">
        <w:rPr>
          <w:b/>
          <w:bCs/>
        </w:rPr>
        <w:lastRenderedPageBreak/>
        <w:t>Extended Data Figure</w:t>
      </w:r>
      <w:r>
        <w:rPr>
          <w:b/>
          <w:bCs/>
        </w:rPr>
        <w:t xml:space="preserve"> 2</w:t>
      </w:r>
      <w:r w:rsidRPr="00847454">
        <w:rPr>
          <w:b/>
          <w:bCs/>
        </w:rPr>
        <w:t>: Presentation order of inspiratory and expiratory stimulus bouts has no significant effect on inspiratory EMG output.</w:t>
      </w:r>
      <w:r>
        <w:t xml:space="preserve"> </w:t>
      </w:r>
    </w:p>
    <w:p w14:paraId="007FBB67" w14:textId="6D89AAF9" w:rsidR="0056599E" w:rsidRDefault="00967EA1" w:rsidP="0056599E">
      <w:r>
        <w:t>(</w:t>
      </w:r>
      <w:r w:rsidR="0056599E">
        <w:t xml:space="preserve">A) Visual representation of stimulation type/injury and stimulus presentation order depicted below. Change from post-injury baseline of inspiratory diaphragm EMG during stimulation on the </w:t>
      </w:r>
      <w:r>
        <w:t>(</w:t>
      </w:r>
      <w:r w:rsidR="0056599E">
        <w:t xml:space="preserve">B) </w:t>
      </w:r>
      <w:proofErr w:type="spellStart"/>
      <w:r w:rsidR="0056599E">
        <w:t>ipsilesional</w:t>
      </w:r>
      <w:proofErr w:type="spellEnd"/>
      <w:r w:rsidR="0056599E">
        <w:t xml:space="preserve"> and </w:t>
      </w:r>
      <w:r>
        <w:t>(</w:t>
      </w:r>
      <w:r w:rsidR="0056599E">
        <w:t xml:space="preserve">C) </w:t>
      </w:r>
      <w:proofErr w:type="spellStart"/>
      <w:r w:rsidR="0056599E">
        <w:t>contralesional</w:t>
      </w:r>
      <w:proofErr w:type="spellEnd"/>
      <w:r w:rsidR="0056599E">
        <w:t xml:space="preserve"> sides. Change from post-injury baseline of inspiratory diaphragm EMG of the first 30 breaths post stimulation on the </w:t>
      </w:r>
      <w:r>
        <w:t>(</w:t>
      </w:r>
      <w:r w:rsidR="0056599E">
        <w:t xml:space="preserve">D) </w:t>
      </w:r>
      <w:proofErr w:type="spellStart"/>
      <w:r w:rsidR="0056599E">
        <w:t>ipsilesional</w:t>
      </w:r>
      <w:proofErr w:type="spellEnd"/>
      <w:r w:rsidR="0056599E">
        <w:t xml:space="preserve"> and </w:t>
      </w:r>
      <w:r>
        <w:t>(</w:t>
      </w:r>
      <w:r w:rsidR="0056599E">
        <w:t xml:space="preserve">E) </w:t>
      </w:r>
      <w:proofErr w:type="spellStart"/>
      <w:r w:rsidR="0056599E">
        <w:t>contralesional</w:t>
      </w:r>
      <w:proofErr w:type="spellEnd"/>
      <w:r w:rsidR="0056599E">
        <w:t xml:space="preserve"> sides. Change from post-injury baseline of expiratory diaphragm EMG during stimulation on the </w:t>
      </w:r>
      <w:r>
        <w:t>(</w:t>
      </w:r>
      <w:r w:rsidR="0056599E">
        <w:t xml:space="preserve">F) </w:t>
      </w:r>
      <w:proofErr w:type="spellStart"/>
      <w:r w:rsidR="0056599E">
        <w:t>ipsilesional</w:t>
      </w:r>
      <w:proofErr w:type="spellEnd"/>
      <w:r w:rsidR="0056599E">
        <w:t xml:space="preserve"> and </w:t>
      </w:r>
      <w:r>
        <w:t>(</w:t>
      </w:r>
      <w:r w:rsidR="0056599E">
        <w:t xml:space="preserve">G) </w:t>
      </w:r>
      <w:proofErr w:type="spellStart"/>
      <w:r w:rsidR="0056599E">
        <w:t>contralesional</w:t>
      </w:r>
      <w:proofErr w:type="spellEnd"/>
      <w:r w:rsidR="0056599E">
        <w:t xml:space="preserve"> sides. Significant effects not involving stimulus block presentation order are not listed. There were no significant effects of stimulus block presentation order on diaphragm EMG response, nor any interaction of presentation order and stimulus phase or current amplitude. </w:t>
      </w:r>
    </w:p>
    <w:p w14:paraId="2D8AA9EE" w14:textId="3F450C59" w:rsidR="0056599E" w:rsidRPr="00323E6E" w:rsidRDefault="0056599E" w:rsidP="0056599E">
      <w:r>
        <w:rPr>
          <w:b/>
          <w:bCs/>
        </w:rPr>
        <w:br w:type="page"/>
      </w:r>
    </w:p>
    <w:p w14:paraId="1F821F3F" w14:textId="20B22A54" w:rsidR="0056599E" w:rsidRDefault="0056599E">
      <w:pPr>
        <w:rPr>
          <w:b/>
          <w:bCs/>
        </w:rPr>
      </w:pPr>
      <w:r>
        <w:rPr>
          <w:b/>
          <w:bCs/>
          <w:noProof/>
        </w:rPr>
        <w:lastRenderedPageBreak/>
        <w:drawing>
          <wp:anchor distT="0" distB="0" distL="114300" distR="114300" simplePos="0" relativeHeight="251660288" behindDoc="0" locked="0" layoutInCell="1" allowOverlap="1" wp14:anchorId="7FFDB500" wp14:editId="3C553CC6">
            <wp:simplePos x="0" y="0"/>
            <wp:positionH relativeFrom="page">
              <wp:posOffset>218364</wp:posOffset>
            </wp:positionH>
            <wp:positionV relativeFrom="paragraph">
              <wp:posOffset>6492</wp:posOffset>
            </wp:positionV>
            <wp:extent cx="7266940" cy="5974715"/>
            <wp:effectExtent l="0" t="0" r="0" b="6985"/>
            <wp:wrapTopAndBottom/>
            <wp:docPr id="1057117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17462" name="Picture 1"/>
                    <pic:cNvPicPr/>
                  </pic:nvPicPr>
                  <pic:blipFill rotWithShape="1">
                    <a:blip r:embed="rId9"/>
                    <a:srcRect l="1502" t="229" r="-1502" b="32499"/>
                    <a:stretch>
                      <a:fillRect/>
                    </a:stretch>
                  </pic:blipFill>
                  <pic:spPr bwMode="auto">
                    <a:xfrm>
                      <a:off x="0" y="0"/>
                      <a:ext cx="7266940" cy="5974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241E34" w14:textId="7AC989A3" w:rsidR="00956412" w:rsidRDefault="00956412" w:rsidP="00956412">
      <w:pPr>
        <w:ind w:hanging="1080"/>
        <w:rPr>
          <w:b/>
          <w:bCs/>
        </w:rPr>
      </w:pPr>
      <w:r>
        <w:rPr>
          <w:b/>
          <w:bCs/>
        </w:rPr>
        <w:br w:type="page"/>
      </w:r>
    </w:p>
    <w:p w14:paraId="76B58D45" w14:textId="47637156" w:rsidR="0056599E" w:rsidRDefault="0056599E" w:rsidP="0056599E">
      <w:r w:rsidRPr="008B3925">
        <w:rPr>
          <w:b/>
          <w:bCs/>
        </w:rPr>
        <w:lastRenderedPageBreak/>
        <w:t>Extended Data Figure</w:t>
      </w:r>
      <w:r>
        <w:rPr>
          <w:b/>
          <w:bCs/>
        </w:rPr>
        <w:t xml:space="preserve"> 3</w:t>
      </w:r>
      <w:r w:rsidRPr="008B3925">
        <w:rPr>
          <w:b/>
          <w:bCs/>
        </w:rPr>
        <w:t xml:space="preserve">: </w:t>
      </w:r>
      <w:r>
        <w:rPr>
          <w:b/>
          <w:bCs/>
        </w:rPr>
        <w:t>Representative observations</w:t>
      </w:r>
    </w:p>
    <w:p w14:paraId="401A5591" w14:textId="60F7B1F8" w:rsidR="0056599E" w:rsidRDefault="00967EA1" w:rsidP="0056599E">
      <w:r>
        <w:t>(</w:t>
      </w:r>
      <w:r w:rsidR="0056599E">
        <w:t xml:space="preserve">A) Sample traces of diaphragm EMG (top, black) and inspiratory pressure (bottom, gray; red line at neutral pressure) of a urethane anesthetized rat breathing against a closed system. Yellow boxes correspond to the period in which inspiratory pressure is being generated. </w:t>
      </w:r>
      <w:r>
        <w:t>(</w:t>
      </w:r>
      <w:r w:rsidR="0056599E">
        <w:t xml:space="preserve">B) Sample diaphragm EMG motor evoked potentials and </w:t>
      </w:r>
      <w:r>
        <w:t>(</w:t>
      </w:r>
      <w:r w:rsidR="0056599E">
        <w:t xml:space="preserve">C) individual traces of motor evoked potentials at currents above (red, 1.85 mA) and below (black, 0.5 mA) that necessary to directly activate the phrenic nerve. Motor evoked potentials were measured by sending single current pulses of increasing amplitude at the beginning of each breath with at least 1 second between each pulse to avoid temporal summation. Each current amplitude was delivered 5 times, and traces represent the average EMG response post stimulus. Note that single current pulses only weakly and inconsistently elicit the ~4 </w:t>
      </w:r>
      <w:proofErr w:type="spellStart"/>
      <w:r w:rsidR="0056599E">
        <w:t>ms</w:t>
      </w:r>
      <w:proofErr w:type="spellEnd"/>
      <w:r w:rsidR="0056599E">
        <w:t xml:space="preserve"> response, which only begins at current amplitudes above the 250 µA maximum utilized in this study. Direct phrenic activation at very high current amplitudes leads to a much stronger and consistent response starting at ~2.5 </w:t>
      </w:r>
      <w:proofErr w:type="spellStart"/>
      <w:r w:rsidR="0056599E">
        <w:t>ms</w:t>
      </w:r>
      <w:proofErr w:type="spellEnd"/>
      <w:r w:rsidR="0056599E">
        <w:t xml:space="preserve"> from stimulation.</w:t>
      </w:r>
      <w:r>
        <w:t xml:space="preserve"> All traces taken from rats </w:t>
      </w:r>
      <w:proofErr w:type="gramStart"/>
      <w:r>
        <w:t>not</w:t>
      </w:r>
      <w:proofErr w:type="gramEnd"/>
      <w:r>
        <w:t xml:space="preserve"> part of the current study.</w:t>
      </w:r>
      <w:r w:rsidR="0056599E">
        <w:t xml:space="preserve">  </w:t>
      </w:r>
    </w:p>
    <w:p w14:paraId="2D729C8C" w14:textId="1B5007A2" w:rsidR="00647563" w:rsidRDefault="00647563" w:rsidP="00647563">
      <w:pPr>
        <w:ind w:left="-1080"/>
        <w:rPr>
          <w:b/>
          <w:bCs/>
        </w:rPr>
      </w:pPr>
    </w:p>
    <w:p w14:paraId="4EEA712D" w14:textId="599896CB" w:rsidR="00DA60A9" w:rsidRDefault="00336C66">
      <w:r>
        <w:br w:type="page"/>
      </w:r>
    </w:p>
    <w:p w14:paraId="1CEBA4F7" w14:textId="06A763CA" w:rsidR="00BA234E" w:rsidRDefault="00E82993" w:rsidP="00BA234E">
      <w:pPr>
        <w:ind w:hanging="1080"/>
      </w:pPr>
      <w:r>
        <w:rPr>
          <w:noProof/>
        </w:rPr>
        <w:object w:dxaOrig="12230" w:dyaOrig="11354" w14:anchorId="56919A53">
          <v:shape id="_x0000_i1027" type="#_x0000_t75" alt="" style="width:578.25pt;height:537pt;mso-width-percent:0;mso-height-percent:0;mso-width-percent:0;mso-height-percent:0" o:ole="">
            <v:imagedata r:id="rId10" o:title=""/>
          </v:shape>
          <o:OLEObject Type="Embed" ProgID="Prism9.Document" ShapeID="_x0000_i1027" DrawAspect="Content" ObjectID="_1832226937" r:id="rId11"/>
        </w:object>
      </w:r>
    </w:p>
    <w:p w14:paraId="67EA1077" w14:textId="77777777" w:rsidR="00BA234E" w:rsidRDefault="00BA234E">
      <w:r>
        <w:br w:type="page"/>
      </w:r>
    </w:p>
    <w:p w14:paraId="5430FC5B" w14:textId="70E3A26D" w:rsidR="00937C3C" w:rsidRPr="00FA301D" w:rsidRDefault="00937C3C" w:rsidP="00BA234E">
      <w:pPr>
        <w:rPr>
          <w:b/>
          <w:bCs/>
        </w:rPr>
      </w:pPr>
      <w:r w:rsidRPr="00FA301D">
        <w:rPr>
          <w:b/>
          <w:bCs/>
        </w:rPr>
        <w:lastRenderedPageBreak/>
        <w:t xml:space="preserve">Extended Data </w:t>
      </w:r>
      <w:r w:rsidR="00FA301D">
        <w:rPr>
          <w:b/>
          <w:bCs/>
        </w:rPr>
        <w:t xml:space="preserve">Figure </w:t>
      </w:r>
      <w:r w:rsidR="006D468F">
        <w:rPr>
          <w:b/>
          <w:bCs/>
        </w:rPr>
        <w:t>4</w:t>
      </w:r>
      <w:r w:rsidRPr="00FA301D">
        <w:rPr>
          <w:b/>
          <w:bCs/>
        </w:rPr>
        <w:t xml:space="preserve">: Inspiratory EMG area under the curve increases in response to stimulation similarly to inspiratory EMG peak. </w:t>
      </w:r>
    </w:p>
    <w:p w14:paraId="3D9849E6" w14:textId="5C611186" w:rsidR="00FA301D" w:rsidRDefault="00E837BB" w:rsidP="00BA234E">
      <w:r w:rsidRPr="00E837BB">
        <w:t xml:space="preserve">Change in inspiratory diaphragm EMG </w:t>
      </w:r>
      <w:r>
        <w:t>area under the curve</w:t>
      </w:r>
      <w:r w:rsidR="003F151F">
        <w:t xml:space="preserve"> (AUC)</w:t>
      </w:r>
      <w:r>
        <w:t xml:space="preserve"> </w:t>
      </w:r>
      <w:r w:rsidRPr="00E837BB">
        <w:t xml:space="preserve">from post injury baseline for the average of (A) all breaths during stimulation and (B) the first 30 breaths post stimulation. Individual responses of inspiratory </w:t>
      </w:r>
      <w:r>
        <w:t xml:space="preserve">area under the curve </w:t>
      </w:r>
      <w:r w:rsidRPr="00E837BB">
        <w:t xml:space="preserve">EMG change (C-F) during and (G-J) post stimulation. Note the difference in scale of C-F vs G-J. Asterisks indicate when change in EMG peak was significantly different from zero; * p &lt; 0.05, ** p &lt; 0.01, *** p &lt; 0.001, **** p &lt; 0.0001. </w:t>
      </w:r>
      <w:r w:rsidR="0019475A">
        <w:t xml:space="preserve">EMG area under the curve followed the same response to stimulus as EMG peak. </w:t>
      </w:r>
    </w:p>
    <w:p w14:paraId="4FC06D5C" w14:textId="56AC9621" w:rsidR="00577822" w:rsidRDefault="00577822" w:rsidP="00577822">
      <w:pPr>
        <w:ind w:hanging="1440"/>
      </w:pPr>
    </w:p>
    <w:p w14:paraId="26EABC02" w14:textId="11649505" w:rsidR="00CD3453" w:rsidRDefault="00CD3453" w:rsidP="00577822">
      <w:pPr>
        <w:ind w:hanging="1080"/>
      </w:pPr>
    </w:p>
    <w:p w14:paraId="391D8813" w14:textId="77777777" w:rsidR="00DB277E" w:rsidRDefault="00DB277E" w:rsidP="00BA234E"/>
    <w:p w14:paraId="5EDE5F5A" w14:textId="77777777" w:rsidR="00DB277E" w:rsidRDefault="00DB277E" w:rsidP="00577822">
      <w:pPr>
        <w:ind w:hanging="1080"/>
      </w:pPr>
    </w:p>
    <w:p w14:paraId="6AAA3AF8" w14:textId="77777777" w:rsidR="00DB277E" w:rsidRDefault="00DB277E" w:rsidP="00577822">
      <w:pPr>
        <w:ind w:hanging="1080"/>
      </w:pPr>
    </w:p>
    <w:p w14:paraId="37155E35" w14:textId="77777777" w:rsidR="00BA234E" w:rsidRDefault="00BA234E">
      <w:r>
        <w:br w:type="page"/>
      </w:r>
    </w:p>
    <w:p w14:paraId="62E5675F" w14:textId="7AFB735D" w:rsidR="00BA234E" w:rsidRDefault="00BA234E" w:rsidP="00BA3C88"/>
    <w:p w14:paraId="5AD04CA5" w14:textId="7A5D923A" w:rsidR="00BA234E" w:rsidRDefault="00E82993">
      <w:r>
        <w:rPr>
          <w:noProof/>
        </w:rPr>
        <w:object w:dxaOrig="12406" w:dyaOrig="13265" w14:anchorId="1B177A58">
          <v:shape id="_x0000_i1028" type="#_x0000_t75" alt="" style="width:509.25pt;height:543.75pt;mso-width-percent:0;mso-height-percent:0;mso-width-percent:0;mso-height-percent:0" o:ole="">
            <v:imagedata r:id="rId12" o:title=""/>
          </v:shape>
          <o:OLEObject Type="Embed" ProgID="Prism9.Document" ShapeID="_x0000_i1028" DrawAspect="Content" ObjectID="_1832226938" r:id="rId13"/>
        </w:object>
      </w:r>
      <w:r w:rsidR="00BA234E">
        <w:br w:type="page"/>
      </w:r>
    </w:p>
    <w:p w14:paraId="630AC652" w14:textId="5C58B927" w:rsidR="00FA301D" w:rsidRPr="00FA301D" w:rsidRDefault="00DB277E" w:rsidP="00DB277E">
      <w:pPr>
        <w:rPr>
          <w:b/>
          <w:bCs/>
        </w:rPr>
      </w:pPr>
      <w:r w:rsidRPr="00FA301D">
        <w:rPr>
          <w:b/>
          <w:bCs/>
        </w:rPr>
        <w:lastRenderedPageBreak/>
        <w:t>Extended Data Fig</w:t>
      </w:r>
      <w:r w:rsidR="00FA301D" w:rsidRPr="00FA301D">
        <w:rPr>
          <w:b/>
          <w:bCs/>
        </w:rPr>
        <w:t xml:space="preserve">ure </w:t>
      </w:r>
      <w:r w:rsidR="006D468F">
        <w:rPr>
          <w:b/>
          <w:bCs/>
        </w:rPr>
        <w:t>5</w:t>
      </w:r>
      <w:r w:rsidRPr="00FA301D">
        <w:rPr>
          <w:b/>
          <w:bCs/>
        </w:rPr>
        <w:t xml:space="preserve">: Residual activity does not require prior exposure to stimulus. </w:t>
      </w:r>
    </w:p>
    <w:p w14:paraId="4BA55FCD" w14:textId="34B9E57D" w:rsidR="00624BAF" w:rsidRDefault="00967EA1" w:rsidP="00624BAF">
      <w:r>
        <w:t>(</w:t>
      </w:r>
      <w:r w:rsidR="00624BAF">
        <w:t xml:space="preserve">A) Sample </w:t>
      </w:r>
      <w:proofErr w:type="spellStart"/>
      <w:r w:rsidR="00624BAF">
        <w:t>ipsilesional</w:t>
      </w:r>
      <w:proofErr w:type="spellEnd"/>
      <w:r w:rsidR="00624BAF">
        <w:t xml:space="preserve"> diaphragm EMG responses</w:t>
      </w:r>
      <w:r w:rsidR="008C58DA">
        <w:t xml:space="preserve"> from a descending current C2HS rat</w:t>
      </w:r>
      <w:r w:rsidR="00624BAF">
        <w:t xml:space="preserve"> </w:t>
      </w:r>
      <w:r w:rsidR="00463F0C">
        <w:t xml:space="preserve">to </w:t>
      </w:r>
      <w:r w:rsidR="008C58DA">
        <w:t>the initial</w:t>
      </w:r>
      <w:r w:rsidR="00463F0C">
        <w:t xml:space="preserve"> 250 µA inspiratory and expiratory phase stimulation bout, showing residual </w:t>
      </w:r>
      <w:r w:rsidR="00233659">
        <w:t xml:space="preserve">inspiratory </w:t>
      </w:r>
      <w:r w:rsidR="00463F0C">
        <w:t>diaphragm EMG even after only a single</w:t>
      </w:r>
      <w:r w:rsidR="00F319DC">
        <w:t xml:space="preserve"> high-amplitude</w:t>
      </w:r>
      <w:r w:rsidR="00463F0C">
        <w:t xml:space="preserve"> presentation of stimulus. </w:t>
      </w:r>
      <w:r w:rsidR="0005391F">
        <w:t>For ascending</w:t>
      </w:r>
      <w:r w:rsidR="00BA3C88">
        <w:t xml:space="preserve"> </w:t>
      </w:r>
      <w:r w:rsidR="0005391F">
        <w:t xml:space="preserve">vs </w:t>
      </w:r>
      <w:proofErr w:type="gramStart"/>
      <w:r w:rsidR="0005391F">
        <w:t xml:space="preserve">descending </w:t>
      </w:r>
      <w:r w:rsidR="008C58DA">
        <w:t xml:space="preserve"> </w:t>
      </w:r>
      <w:r w:rsidR="0005391F">
        <w:t>stimulus</w:t>
      </w:r>
      <w:proofErr w:type="gramEnd"/>
      <w:r w:rsidR="0005391F">
        <w:t xml:space="preserve"> presentation order: c</w:t>
      </w:r>
      <w:r w:rsidR="00463F0C">
        <w:t xml:space="preserve">hange from post injury baseline in </w:t>
      </w:r>
      <w:proofErr w:type="spellStart"/>
      <w:r w:rsidR="00BA3C88">
        <w:t>ipsilesional</w:t>
      </w:r>
      <w:proofErr w:type="spellEnd"/>
      <w:r w:rsidR="00BA3C88">
        <w:t xml:space="preserve"> diaphragm inspiratory peak </w:t>
      </w:r>
      <w:r>
        <w:t>(</w:t>
      </w:r>
      <w:r w:rsidR="00BA3C88">
        <w:t xml:space="preserve">B) during inspiratory phase stimulation, </w:t>
      </w:r>
      <w:r>
        <w:t>(</w:t>
      </w:r>
      <w:r w:rsidR="00BA3C88">
        <w:t xml:space="preserve">C) during expiratory phase stimulation, </w:t>
      </w:r>
      <w:r>
        <w:t>(</w:t>
      </w:r>
      <w:r w:rsidR="00BA3C88">
        <w:t xml:space="preserve">D) post inspiratory phase stimulation, and </w:t>
      </w:r>
      <w:r>
        <w:t>(</w:t>
      </w:r>
      <w:r w:rsidR="00BA3C88">
        <w:t xml:space="preserve">E) post expiratory phase stimulation. </w:t>
      </w:r>
      <w:r w:rsidR="00D5732A">
        <w:t xml:space="preserve">Significant effects </w:t>
      </w:r>
      <w:r w:rsidR="00BA3C88">
        <w:t>of current amplitude alone</w:t>
      </w:r>
      <w:r w:rsidR="00D5732A">
        <w:t xml:space="preserve"> are not listed. </w:t>
      </w:r>
      <w:r w:rsidR="00BA3C88">
        <w:t xml:space="preserve">Inspiratory </w:t>
      </w:r>
      <w:proofErr w:type="spellStart"/>
      <w:r w:rsidR="00BA3C88">
        <w:t>ipsilesional</w:t>
      </w:r>
      <w:proofErr w:type="spellEnd"/>
      <w:r w:rsidR="00BA3C88">
        <w:t xml:space="preserve"> peak EMG response was not different during or after stimulation between ascending or descending current amplitude presentation order. </w:t>
      </w:r>
    </w:p>
    <w:p w14:paraId="1AB3541A" w14:textId="16FD5B49" w:rsidR="00DB277E" w:rsidRDefault="00DB277E" w:rsidP="00DB277E">
      <w:pPr>
        <w:ind w:hanging="1170"/>
      </w:pPr>
    </w:p>
    <w:p w14:paraId="1CA033FB" w14:textId="77777777" w:rsidR="00DB277E" w:rsidRDefault="00DB277E" w:rsidP="00577822">
      <w:pPr>
        <w:ind w:hanging="1080"/>
      </w:pPr>
    </w:p>
    <w:p w14:paraId="22D4E22D" w14:textId="1FC9904E" w:rsidR="00CD3453" w:rsidRDefault="00CD3453" w:rsidP="00E274EC">
      <w:r>
        <w:br w:type="page"/>
      </w:r>
    </w:p>
    <w:p w14:paraId="26C7513A" w14:textId="23BF9F0F" w:rsidR="00125993" w:rsidRDefault="00E1502A">
      <w:r>
        <w:rPr>
          <w:noProof/>
        </w:rPr>
        <w:lastRenderedPageBreak/>
        <w:drawing>
          <wp:anchor distT="0" distB="0" distL="114300" distR="114300" simplePos="0" relativeHeight="251658240" behindDoc="1" locked="0" layoutInCell="1" allowOverlap="1" wp14:anchorId="31DA6782" wp14:editId="0B3F5193">
            <wp:simplePos x="0" y="0"/>
            <wp:positionH relativeFrom="column">
              <wp:posOffset>-841375</wp:posOffset>
            </wp:positionH>
            <wp:positionV relativeFrom="paragraph">
              <wp:posOffset>0</wp:posOffset>
            </wp:positionV>
            <wp:extent cx="7301230" cy="8923020"/>
            <wp:effectExtent l="0" t="0" r="0" b="0"/>
            <wp:wrapTight wrapText="bothSides">
              <wp:wrapPolygon edited="0">
                <wp:start x="0" y="0"/>
                <wp:lineTo x="0" y="21535"/>
                <wp:lineTo x="21529" y="21535"/>
                <wp:lineTo x="21529" y="0"/>
                <wp:lineTo x="0" y="0"/>
              </wp:wrapPolygon>
            </wp:wrapTight>
            <wp:docPr id="1134220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220169" name="Picture 1"/>
                    <pic:cNvPicPr>
                      <a:picLocks noChangeAspect="1" noChangeArrowheads="1"/>
                    </pic:cNvPicPr>
                  </pic:nvPicPr>
                  <pic:blipFill>
                    <a:blip r:embed="rId14"/>
                    <a:stretch>
                      <a:fillRect/>
                    </a:stretch>
                  </pic:blipFill>
                  <pic:spPr bwMode="auto">
                    <a:xfrm>
                      <a:off x="0" y="0"/>
                      <a:ext cx="7301230" cy="8923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993">
        <w:br w:type="page"/>
      </w:r>
    </w:p>
    <w:p w14:paraId="2F861A17" w14:textId="42A710B3" w:rsidR="00CD3453" w:rsidRDefault="004A1905">
      <w:pPr>
        <w:rPr>
          <w:b/>
          <w:bCs/>
        </w:rPr>
      </w:pPr>
      <w:r w:rsidRPr="00FA301D">
        <w:rPr>
          <w:b/>
          <w:bCs/>
        </w:rPr>
        <w:lastRenderedPageBreak/>
        <w:t xml:space="preserve">Extended Data </w:t>
      </w:r>
      <w:r w:rsidR="00FA301D" w:rsidRPr="00FA301D">
        <w:rPr>
          <w:b/>
          <w:bCs/>
        </w:rPr>
        <w:t xml:space="preserve">Figure </w:t>
      </w:r>
      <w:r w:rsidR="006D468F">
        <w:rPr>
          <w:b/>
          <w:bCs/>
        </w:rPr>
        <w:t>6</w:t>
      </w:r>
      <w:r w:rsidRPr="00FA301D">
        <w:rPr>
          <w:b/>
          <w:bCs/>
        </w:rPr>
        <w:t xml:space="preserve">: </w:t>
      </w:r>
      <w:r w:rsidR="00060D95">
        <w:rPr>
          <w:b/>
          <w:bCs/>
        </w:rPr>
        <w:t xml:space="preserve">Additional </w:t>
      </w:r>
      <w:proofErr w:type="spellStart"/>
      <w:r w:rsidR="00060D95">
        <w:rPr>
          <w:b/>
          <w:bCs/>
        </w:rPr>
        <w:t>RNAScope</w:t>
      </w:r>
      <w:proofErr w:type="spellEnd"/>
      <w:r w:rsidR="00060D95">
        <w:rPr>
          <w:b/>
          <w:bCs/>
        </w:rPr>
        <w:t xml:space="preserve"> </w:t>
      </w:r>
      <w:r w:rsidR="00A8695A">
        <w:rPr>
          <w:b/>
          <w:bCs/>
        </w:rPr>
        <w:t>representative images.</w:t>
      </w:r>
    </w:p>
    <w:p w14:paraId="3FC4E0FC" w14:textId="1FD1C3FC" w:rsidR="00A8695A" w:rsidRPr="00A8695A" w:rsidRDefault="00967EA1" w:rsidP="007C797C">
      <w:r>
        <w:t>(</w:t>
      </w:r>
      <w:r w:rsidR="007C797C">
        <w:t xml:space="preserve">A) </w:t>
      </w:r>
      <w:r w:rsidR="009B2031">
        <w:t xml:space="preserve">Representative </w:t>
      </w:r>
      <w:r w:rsidR="0045229C">
        <w:t>C4 cross section</w:t>
      </w:r>
      <w:r w:rsidR="009B2031">
        <w:t xml:space="preserve"> of</w:t>
      </w:r>
      <w:r w:rsidR="0045229C">
        <w:t xml:space="preserve"> FOS staining (purple) in</w:t>
      </w:r>
      <w:r w:rsidR="009B2031">
        <w:t xml:space="preserve"> stimulated and unstimulated injured and intact </w:t>
      </w:r>
      <w:r w:rsidR="0045229C">
        <w:t xml:space="preserve">rats. </w:t>
      </w:r>
      <w:r>
        <w:t>(</w:t>
      </w:r>
      <w:r w:rsidR="0045229C">
        <w:t xml:space="preserve">B) Representative images of FOS (green) </w:t>
      </w:r>
      <w:proofErr w:type="spellStart"/>
      <w:r w:rsidR="0045229C">
        <w:t>copositivity</w:t>
      </w:r>
      <w:proofErr w:type="spellEnd"/>
      <w:r w:rsidR="0045229C">
        <w:t xml:space="preserve"> with VSX2 (red) and RBFOX3 (</w:t>
      </w:r>
      <w:r w:rsidR="00571C6A">
        <w:t xml:space="preserve">NeuN - </w:t>
      </w:r>
      <w:r w:rsidR="0045229C">
        <w:t>purple).</w:t>
      </w:r>
      <w:r w:rsidR="00323E6E">
        <w:t xml:space="preserve"> Note that color of FOS changes from panel A to B.</w:t>
      </w:r>
      <w:r w:rsidR="0045229C">
        <w:t xml:space="preserve"> All sets of images were taken with identical exposures and uniformly brightened for ease of visualization. Group data of </w:t>
      </w:r>
      <w:r>
        <w:t>(</w:t>
      </w:r>
      <w:r w:rsidR="0045229C">
        <w:t xml:space="preserve">C) number of VSX2/FOS copositive cells and </w:t>
      </w:r>
      <w:r>
        <w:t>(</w:t>
      </w:r>
      <w:r w:rsidR="0045229C">
        <w:t xml:space="preserve">D) percentage of FOS positive cells copositive for VSX2. </w:t>
      </w:r>
    </w:p>
    <w:p w14:paraId="609EDE22" w14:textId="77777777" w:rsidR="004A1905" w:rsidRDefault="004A1905"/>
    <w:p w14:paraId="6DCD177E" w14:textId="45043367" w:rsidR="00FD5494" w:rsidRPr="00B315A0" w:rsidRDefault="00FD5494"/>
    <w:sectPr w:rsidR="00FD5494" w:rsidRPr="00B315A0" w:rsidSect="00FD549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altName w:val="Calibri"/>
    <w:charset w:val="00"/>
    <w:family w:val="roman"/>
    <w:pitch w:val="default"/>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7B13693"/>
    <w:multiLevelType w:val="hybridMultilevel"/>
    <w:tmpl w:val="4C523F3E"/>
    <w:lvl w:ilvl="0" w:tplc="9AB0D4C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C8A1163"/>
    <w:multiLevelType w:val="hybridMultilevel"/>
    <w:tmpl w:val="3D8209A2"/>
    <w:lvl w:ilvl="0" w:tplc="96A2535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8E107CD"/>
    <w:multiLevelType w:val="hybridMultilevel"/>
    <w:tmpl w:val="60122C4E"/>
    <w:lvl w:ilvl="0" w:tplc="D37A8E3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33500461">
    <w:abstractNumId w:val="0"/>
  </w:num>
  <w:num w:numId="2" w16cid:durableId="674916958">
    <w:abstractNumId w:val="2"/>
  </w:num>
  <w:num w:numId="3" w16cid:durableId="20350386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56A8"/>
    <w:rsid w:val="000008ED"/>
    <w:rsid w:val="000338A0"/>
    <w:rsid w:val="000348F6"/>
    <w:rsid w:val="00051728"/>
    <w:rsid w:val="0005391F"/>
    <w:rsid w:val="00060D95"/>
    <w:rsid w:val="00095AB2"/>
    <w:rsid w:val="000C6E49"/>
    <w:rsid w:val="000D6326"/>
    <w:rsid w:val="000F504A"/>
    <w:rsid w:val="00125993"/>
    <w:rsid w:val="001305F3"/>
    <w:rsid w:val="00131EC3"/>
    <w:rsid w:val="00166FB6"/>
    <w:rsid w:val="0019475A"/>
    <w:rsid w:val="001C72DD"/>
    <w:rsid w:val="002322DB"/>
    <w:rsid w:val="00232928"/>
    <w:rsid w:val="00233659"/>
    <w:rsid w:val="002374F6"/>
    <w:rsid w:val="002752AE"/>
    <w:rsid w:val="002D2D1E"/>
    <w:rsid w:val="002D4FDA"/>
    <w:rsid w:val="00323E6E"/>
    <w:rsid w:val="00325985"/>
    <w:rsid w:val="00332708"/>
    <w:rsid w:val="00336C66"/>
    <w:rsid w:val="00346D6A"/>
    <w:rsid w:val="00370A0E"/>
    <w:rsid w:val="0037223B"/>
    <w:rsid w:val="00384B0E"/>
    <w:rsid w:val="003853B0"/>
    <w:rsid w:val="003A02D3"/>
    <w:rsid w:val="003F151F"/>
    <w:rsid w:val="003F588F"/>
    <w:rsid w:val="004212B6"/>
    <w:rsid w:val="0045229C"/>
    <w:rsid w:val="00457A9B"/>
    <w:rsid w:val="00461D3A"/>
    <w:rsid w:val="00463F0C"/>
    <w:rsid w:val="004A1905"/>
    <w:rsid w:val="004C6695"/>
    <w:rsid w:val="004D0709"/>
    <w:rsid w:val="00535404"/>
    <w:rsid w:val="0056599E"/>
    <w:rsid w:val="00571C6A"/>
    <w:rsid w:val="005732E2"/>
    <w:rsid w:val="00577822"/>
    <w:rsid w:val="00594EDC"/>
    <w:rsid w:val="005A4AE3"/>
    <w:rsid w:val="005F4127"/>
    <w:rsid w:val="00624BAF"/>
    <w:rsid w:val="0064274E"/>
    <w:rsid w:val="00644362"/>
    <w:rsid w:val="00647563"/>
    <w:rsid w:val="00664EAE"/>
    <w:rsid w:val="006856AE"/>
    <w:rsid w:val="006A032E"/>
    <w:rsid w:val="006D468F"/>
    <w:rsid w:val="006E21A3"/>
    <w:rsid w:val="006E3497"/>
    <w:rsid w:val="006F4588"/>
    <w:rsid w:val="00716422"/>
    <w:rsid w:val="007B1588"/>
    <w:rsid w:val="007B47D5"/>
    <w:rsid w:val="007C797C"/>
    <w:rsid w:val="007D4C42"/>
    <w:rsid w:val="007E3CCA"/>
    <w:rsid w:val="007F29E3"/>
    <w:rsid w:val="007F61B4"/>
    <w:rsid w:val="00811B57"/>
    <w:rsid w:val="00812E6F"/>
    <w:rsid w:val="008174C6"/>
    <w:rsid w:val="00825B4A"/>
    <w:rsid w:val="0083532D"/>
    <w:rsid w:val="00836A81"/>
    <w:rsid w:val="008425C4"/>
    <w:rsid w:val="00842AAE"/>
    <w:rsid w:val="00847454"/>
    <w:rsid w:val="008717ED"/>
    <w:rsid w:val="0087584E"/>
    <w:rsid w:val="0088394B"/>
    <w:rsid w:val="008926E0"/>
    <w:rsid w:val="008A5D33"/>
    <w:rsid w:val="008B295E"/>
    <w:rsid w:val="008B3925"/>
    <w:rsid w:val="008C0E75"/>
    <w:rsid w:val="008C58DA"/>
    <w:rsid w:val="008D0C95"/>
    <w:rsid w:val="008D30F6"/>
    <w:rsid w:val="008D39B1"/>
    <w:rsid w:val="00933E19"/>
    <w:rsid w:val="00937C3C"/>
    <w:rsid w:val="00951D87"/>
    <w:rsid w:val="00956412"/>
    <w:rsid w:val="00967EA1"/>
    <w:rsid w:val="00973972"/>
    <w:rsid w:val="009B2031"/>
    <w:rsid w:val="009B4982"/>
    <w:rsid w:val="009B4C87"/>
    <w:rsid w:val="009B551B"/>
    <w:rsid w:val="009B6D77"/>
    <w:rsid w:val="009C3298"/>
    <w:rsid w:val="009E0617"/>
    <w:rsid w:val="00A051DD"/>
    <w:rsid w:val="00A2489C"/>
    <w:rsid w:val="00A41001"/>
    <w:rsid w:val="00A532D0"/>
    <w:rsid w:val="00A6369E"/>
    <w:rsid w:val="00A8695A"/>
    <w:rsid w:val="00AB52E3"/>
    <w:rsid w:val="00AC0D69"/>
    <w:rsid w:val="00AC1548"/>
    <w:rsid w:val="00AC4884"/>
    <w:rsid w:val="00AE191B"/>
    <w:rsid w:val="00AE1DAB"/>
    <w:rsid w:val="00B12A8F"/>
    <w:rsid w:val="00B256A8"/>
    <w:rsid w:val="00B315A0"/>
    <w:rsid w:val="00B34AF0"/>
    <w:rsid w:val="00B7588F"/>
    <w:rsid w:val="00BA234E"/>
    <w:rsid w:val="00BA27CE"/>
    <w:rsid w:val="00BA3C88"/>
    <w:rsid w:val="00BE7B61"/>
    <w:rsid w:val="00BF4A4F"/>
    <w:rsid w:val="00C0744F"/>
    <w:rsid w:val="00C20108"/>
    <w:rsid w:val="00C34475"/>
    <w:rsid w:val="00C54B30"/>
    <w:rsid w:val="00C96E94"/>
    <w:rsid w:val="00CA47DD"/>
    <w:rsid w:val="00CD2241"/>
    <w:rsid w:val="00CD3453"/>
    <w:rsid w:val="00CE6D21"/>
    <w:rsid w:val="00D5732A"/>
    <w:rsid w:val="00D728E9"/>
    <w:rsid w:val="00D763BA"/>
    <w:rsid w:val="00D86C1B"/>
    <w:rsid w:val="00DA454D"/>
    <w:rsid w:val="00DA60A9"/>
    <w:rsid w:val="00DB277E"/>
    <w:rsid w:val="00DB7718"/>
    <w:rsid w:val="00DC023B"/>
    <w:rsid w:val="00DF066E"/>
    <w:rsid w:val="00E113EF"/>
    <w:rsid w:val="00E1502A"/>
    <w:rsid w:val="00E274EC"/>
    <w:rsid w:val="00E636EC"/>
    <w:rsid w:val="00E6432D"/>
    <w:rsid w:val="00E71C33"/>
    <w:rsid w:val="00E82993"/>
    <w:rsid w:val="00E837BB"/>
    <w:rsid w:val="00EA679A"/>
    <w:rsid w:val="00EC429D"/>
    <w:rsid w:val="00EF1DA7"/>
    <w:rsid w:val="00F0747F"/>
    <w:rsid w:val="00F13FC0"/>
    <w:rsid w:val="00F14589"/>
    <w:rsid w:val="00F319DC"/>
    <w:rsid w:val="00F37B12"/>
    <w:rsid w:val="00F45883"/>
    <w:rsid w:val="00F96B5C"/>
    <w:rsid w:val="00FA301D"/>
    <w:rsid w:val="00FD3ACA"/>
    <w:rsid w:val="00FD5494"/>
    <w:rsid w:val="00FE7C05"/>
    <w:rsid w:val="00FE7F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6FB11C"/>
  <w15:chartTrackingRefBased/>
  <w15:docId w15:val="{5CBF8003-0999-4083-A184-B31FEA5D2F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256A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256A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256A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256A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256A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256A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256A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256A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256A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56A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256A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256A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256A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256A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256A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256A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256A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256A8"/>
    <w:rPr>
      <w:rFonts w:eastAsiaTheme="majorEastAsia" w:cstheme="majorBidi"/>
      <w:color w:val="272727" w:themeColor="text1" w:themeTint="D8"/>
    </w:rPr>
  </w:style>
  <w:style w:type="paragraph" w:styleId="Title">
    <w:name w:val="Title"/>
    <w:basedOn w:val="Normal"/>
    <w:next w:val="Normal"/>
    <w:link w:val="TitleChar"/>
    <w:uiPriority w:val="10"/>
    <w:qFormat/>
    <w:rsid w:val="00B256A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256A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256A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256A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256A8"/>
    <w:pPr>
      <w:spacing w:before="160"/>
      <w:jc w:val="center"/>
    </w:pPr>
    <w:rPr>
      <w:i/>
      <w:iCs/>
      <w:color w:val="404040" w:themeColor="text1" w:themeTint="BF"/>
    </w:rPr>
  </w:style>
  <w:style w:type="character" w:customStyle="1" w:styleId="QuoteChar">
    <w:name w:val="Quote Char"/>
    <w:basedOn w:val="DefaultParagraphFont"/>
    <w:link w:val="Quote"/>
    <w:uiPriority w:val="29"/>
    <w:rsid w:val="00B256A8"/>
    <w:rPr>
      <w:i/>
      <w:iCs/>
      <w:color w:val="404040" w:themeColor="text1" w:themeTint="BF"/>
    </w:rPr>
  </w:style>
  <w:style w:type="paragraph" w:styleId="ListParagraph">
    <w:name w:val="List Paragraph"/>
    <w:basedOn w:val="Normal"/>
    <w:uiPriority w:val="34"/>
    <w:qFormat/>
    <w:rsid w:val="00B256A8"/>
    <w:pPr>
      <w:ind w:left="720"/>
      <w:contextualSpacing/>
    </w:pPr>
  </w:style>
  <w:style w:type="character" w:styleId="IntenseEmphasis">
    <w:name w:val="Intense Emphasis"/>
    <w:basedOn w:val="DefaultParagraphFont"/>
    <w:uiPriority w:val="21"/>
    <w:qFormat/>
    <w:rsid w:val="00B256A8"/>
    <w:rPr>
      <w:i/>
      <w:iCs/>
      <w:color w:val="0F4761" w:themeColor="accent1" w:themeShade="BF"/>
    </w:rPr>
  </w:style>
  <w:style w:type="paragraph" w:styleId="IntenseQuote">
    <w:name w:val="Intense Quote"/>
    <w:basedOn w:val="Normal"/>
    <w:next w:val="Normal"/>
    <w:link w:val="IntenseQuoteChar"/>
    <w:uiPriority w:val="30"/>
    <w:qFormat/>
    <w:rsid w:val="00B256A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256A8"/>
    <w:rPr>
      <w:i/>
      <w:iCs/>
      <w:color w:val="0F4761" w:themeColor="accent1" w:themeShade="BF"/>
    </w:rPr>
  </w:style>
  <w:style w:type="character" w:styleId="IntenseReference">
    <w:name w:val="Intense Reference"/>
    <w:basedOn w:val="DefaultParagraphFont"/>
    <w:uiPriority w:val="32"/>
    <w:qFormat/>
    <w:rsid w:val="00B256A8"/>
    <w:rPr>
      <w:b/>
      <w:bCs/>
      <w:smallCaps/>
      <w:color w:val="0F4761" w:themeColor="accent1" w:themeShade="BF"/>
      <w:spacing w:val="5"/>
    </w:rPr>
  </w:style>
  <w:style w:type="character" w:styleId="CommentReference">
    <w:name w:val="annotation reference"/>
    <w:basedOn w:val="DefaultParagraphFont"/>
    <w:uiPriority w:val="99"/>
    <w:semiHidden/>
    <w:unhideWhenUsed/>
    <w:rsid w:val="00AE1DAB"/>
    <w:rPr>
      <w:sz w:val="16"/>
      <w:szCs w:val="16"/>
    </w:rPr>
  </w:style>
  <w:style w:type="paragraph" w:styleId="CommentText">
    <w:name w:val="annotation text"/>
    <w:basedOn w:val="Normal"/>
    <w:link w:val="CommentTextChar"/>
    <w:uiPriority w:val="99"/>
    <w:unhideWhenUsed/>
    <w:rsid w:val="00AE1DAB"/>
    <w:pPr>
      <w:spacing w:line="240" w:lineRule="auto"/>
    </w:pPr>
    <w:rPr>
      <w:sz w:val="20"/>
      <w:szCs w:val="20"/>
    </w:rPr>
  </w:style>
  <w:style w:type="character" w:customStyle="1" w:styleId="CommentTextChar">
    <w:name w:val="Comment Text Char"/>
    <w:basedOn w:val="DefaultParagraphFont"/>
    <w:link w:val="CommentText"/>
    <w:uiPriority w:val="99"/>
    <w:rsid w:val="00AE1DAB"/>
    <w:rPr>
      <w:sz w:val="20"/>
      <w:szCs w:val="20"/>
    </w:rPr>
  </w:style>
  <w:style w:type="paragraph" w:styleId="CommentSubject">
    <w:name w:val="annotation subject"/>
    <w:basedOn w:val="CommentText"/>
    <w:next w:val="CommentText"/>
    <w:link w:val="CommentSubjectChar"/>
    <w:uiPriority w:val="99"/>
    <w:semiHidden/>
    <w:unhideWhenUsed/>
    <w:rsid w:val="00AE1DAB"/>
    <w:rPr>
      <w:b/>
      <w:bCs/>
    </w:rPr>
  </w:style>
  <w:style w:type="character" w:customStyle="1" w:styleId="CommentSubjectChar">
    <w:name w:val="Comment Subject Char"/>
    <w:basedOn w:val="CommentTextChar"/>
    <w:link w:val="CommentSubject"/>
    <w:uiPriority w:val="99"/>
    <w:semiHidden/>
    <w:rsid w:val="00AE1DAB"/>
    <w:rPr>
      <w:b/>
      <w:bCs/>
      <w:sz w:val="20"/>
      <w:szCs w:val="20"/>
    </w:rPr>
  </w:style>
  <w:style w:type="paragraph" w:styleId="Revision">
    <w:name w:val="Revision"/>
    <w:hidden/>
    <w:uiPriority w:val="99"/>
    <w:semiHidden/>
    <w:rsid w:val="00457A9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9030448">
      <w:bodyDiv w:val="1"/>
      <w:marLeft w:val="0"/>
      <w:marRight w:val="0"/>
      <w:marTop w:val="0"/>
      <w:marBottom w:val="0"/>
      <w:divBdr>
        <w:top w:val="none" w:sz="0" w:space="0" w:color="auto"/>
        <w:left w:val="none" w:sz="0" w:space="0" w:color="auto"/>
        <w:bottom w:val="none" w:sz="0" w:space="0" w:color="auto"/>
        <w:right w:val="none" w:sz="0" w:space="0" w:color="auto"/>
      </w:divBdr>
    </w:div>
    <w:div w:id="1323313564">
      <w:bodyDiv w:val="1"/>
      <w:marLeft w:val="0"/>
      <w:marRight w:val="0"/>
      <w:marTop w:val="0"/>
      <w:marBottom w:val="0"/>
      <w:divBdr>
        <w:top w:val="none" w:sz="0" w:space="0" w:color="auto"/>
        <w:left w:val="none" w:sz="0" w:space="0" w:color="auto"/>
        <w:bottom w:val="none" w:sz="0" w:space="0" w:color="auto"/>
        <w:right w:val="none" w:sz="0" w:space="0" w:color="auto"/>
      </w:divBdr>
    </w:div>
    <w:div w:id="1640718957">
      <w:bodyDiv w:val="1"/>
      <w:marLeft w:val="0"/>
      <w:marRight w:val="0"/>
      <w:marTop w:val="0"/>
      <w:marBottom w:val="0"/>
      <w:divBdr>
        <w:top w:val="none" w:sz="0" w:space="0" w:color="auto"/>
        <w:left w:val="none" w:sz="0" w:space="0" w:color="auto"/>
        <w:bottom w:val="none" w:sz="0" w:space="0" w:color="auto"/>
        <w:right w:val="none" w:sz="0" w:space="0" w:color="auto"/>
      </w:divBdr>
    </w:div>
    <w:div w:id="1864787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oleObject" Target="embeddings/oleObject4.bin"/><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5.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oleObject" Target="embeddings/oleObject3.bin"/><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1251</Words>
  <Characters>7136</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Mickle,Alyssa</dc:creator>
  <cp:keywords/>
  <dc:description/>
  <cp:lastModifiedBy>Mickle, Alyssa Richelle</cp:lastModifiedBy>
  <cp:revision>2</cp:revision>
  <dcterms:created xsi:type="dcterms:W3CDTF">2026-02-10T16:09:00Z</dcterms:created>
  <dcterms:modified xsi:type="dcterms:W3CDTF">2026-02-10T16:09:00Z</dcterms:modified>
</cp:coreProperties>
</file>