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C05F61" w14:textId="69ED729F" w:rsidR="00FA1481" w:rsidRPr="00C12399" w:rsidRDefault="00FA1481" w:rsidP="00C12399">
      <w:pPr>
        <w:jc w:val="both"/>
        <w:rPr>
          <w:sz w:val="36"/>
          <w:szCs w:val="36"/>
        </w:rPr>
      </w:pPr>
    </w:p>
    <w:p w14:paraId="3317CF4D" w14:textId="77777777" w:rsidR="00EC7C85" w:rsidRPr="00C12399" w:rsidRDefault="00EC7C85" w:rsidP="00C12399">
      <w:pPr>
        <w:jc w:val="both"/>
        <w:rPr>
          <w:sz w:val="36"/>
          <w:szCs w:val="36"/>
        </w:rPr>
      </w:pPr>
    </w:p>
    <w:p w14:paraId="53B0A160" w14:textId="77777777" w:rsidR="00393BAB" w:rsidRPr="00C12399" w:rsidRDefault="00393BAB" w:rsidP="00C12399">
      <w:pPr>
        <w:jc w:val="both"/>
        <w:rPr>
          <w:sz w:val="36"/>
          <w:szCs w:val="36"/>
        </w:rPr>
      </w:pPr>
    </w:p>
    <w:p w14:paraId="31C337D1" w14:textId="77777777" w:rsidR="00D04BCF" w:rsidRPr="00C12399" w:rsidRDefault="00BB2D2A" w:rsidP="00C12399">
      <w:pPr>
        <w:jc w:val="both"/>
        <w:rPr>
          <w:sz w:val="36"/>
          <w:szCs w:val="36"/>
        </w:rPr>
      </w:pPr>
      <w:r w:rsidRPr="00C12399">
        <w:rPr>
          <w:sz w:val="36"/>
          <w:szCs w:val="36"/>
        </w:rPr>
        <w:t>Supplementary Materials</w:t>
      </w:r>
      <w:r w:rsidR="009743A9" w:rsidRPr="00C12399">
        <w:rPr>
          <w:sz w:val="36"/>
          <w:szCs w:val="36"/>
        </w:rPr>
        <w:t xml:space="preserve"> for</w:t>
      </w:r>
    </w:p>
    <w:p w14:paraId="29411C5A" w14:textId="77777777" w:rsidR="005001AC" w:rsidRPr="00C12399" w:rsidRDefault="005001AC" w:rsidP="00C12399">
      <w:pPr>
        <w:jc w:val="both"/>
      </w:pPr>
    </w:p>
    <w:p w14:paraId="41E970DA" w14:textId="562B9A33" w:rsidR="002C030F" w:rsidRPr="00C12399" w:rsidRDefault="006845D2" w:rsidP="00C12399">
      <w:pPr>
        <w:jc w:val="both"/>
        <w:rPr>
          <w:sz w:val="28"/>
          <w:szCs w:val="28"/>
        </w:rPr>
      </w:pPr>
      <w:r w:rsidRPr="00C12399">
        <w:rPr>
          <w:b/>
          <w:bCs/>
          <w:sz w:val="28"/>
          <w:szCs w:val="28"/>
        </w:rPr>
        <w:t>Compartment-specific remodeling of skeletal muscle in Duchenne muscular dystrophy</w:t>
      </w:r>
    </w:p>
    <w:p w14:paraId="339B31F7" w14:textId="77777777" w:rsidR="00015F74" w:rsidRPr="00C12399" w:rsidRDefault="00015F74" w:rsidP="00C12399">
      <w:pPr>
        <w:jc w:val="both"/>
        <w:rPr>
          <w:sz w:val="28"/>
          <w:szCs w:val="28"/>
        </w:rPr>
      </w:pPr>
    </w:p>
    <w:p w14:paraId="6665D463" w14:textId="6BE31619" w:rsidR="007C45B3" w:rsidRPr="003D2989" w:rsidRDefault="00E4209B" w:rsidP="003E791B">
      <w:pPr>
        <w:jc w:val="center"/>
        <w:rPr>
          <w:i/>
          <w:iCs/>
          <w:sz w:val="22"/>
          <w:szCs w:val="22"/>
        </w:rPr>
      </w:pPr>
      <w:r w:rsidRPr="003D2989">
        <w:rPr>
          <w:sz w:val="22"/>
          <w:szCs w:val="22"/>
        </w:rPr>
        <w:t>Clara Martínez Mir</w:t>
      </w:r>
      <w:r w:rsidR="007C45B3" w:rsidRPr="003D2989">
        <w:rPr>
          <w:sz w:val="22"/>
          <w:szCs w:val="22"/>
        </w:rPr>
        <w:t xml:space="preserve"> </w:t>
      </w:r>
      <w:r w:rsidR="007C45B3" w:rsidRPr="003D2989">
        <w:rPr>
          <w:i/>
          <w:iCs/>
          <w:sz w:val="22"/>
          <w:szCs w:val="22"/>
        </w:rPr>
        <w:t>et al.</w:t>
      </w:r>
    </w:p>
    <w:p w14:paraId="0648E06D" w14:textId="77777777" w:rsidR="000F0DCE" w:rsidRPr="00C12399" w:rsidRDefault="000F0DCE" w:rsidP="003E791B">
      <w:pPr>
        <w:jc w:val="center"/>
        <w:rPr>
          <w:szCs w:val="24"/>
        </w:rPr>
      </w:pPr>
    </w:p>
    <w:p w14:paraId="34D67477" w14:textId="2BD5C0D3" w:rsidR="004779CB" w:rsidRPr="003D2989" w:rsidRDefault="00533910" w:rsidP="003E791B">
      <w:pPr>
        <w:jc w:val="center"/>
        <w:rPr>
          <w:sz w:val="20"/>
        </w:rPr>
      </w:pPr>
      <w:r w:rsidRPr="003D2989">
        <w:rPr>
          <w:sz w:val="20"/>
        </w:rPr>
        <w:t>*</w:t>
      </w:r>
      <w:r w:rsidR="00E4519A" w:rsidRPr="003D2989">
        <w:rPr>
          <w:sz w:val="20"/>
        </w:rPr>
        <w:t>Correspond</w:t>
      </w:r>
      <w:r w:rsidRPr="003D2989">
        <w:rPr>
          <w:sz w:val="20"/>
        </w:rPr>
        <w:t>ing author</w:t>
      </w:r>
      <w:r w:rsidR="00392402" w:rsidRPr="003D2989">
        <w:rPr>
          <w:sz w:val="20"/>
        </w:rPr>
        <w:t>. Email</w:t>
      </w:r>
      <w:r w:rsidR="004779CB" w:rsidRPr="003D2989">
        <w:rPr>
          <w:sz w:val="20"/>
        </w:rPr>
        <w:t>:</w:t>
      </w:r>
      <w:r w:rsidR="00BC3E04" w:rsidRPr="003D2989">
        <w:rPr>
          <w:sz w:val="20"/>
        </w:rPr>
        <w:t xml:space="preserve"> </w:t>
      </w:r>
      <w:r w:rsidR="00E4209B" w:rsidRPr="003D2989">
        <w:rPr>
          <w:sz w:val="20"/>
        </w:rPr>
        <w:t xml:space="preserve">f.g.sage@lumc.nl, </w:t>
      </w:r>
      <w:hyperlink r:id="rId10" w:history="1">
        <w:r w:rsidR="00E4209B" w:rsidRPr="003D2989">
          <w:rPr>
            <w:sz w:val="20"/>
          </w:rPr>
          <w:t>n.geijsen@lumc.nl</w:t>
        </w:r>
      </w:hyperlink>
    </w:p>
    <w:p w14:paraId="050BA42C" w14:textId="77777777" w:rsidR="00ED2CBE" w:rsidRPr="00C12399" w:rsidRDefault="00ED2CBE" w:rsidP="003E791B">
      <w:pPr>
        <w:pStyle w:val="PubInfo"/>
      </w:pPr>
    </w:p>
    <w:p w14:paraId="71939F02" w14:textId="77777777" w:rsidR="00533910" w:rsidRPr="00C12399" w:rsidRDefault="00533910" w:rsidP="00C12399">
      <w:pPr>
        <w:jc w:val="both"/>
      </w:pPr>
    </w:p>
    <w:p w14:paraId="3A1047ED" w14:textId="77777777" w:rsidR="00533910" w:rsidRPr="00C12399" w:rsidRDefault="00533910" w:rsidP="00C12399">
      <w:pPr>
        <w:jc w:val="both"/>
        <w:rPr>
          <w:szCs w:val="24"/>
        </w:rPr>
      </w:pPr>
    </w:p>
    <w:p w14:paraId="223EBBEB" w14:textId="77777777" w:rsidR="002C030F" w:rsidRPr="00C12399" w:rsidRDefault="002C030F" w:rsidP="00C12399">
      <w:pPr>
        <w:jc w:val="both"/>
      </w:pPr>
    </w:p>
    <w:p w14:paraId="5BBBF32C" w14:textId="77777777" w:rsidR="00015F74" w:rsidRPr="00C12399" w:rsidRDefault="00015F74" w:rsidP="00C12399">
      <w:pPr>
        <w:jc w:val="both"/>
        <w:rPr>
          <w:b/>
        </w:rPr>
      </w:pPr>
    </w:p>
    <w:p w14:paraId="786D1CAD" w14:textId="63A2AA49" w:rsidR="00E4209B" w:rsidRPr="00C12399" w:rsidRDefault="00876F67" w:rsidP="00C12399">
      <w:pPr>
        <w:pStyle w:val="SMHeading"/>
        <w:jc w:val="both"/>
      </w:pPr>
      <w:r w:rsidRPr="00C12399">
        <w:rPr>
          <w:noProof/>
        </w:rPr>
        <w:lastRenderedPageBreak/>
        <w:drawing>
          <wp:inline distT="0" distB="0" distL="0" distR="0" wp14:anchorId="726B91C0" wp14:editId="235CCAF6">
            <wp:extent cx="5943600" cy="6148070"/>
            <wp:effectExtent l="0" t="0" r="0" b="0"/>
            <wp:docPr id="1854521535" name="Picture 1" descr="A screenshot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521535" name="Picture 1" descr="A screenshot of a chart&#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6148070"/>
                    </a:xfrm>
                    <a:prstGeom prst="rect">
                      <a:avLst/>
                    </a:prstGeom>
                  </pic:spPr>
                </pic:pic>
              </a:graphicData>
            </a:graphic>
          </wp:inline>
        </w:drawing>
      </w:r>
    </w:p>
    <w:p w14:paraId="6D50BBEF" w14:textId="7618C6E2" w:rsidR="00015F74" w:rsidRPr="003D2989" w:rsidRDefault="00C12399" w:rsidP="00C12399">
      <w:pPr>
        <w:pStyle w:val="SMHeading"/>
        <w:jc w:val="both"/>
        <w:rPr>
          <w:sz w:val="22"/>
          <w:szCs w:val="22"/>
        </w:rPr>
      </w:pPr>
      <w:r w:rsidRPr="003D2989">
        <w:rPr>
          <w:sz w:val="22"/>
          <w:szCs w:val="22"/>
        </w:rPr>
        <w:t xml:space="preserve">Supplementary Fig. </w:t>
      </w:r>
      <w:r w:rsidR="007411A1" w:rsidRPr="003D2989">
        <w:rPr>
          <w:sz w:val="22"/>
          <w:szCs w:val="22"/>
        </w:rPr>
        <w:t>1.</w:t>
      </w:r>
      <w:r w:rsidR="00E4209B" w:rsidRPr="003D2989">
        <w:rPr>
          <w:sz w:val="22"/>
          <w:szCs w:val="22"/>
        </w:rPr>
        <w:t xml:space="preserve"> </w:t>
      </w:r>
      <w:proofErr w:type="spellStart"/>
      <w:r w:rsidR="00E4209B" w:rsidRPr="003D2989">
        <w:rPr>
          <w:sz w:val="22"/>
          <w:szCs w:val="22"/>
        </w:rPr>
        <w:t>TOMOseq</w:t>
      </w:r>
      <w:proofErr w:type="spellEnd"/>
      <w:r w:rsidR="00E4209B" w:rsidRPr="003D2989">
        <w:rPr>
          <w:sz w:val="22"/>
          <w:szCs w:val="22"/>
        </w:rPr>
        <w:t xml:space="preserve"> on WT, Ctr and DMD TA muscles.</w:t>
      </w:r>
      <w:r w:rsidR="003D2989">
        <w:rPr>
          <w:sz w:val="22"/>
          <w:szCs w:val="22"/>
        </w:rPr>
        <w:t xml:space="preserve"> </w:t>
      </w:r>
    </w:p>
    <w:p w14:paraId="573AF1E9" w14:textId="6C28F2FA" w:rsidR="00876F67" w:rsidRPr="003D2989" w:rsidRDefault="00060C64" w:rsidP="00C12399">
      <w:pPr>
        <w:pStyle w:val="SMcaption"/>
        <w:jc w:val="both"/>
        <w:rPr>
          <w:sz w:val="22"/>
          <w:szCs w:val="18"/>
        </w:rPr>
      </w:pPr>
      <w:r w:rsidRPr="003D2989">
        <w:rPr>
          <w:sz w:val="22"/>
          <w:szCs w:val="18"/>
        </w:rPr>
        <w:t>(</w:t>
      </w:r>
      <w:r w:rsidRPr="003D2989">
        <w:rPr>
          <w:rStyle w:val="Strong"/>
          <w:sz w:val="22"/>
          <w:szCs w:val="18"/>
        </w:rPr>
        <w:t>A</w:t>
      </w:r>
      <w:r w:rsidRPr="003D2989">
        <w:rPr>
          <w:sz w:val="22"/>
          <w:szCs w:val="18"/>
        </w:rPr>
        <w:t>) Pearson correlation of total transcript counts data for each pair-wise comparison between biological replicates. (</w:t>
      </w:r>
      <w:r w:rsidRPr="003D2989">
        <w:rPr>
          <w:rStyle w:val="Strong"/>
          <w:sz w:val="22"/>
          <w:szCs w:val="18"/>
        </w:rPr>
        <w:t>B</w:t>
      </w:r>
      <w:r w:rsidRPr="003D2989">
        <w:rPr>
          <w:sz w:val="22"/>
          <w:szCs w:val="18"/>
        </w:rPr>
        <w:t>) Scatterplots after PCA displaying n = 419 sections, where each point is a section. Colors represent biological replicate (top) or experimental batch (bottom) for each section (Supplementary Data 1). (</w:t>
      </w:r>
      <w:r w:rsidRPr="003D2989">
        <w:rPr>
          <w:rStyle w:val="Strong"/>
          <w:sz w:val="22"/>
          <w:szCs w:val="18"/>
        </w:rPr>
        <w:t>C</w:t>
      </w:r>
      <w:r w:rsidRPr="003D2989">
        <w:rPr>
          <w:sz w:val="22"/>
          <w:szCs w:val="18"/>
        </w:rPr>
        <w:t>) Percentage of the variance explained by the principal component analysis (PCA) of the data (blue dots) and the randomized data (red crosses). Threshold (black dashed line) indicates the number of PCs that explain 1.2x more variance than the randomized data used for UMAP projection. (</w:t>
      </w:r>
      <w:r w:rsidRPr="003D2989">
        <w:rPr>
          <w:rStyle w:val="Strong"/>
          <w:sz w:val="22"/>
          <w:szCs w:val="18"/>
        </w:rPr>
        <w:t>D</w:t>
      </w:r>
      <w:r w:rsidRPr="003D2989">
        <w:rPr>
          <w:sz w:val="22"/>
          <w:szCs w:val="18"/>
        </w:rPr>
        <w:t>) UMAP projection displaying n = 419 sections, where each point is a section. Colors represent biological replicate (top) or experimental batch (bottom) for each section (Supplementary Data 1). (</w:t>
      </w:r>
      <w:r w:rsidRPr="003D2989">
        <w:rPr>
          <w:rStyle w:val="Strong"/>
          <w:sz w:val="22"/>
          <w:szCs w:val="18"/>
        </w:rPr>
        <w:t>E</w:t>
      </w:r>
      <w:r w:rsidRPr="003D2989">
        <w:rPr>
          <w:sz w:val="22"/>
          <w:szCs w:val="18"/>
        </w:rPr>
        <w:t xml:space="preserve">) Percentage of the variance explained by the Harmony-corrected PCs of the data (blue dots) and the randomized data (red crosses). Threshold (black dashed line) indicates the number of Harmony-corrected PCs that explain 1.2x more </w:t>
      </w:r>
      <w:r w:rsidRPr="003D2989">
        <w:rPr>
          <w:sz w:val="22"/>
          <w:szCs w:val="18"/>
        </w:rPr>
        <w:lastRenderedPageBreak/>
        <w:t>variance than the randomized data used for UMAP projection and Leiden clustering. (</w:t>
      </w:r>
      <w:r w:rsidRPr="003D2989">
        <w:rPr>
          <w:rStyle w:val="Strong"/>
          <w:sz w:val="22"/>
          <w:szCs w:val="18"/>
        </w:rPr>
        <w:t>F</w:t>
      </w:r>
      <w:r w:rsidRPr="003D2989">
        <w:rPr>
          <w:sz w:val="22"/>
          <w:szCs w:val="18"/>
        </w:rPr>
        <w:t>) UMAP projection after Harmony correction displaying n = 419 sections, where each point is a section. Colors represent experimental batch for each section (Supplementary Data 1). (</w:t>
      </w:r>
      <w:r w:rsidRPr="003D2989">
        <w:rPr>
          <w:rStyle w:val="Strong"/>
          <w:sz w:val="22"/>
          <w:szCs w:val="18"/>
        </w:rPr>
        <w:t>G-H</w:t>
      </w:r>
      <w:r w:rsidRPr="003D2989">
        <w:rPr>
          <w:sz w:val="22"/>
          <w:szCs w:val="18"/>
        </w:rPr>
        <w:t>) GO-term analysis for the DEGs between DMD and WT samples (</w:t>
      </w:r>
      <w:r w:rsidRPr="003D2989">
        <w:rPr>
          <w:rStyle w:val="Strong"/>
          <w:sz w:val="22"/>
          <w:szCs w:val="18"/>
        </w:rPr>
        <w:t>G</w:t>
      </w:r>
      <w:r w:rsidRPr="003D2989">
        <w:rPr>
          <w:sz w:val="22"/>
          <w:szCs w:val="18"/>
        </w:rPr>
        <w:t>) or Ctr and WT samples (</w:t>
      </w:r>
      <w:r w:rsidRPr="003D2989">
        <w:rPr>
          <w:rStyle w:val="Strong"/>
          <w:sz w:val="22"/>
          <w:szCs w:val="18"/>
        </w:rPr>
        <w:t>H</w:t>
      </w:r>
      <w:r w:rsidRPr="003D2989">
        <w:rPr>
          <w:sz w:val="22"/>
          <w:szCs w:val="18"/>
        </w:rPr>
        <w:t xml:space="preserve">). </w:t>
      </w:r>
    </w:p>
    <w:p w14:paraId="615C711C" w14:textId="241E303A" w:rsidR="00015F74" w:rsidRPr="00C12399" w:rsidRDefault="00876F67" w:rsidP="00C12399">
      <w:pPr>
        <w:pStyle w:val="SMcaption"/>
        <w:jc w:val="both"/>
      </w:pPr>
      <w:r w:rsidRPr="00C12399">
        <w:rPr>
          <w:noProof/>
        </w:rPr>
        <w:lastRenderedPageBreak/>
        <w:drawing>
          <wp:inline distT="0" distB="0" distL="0" distR="0" wp14:anchorId="67E689E4" wp14:editId="21004B7D">
            <wp:extent cx="5075555" cy="8229600"/>
            <wp:effectExtent l="0" t="0" r="4445" b="0"/>
            <wp:docPr id="339297269" name="Picture 2"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297269" name="Picture 2" descr="A screenshot of a computer screen&#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75555" cy="8229600"/>
                    </a:xfrm>
                    <a:prstGeom prst="rect">
                      <a:avLst/>
                    </a:prstGeom>
                  </pic:spPr>
                </pic:pic>
              </a:graphicData>
            </a:graphic>
          </wp:inline>
        </w:drawing>
      </w:r>
      <w:r w:rsidR="00E4209B" w:rsidRPr="00C12399">
        <w:br w:type="page"/>
      </w:r>
    </w:p>
    <w:p w14:paraId="3567FF95" w14:textId="17A1BD2A" w:rsidR="00112C5B" w:rsidRPr="003D2989" w:rsidRDefault="00C12399" w:rsidP="00C12399">
      <w:pPr>
        <w:pStyle w:val="SMHeading"/>
        <w:jc w:val="both"/>
        <w:rPr>
          <w:sz w:val="22"/>
          <w:szCs w:val="22"/>
        </w:rPr>
      </w:pPr>
      <w:r w:rsidRPr="003D2989">
        <w:rPr>
          <w:sz w:val="22"/>
          <w:szCs w:val="22"/>
        </w:rPr>
        <w:lastRenderedPageBreak/>
        <w:t xml:space="preserve">Supplementary Fig. </w:t>
      </w:r>
      <w:r w:rsidR="00112C5B" w:rsidRPr="003D2989">
        <w:rPr>
          <w:sz w:val="22"/>
          <w:szCs w:val="22"/>
        </w:rPr>
        <w:t>2</w:t>
      </w:r>
      <w:r w:rsidR="008218C4" w:rsidRPr="003D2989">
        <w:rPr>
          <w:sz w:val="22"/>
          <w:szCs w:val="22"/>
        </w:rPr>
        <w:t>.</w:t>
      </w:r>
      <w:r w:rsidR="00E4209B" w:rsidRPr="003D2989">
        <w:rPr>
          <w:sz w:val="22"/>
          <w:szCs w:val="22"/>
        </w:rPr>
        <w:t xml:space="preserve"> Histopathological features of TA muscles used for </w:t>
      </w:r>
      <w:proofErr w:type="spellStart"/>
      <w:r w:rsidR="00E4209B" w:rsidRPr="003D2989">
        <w:rPr>
          <w:sz w:val="22"/>
          <w:szCs w:val="22"/>
        </w:rPr>
        <w:t>TOMOseq</w:t>
      </w:r>
      <w:proofErr w:type="spellEnd"/>
      <w:r w:rsidR="00E4209B" w:rsidRPr="003D2989">
        <w:rPr>
          <w:sz w:val="22"/>
          <w:szCs w:val="22"/>
        </w:rPr>
        <w:t>.</w:t>
      </w:r>
    </w:p>
    <w:p w14:paraId="71C4C6B3" w14:textId="7ED4A698" w:rsidR="00E4209B" w:rsidRPr="003D2989" w:rsidRDefault="00060C64" w:rsidP="00C12399">
      <w:pPr>
        <w:pStyle w:val="SMcaption"/>
        <w:jc w:val="both"/>
        <w:rPr>
          <w:sz w:val="22"/>
          <w:szCs w:val="18"/>
        </w:rPr>
      </w:pPr>
      <w:r w:rsidRPr="003D2989">
        <w:rPr>
          <w:sz w:val="22"/>
          <w:szCs w:val="18"/>
        </w:rPr>
        <w:t>(</w:t>
      </w:r>
      <w:r w:rsidRPr="003D2989">
        <w:rPr>
          <w:rStyle w:val="Strong"/>
          <w:sz w:val="22"/>
          <w:szCs w:val="18"/>
        </w:rPr>
        <w:t>A</w:t>
      </w:r>
      <w:r w:rsidRPr="003D2989">
        <w:rPr>
          <w:sz w:val="22"/>
          <w:szCs w:val="18"/>
        </w:rPr>
        <w:t xml:space="preserve">) Representative images of adjacent central sections (left) and zoom in on region of interest (right) of TA muscles used for </w:t>
      </w:r>
      <w:proofErr w:type="spellStart"/>
      <w:r w:rsidRPr="003D2989">
        <w:rPr>
          <w:sz w:val="22"/>
          <w:szCs w:val="18"/>
        </w:rPr>
        <w:t>TOMOseq</w:t>
      </w:r>
      <w:proofErr w:type="spellEnd"/>
      <w:r w:rsidRPr="003D2989">
        <w:rPr>
          <w:sz w:val="22"/>
          <w:szCs w:val="18"/>
        </w:rPr>
        <w:t xml:space="preserve"> to quantify CSA, (</w:t>
      </w:r>
      <w:r w:rsidRPr="003D2989">
        <w:rPr>
          <w:rStyle w:val="Strong"/>
          <w:sz w:val="22"/>
          <w:szCs w:val="18"/>
        </w:rPr>
        <w:t>B</w:t>
      </w:r>
      <w:r w:rsidRPr="003D2989">
        <w:rPr>
          <w:sz w:val="22"/>
          <w:szCs w:val="18"/>
        </w:rPr>
        <w:t>) centralized nuclei, (</w:t>
      </w:r>
      <w:r w:rsidRPr="003D2989">
        <w:rPr>
          <w:rStyle w:val="Strong"/>
          <w:sz w:val="22"/>
          <w:szCs w:val="18"/>
        </w:rPr>
        <w:t>C</w:t>
      </w:r>
      <w:r w:rsidRPr="003D2989">
        <w:rPr>
          <w:sz w:val="22"/>
          <w:szCs w:val="18"/>
        </w:rPr>
        <w:t>) MYH3 expression, (</w:t>
      </w:r>
      <w:r w:rsidRPr="003D2989">
        <w:rPr>
          <w:rStyle w:val="Strong"/>
          <w:sz w:val="22"/>
          <w:szCs w:val="18"/>
        </w:rPr>
        <w:t>D</w:t>
      </w:r>
      <w:r w:rsidRPr="003D2989">
        <w:rPr>
          <w:sz w:val="22"/>
          <w:szCs w:val="18"/>
        </w:rPr>
        <w:t xml:space="preserve">) fibrosis with </w:t>
      </w:r>
      <w:proofErr w:type="spellStart"/>
      <w:r w:rsidRPr="003D2989">
        <w:rPr>
          <w:sz w:val="22"/>
          <w:szCs w:val="18"/>
        </w:rPr>
        <w:t>Picro</w:t>
      </w:r>
      <w:proofErr w:type="spellEnd"/>
      <w:r w:rsidRPr="003D2989">
        <w:rPr>
          <w:sz w:val="22"/>
          <w:szCs w:val="18"/>
        </w:rPr>
        <w:t xml:space="preserve"> Sirius red staining, and (</w:t>
      </w:r>
      <w:r w:rsidRPr="003D2989">
        <w:rPr>
          <w:rStyle w:val="Strong"/>
          <w:sz w:val="22"/>
          <w:szCs w:val="18"/>
        </w:rPr>
        <w:t>E</w:t>
      </w:r>
      <w:r w:rsidRPr="003D2989">
        <w:rPr>
          <w:sz w:val="22"/>
          <w:szCs w:val="18"/>
        </w:rPr>
        <w:t xml:space="preserve">) dystrophin expression. One central tissue section was analyzed per muscle. Scale bar full sections, 1000 </w:t>
      </w:r>
      <w:proofErr w:type="spellStart"/>
      <w:r w:rsidRPr="003D2989">
        <w:rPr>
          <w:sz w:val="22"/>
          <w:szCs w:val="18"/>
        </w:rPr>
        <w:t>μm</w:t>
      </w:r>
      <w:proofErr w:type="spellEnd"/>
      <w:r w:rsidRPr="003D2989">
        <w:rPr>
          <w:sz w:val="22"/>
          <w:szCs w:val="18"/>
        </w:rPr>
        <w:t xml:space="preserve">; scale bar zoom in, 100 </w:t>
      </w:r>
      <w:proofErr w:type="spellStart"/>
      <w:r w:rsidRPr="003D2989">
        <w:rPr>
          <w:sz w:val="22"/>
          <w:szCs w:val="18"/>
        </w:rPr>
        <w:t>μm</w:t>
      </w:r>
      <w:proofErr w:type="spellEnd"/>
      <w:r w:rsidRPr="003D2989">
        <w:rPr>
          <w:sz w:val="22"/>
          <w:szCs w:val="18"/>
        </w:rPr>
        <w:t xml:space="preserve">. </w:t>
      </w:r>
      <w:r w:rsidR="00E4209B" w:rsidRPr="003D2989">
        <w:rPr>
          <w:sz w:val="22"/>
          <w:szCs w:val="18"/>
        </w:rPr>
        <w:br w:type="page"/>
      </w:r>
    </w:p>
    <w:p w14:paraId="3EEB38DE" w14:textId="2AB3C17C" w:rsidR="00477182" w:rsidRPr="00C12399" w:rsidRDefault="00876F67" w:rsidP="00C12399">
      <w:pPr>
        <w:pStyle w:val="SMcaption"/>
        <w:jc w:val="both"/>
      </w:pPr>
      <w:r w:rsidRPr="00C12399">
        <w:rPr>
          <w:noProof/>
        </w:rPr>
        <w:lastRenderedPageBreak/>
        <w:drawing>
          <wp:inline distT="0" distB="0" distL="0" distR="0" wp14:anchorId="4D1284C4" wp14:editId="6A0A23E9">
            <wp:extent cx="5943600" cy="4679950"/>
            <wp:effectExtent l="0" t="0" r="0" b="6350"/>
            <wp:docPr id="676779329" name="Picture 3"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779329" name="Picture 3" descr="A screenshot of a graph&#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679950"/>
                    </a:xfrm>
                    <a:prstGeom prst="rect">
                      <a:avLst/>
                    </a:prstGeom>
                  </pic:spPr>
                </pic:pic>
              </a:graphicData>
            </a:graphic>
          </wp:inline>
        </w:drawing>
      </w:r>
    </w:p>
    <w:p w14:paraId="6F49D981" w14:textId="3E0CF4AA" w:rsidR="00112C5B" w:rsidRPr="003D2989" w:rsidRDefault="00C12399" w:rsidP="00C12399">
      <w:pPr>
        <w:pStyle w:val="SMHeading"/>
        <w:jc w:val="both"/>
        <w:rPr>
          <w:sz w:val="22"/>
          <w:szCs w:val="22"/>
        </w:rPr>
      </w:pPr>
      <w:r w:rsidRPr="003D2989">
        <w:rPr>
          <w:sz w:val="22"/>
          <w:szCs w:val="22"/>
        </w:rPr>
        <w:t xml:space="preserve">Supplementary Fig. </w:t>
      </w:r>
      <w:r w:rsidR="00355362" w:rsidRPr="003D2989">
        <w:rPr>
          <w:sz w:val="22"/>
          <w:szCs w:val="22"/>
        </w:rPr>
        <w:t>3</w:t>
      </w:r>
      <w:r w:rsidR="008218C4" w:rsidRPr="003D2989">
        <w:rPr>
          <w:sz w:val="22"/>
          <w:szCs w:val="22"/>
        </w:rPr>
        <w:t>.</w:t>
      </w:r>
      <w:r w:rsidR="00E4209B" w:rsidRPr="003D2989">
        <w:rPr>
          <w:sz w:val="22"/>
          <w:szCs w:val="22"/>
        </w:rPr>
        <w:t xml:space="preserve"> Regionalization of gene expression in controls and DMD tissues.</w:t>
      </w:r>
    </w:p>
    <w:p w14:paraId="4A67806F" w14:textId="77777777" w:rsidR="00060C64" w:rsidRPr="003D2989" w:rsidRDefault="00060C64" w:rsidP="00C12399">
      <w:pPr>
        <w:spacing w:before="100" w:beforeAutospacing="1" w:after="100" w:afterAutospacing="1"/>
        <w:jc w:val="both"/>
        <w:rPr>
          <w:sz w:val="22"/>
          <w:szCs w:val="22"/>
          <w:lang w:val="en-NL"/>
        </w:rPr>
      </w:pPr>
      <w:r w:rsidRPr="003D2989">
        <w:rPr>
          <w:sz w:val="22"/>
          <w:szCs w:val="22"/>
          <w:lang w:val="en-NL"/>
        </w:rPr>
        <w:t>(</w:t>
      </w:r>
      <w:r w:rsidRPr="003D2989">
        <w:rPr>
          <w:b/>
          <w:bCs/>
          <w:sz w:val="22"/>
          <w:szCs w:val="22"/>
          <w:lang w:val="en-NL"/>
        </w:rPr>
        <w:t>A</w:t>
      </w:r>
      <w:r w:rsidRPr="003D2989">
        <w:rPr>
          <w:sz w:val="22"/>
          <w:szCs w:val="22"/>
          <w:lang w:val="en-NL"/>
        </w:rPr>
        <w:t>) Scatterplots after PCA displaying n = 228 (controls, left) and n = 191 (DMD, right) sections, where each point is a section. Colors represent manual region annotation based on anatomical features of controls (left) or DMD samples (right) for each section (Supplementary Data 2,3). (</w:t>
      </w:r>
      <w:r w:rsidRPr="003D2989">
        <w:rPr>
          <w:b/>
          <w:bCs/>
          <w:sz w:val="22"/>
          <w:szCs w:val="22"/>
          <w:lang w:val="en-NL"/>
        </w:rPr>
        <w:t>B</w:t>
      </w:r>
      <w:r w:rsidRPr="003D2989">
        <w:rPr>
          <w:sz w:val="22"/>
          <w:szCs w:val="22"/>
          <w:lang w:val="en-NL"/>
        </w:rPr>
        <w:t>) Scatterplots after PCA displaying n = 228 (controls, left) and n = 191 (DMD, right) sections, where each point is a section. Colors represent biological replicate of controls (left) or DMD samples (right) for each section (Supplementary Data 2,3). (</w:t>
      </w:r>
      <w:r w:rsidRPr="003D2989">
        <w:rPr>
          <w:b/>
          <w:bCs/>
          <w:sz w:val="22"/>
          <w:szCs w:val="22"/>
          <w:lang w:val="en-NL"/>
        </w:rPr>
        <w:t>C</w:t>
      </w:r>
      <w:r w:rsidRPr="003D2989">
        <w:rPr>
          <w:sz w:val="22"/>
          <w:szCs w:val="22"/>
          <w:lang w:val="en-NL"/>
        </w:rPr>
        <w:t>) Percentage of the variance explained by the PCA of the data (blue dots) and the randomized data (red crosses) on controls (left) and DMD samples (right). Threshold (black dashed line) indicates the number of PCs that explain 1.2x more variance than the randomized data used for Leiden clusters. (</w:t>
      </w:r>
      <w:r w:rsidRPr="003D2989">
        <w:rPr>
          <w:b/>
          <w:bCs/>
          <w:sz w:val="22"/>
          <w:szCs w:val="22"/>
          <w:lang w:val="en-NL"/>
        </w:rPr>
        <w:t>D</w:t>
      </w:r>
      <w:r w:rsidRPr="003D2989">
        <w:rPr>
          <w:sz w:val="22"/>
          <w:szCs w:val="22"/>
          <w:lang w:val="en-NL"/>
        </w:rPr>
        <w:t>) UMAP projection displaying n = 419 sections after batch correction with Harmony, where each point is a section. Colors represent manual region annotation based on anatomical features (left) or Leiden cluster annotation (right) for each section (Supplementary Data 1,2,3). (</w:t>
      </w:r>
      <w:r w:rsidRPr="003D2989">
        <w:rPr>
          <w:b/>
          <w:bCs/>
          <w:sz w:val="22"/>
          <w:szCs w:val="22"/>
          <w:lang w:val="en-NL"/>
        </w:rPr>
        <w:t>E</w:t>
      </w:r>
      <w:r w:rsidRPr="003D2989">
        <w:rPr>
          <w:sz w:val="22"/>
          <w:szCs w:val="22"/>
          <w:lang w:val="en-NL"/>
        </w:rPr>
        <w:t>) Distribution of the percentage of sections annotated as central in controls or DMD. Statistical significance was assessed using a two-sided t-test. Significance levels: *** &lt; 0.001. Box plot characteristics: center line, median; box limits, upper and lower quartiles; whiskers, 1.5x interquartile range; circles, outliers.</w:t>
      </w:r>
    </w:p>
    <w:p w14:paraId="0B35D29F" w14:textId="74E2CBC1" w:rsidR="00E4209B" w:rsidRPr="003D2989" w:rsidRDefault="00E4209B" w:rsidP="00C12399">
      <w:pPr>
        <w:pStyle w:val="SMcaption"/>
        <w:jc w:val="both"/>
        <w:rPr>
          <w:sz w:val="22"/>
          <w:szCs w:val="18"/>
        </w:rPr>
      </w:pPr>
      <w:r w:rsidRPr="003D2989">
        <w:rPr>
          <w:sz w:val="22"/>
          <w:szCs w:val="18"/>
        </w:rPr>
        <w:br w:type="page"/>
      </w:r>
    </w:p>
    <w:p w14:paraId="3FF03D25" w14:textId="7F61C308" w:rsidR="008218C4" w:rsidRPr="00C12399" w:rsidRDefault="00876F67" w:rsidP="00C12399">
      <w:pPr>
        <w:pStyle w:val="SMcaption"/>
        <w:jc w:val="both"/>
      </w:pPr>
      <w:r w:rsidRPr="00C12399">
        <w:rPr>
          <w:noProof/>
        </w:rPr>
        <w:lastRenderedPageBreak/>
        <w:drawing>
          <wp:inline distT="0" distB="0" distL="0" distR="0" wp14:anchorId="64840BFB" wp14:editId="3665F586">
            <wp:extent cx="5943600" cy="7082790"/>
            <wp:effectExtent l="0" t="0" r="0" b="3810"/>
            <wp:docPr id="1287168804" name="Picture 4" descr="A close-up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168804" name="Picture 4" descr="A close-up of a chart&#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082790"/>
                    </a:xfrm>
                    <a:prstGeom prst="rect">
                      <a:avLst/>
                    </a:prstGeom>
                  </pic:spPr>
                </pic:pic>
              </a:graphicData>
            </a:graphic>
          </wp:inline>
        </w:drawing>
      </w:r>
    </w:p>
    <w:p w14:paraId="7C009B10" w14:textId="7D66921A" w:rsidR="00E4209B" w:rsidRPr="003D2989" w:rsidRDefault="00C12399" w:rsidP="00C12399">
      <w:pPr>
        <w:pStyle w:val="SMHeading"/>
        <w:jc w:val="both"/>
        <w:rPr>
          <w:sz w:val="22"/>
          <w:szCs w:val="22"/>
        </w:rPr>
      </w:pPr>
      <w:r w:rsidRPr="003D2989">
        <w:rPr>
          <w:sz w:val="22"/>
          <w:szCs w:val="22"/>
        </w:rPr>
        <w:t xml:space="preserve">Supplementary Fig. </w:t>
      </w:r>
      <w:r w:rsidR="00E4209B" w:rsidRPr="003D2989">
        <w:rPr>
          <w:sz w:val="22"/>
          <w:szCs w:val="22"/>
        </w:rPr>
        <w:t>4. Spatial transcriptomics in TAs of DMD and control mouse models.</w:t>
      </w:r>
    </w:p>
    <w:p w14:paraId="4CB7EA7E" w14:textId="6F86063C" w:rsidR="00E4209B" w:rsidRPr="003D2989" w:rsidRDefault="00060C64" w:rsidP="00C12399">
      <w:pPr>
        <w:pStyle w:val="SMcaption"/>
        <w:jc w:val="both"/>
        <w:rPr>
          <w:sz w:val="22"/>
          <w:szCs w:val="18"/>
        </w:rPr>
      </w:pPr>
      <w:r w:rsidRPr="003D2989">
        <w:rPr>
          <w:sz w:val="22"/>
          <w:szCs w:val="18"/>
        </w:rPr>
        <w:t>(</w:t>
      </w:r>
      <w:r w:rsidRPr="003D2989">
        <w:rPr>
          <w:rStyle w:val="Strong"/>
          <w:sz w:val="22"/>
          <w:szCs w:val="18"/>
        </w:rPr>
        <w:t>A</w:t>
      </w:r>
      <w:r w:rsidRPr="003D2989">
        <w:rPr>
          <w:sz w:val="22"/>
          <w:szCs w:val="18"/>
        </w:rPr>
        <w:t>) Pairwise correlation heatmap of individual sections among all genes detected at more than four transcripts in at least three consecutive sections in all control samples. Sections are colored by Leiden cluster annotation and mouse model. (</w:t>
      </w:r>
      <w:proofErr w:type="gramStart"/>
      <w:r w:rsidRPr="003D2989">
        <w:rPr>
          <w:rStyle w:val="Strong"/>
          <w:sz w:val="22"/>
          <w:szCs w:val="18"/>
        </w:rPr>
        <w:t>B,D</w:t>
      </w:r>
      <w:proofErr w:type="gramEnd"/>
      <w:r w:rsidRPr="003D2989">
        <w:rPr>
          <w:sz w:val="22"/>
          <w:szCs w:val="18"/>
        </w:rPr>
        <w:t>) Heatmaps display the average proximal-distal expression patterns of the 733 DEG detected in control regionalization (</w:t>
      </w:r>
      <w:r w:rsidRPr="003D2989">
        <w:rPr>
          <w:rStyle w:val="Strong"/>
          <w:sz w:val="22"/>
          <w:szCs w:val="18"/>
        </w:rPr>
        <w:t>B</w:t>
      </w:r>
      <w:r w:rsidRPr="003D2989">
        <w:rPr>
          <w:sz w:val="22"/>
          <w:szCs w:val="18"/>
        </w:rPr>
        <w:t xml:space="preserve">) and 1601 DEG detected in DMD </w:t>
      </w:r>
      <w:r w:rsidRPr="003D2989">
        <w:rPr>
          <w:sz w:val="22"/>
          <w:szCs w:val="18"/>
        </w:rPr>
        <w:lastRenderedPageBreak/>
        <w:t>regionalization (</w:t>
      </w:r>
      <w:r w:rsidRPr="003D2989">
        <w:rPr>
          <w:rStyle w:val="Strong"/>
          <w:sz w:val="22"/>
          <w:szCs w:val="18"/>
        </w:rPr>
        <w:t>D</w:t>
      </w:r>
      <w:r w:rsidRPr="003D2989">
        <w:rPr>
          <w:sz w:val="22"/>
          <w:szCs w:val="18"/>
        </w:rPr>
        <w:t>) in all control samples. Colors represent clusters of genes and annotation of sections. (</w:t>
      </w:r>
      <w:proofErr w:type="gramStart"/>
      <w:r w:rsidRPr="003D2989">
        <w:rPr>
          <w:rStyle w:val="Strong"/>
          <w:sz w:val="22"/>
          <w:szCs w:val="18"/>
        </w:rPr>
        <w:t>C,E</w:t>
      </w:r>
      <w:proofErr w:type="gramEnd"/>
      <w:r w:rsidRPr="003D2989">
        <w:rPr>
          <w:sz w:val="22"/>
          <w:szCs w:val="18"/>
        </w:rPr>
        <w:t>) GO-term analysis of the up-regulated genes in central and proximal-distal sections in control samples (</w:t>
      </w:r>
      <w:r w:rsidRPr="003D2989">
        <w:rPr>
          <w:rStyle w:val="Strong"/>
          <w:sz w:val="22"/>
          <w:szCs w:val="18"/>
        </w:rPr>
        <w:t>C</w:t>
      </w:r>
      <w:r w:rsidRPr="003D2989">
        <w:rPr>
          <w:sz w:val="22"/>
          <w:szCs w:val="18"/>
        </w:rPr>
        <w:t>) or in central, proximal-distal 1 and proximal-distal 2 sections in DMD samples (</w:t>
      </w:r>
      <w:r w:rsidRPr="003D2989">
        <w:rPr>
          <w:rStyle w:val="Strong"/>
          <w:sz w:val="22"/>
          <w:szCs w:val="18"/>
        </w:rPr>
        <w:t>E</w:t>
      </w:r>
      <w:r w:rsidRPr="003D2989">
        <w:rPr>
          <w:sz w:val="22"/>
          <w:szCs w:val="18"/>
        </w:rPr>
        <w:t xml:space="preserve">). </w:t>
      </w:r>
      <w:r w:rsidR="0056272D" w:rsidRPr="003D2989">
        <w:rPr>
          <w:sz w:val="22"/>
          <w:szCs w:val="18"/>
        </w:rPr>
        <w:t xml:space="preserve">Muscle diagrams in </w:t>
      </w:r>
      <w:r w:rsidR="0056272D" w:rsidRPr="003D2989">
        <w:rPr>
          <w:b/>
          <w:bCs/>
          <w:sz w:val="22"/>
          <w:szCs w:val="18"/>
        </w:rPr>
        <w:t>B</w:t>
      </w:r>
      <w:r w:rsidR="0056272D" w:rsidRPr="003D2989">
        <w:rPr>
          <w:sz w:val="22"/>
          <w:szCs w:val="18"/>
        </w:rPr>
        <w:t xml:space="preserve"> and </w:t>
      </w:r>
      <w:r w:rsidR="0056272D" w:rsidRPr="003D2989">
        <w:rPr>
          <w:b/>
          <w:bCs/>
          <w:sz w:val="22"/>
          <w:szCs w:val="18"/>
        </w:rPr>
        <w:t>D</w:t>
      </w:r>
      <w:r w:rsidR="0056272D" w:rsidRPr="003D2989">
        <w:rPr>
          <w:sz w:val="22"/>
          <w:szCs w:val="18"/>
        </w:rPr>
        <w:t xml:space="preserve"> were created </w:t>
      </w:r>
      <w:r w:rsidR="0056272D" w:rsidRPr="003D2989">
        <w:rPr>
          <w:sz w:val="22"/>
          <w:szCs w:val="22"/>
        </w:rPr>
        <w:t>with BioRender.com</w:t>
      </w:r>
      <w:r w:rsidR="0056272D" w:rsidRPr="003D2989">
        <w:rPr>
          <w:sz w:val="22"/>
          <w:szCs w:val="18"/>
        </w:rPr>
        <w:t>.</w:t>
      </w:r>
      <w:r w:rsidR="00E4209B" w:rsidRPr="003D2989">
        <w:rPr>
          <w:sz w:val="22"/>
          <w:szCs w:val="18"/>
        </w:rPr>
        <w:br w:type="page"/>
      </w:r>
    </w:p>
    <w:p w14:paraId="1DA07771" w14:textId="0A2C3279" w:rsidR="00E4209B" w:rsidRPr="00C12399" w:rsidRDefault="00E4209B" w:rsidP="00C12399">
      <w:pPr>
        <w:pStyle w:val="SMcaption"/>
        <w:jc w:val="both"/>
      </w:pPr>
      <w:r w:rsidRPr="00C12399">
        <w:rPr>
          <w:noProof/>
        </w:rPr>
        <w:lastRenderedPageBreak/>
        <w:drawing>
          <wp:inline distT="0" distB="0" distL="0" distR="0" wp14:anchorId="5C9905A7" wp14:editId="24052652">
            <wp:extent cx="3596640" cy="8229600"/>
            <wp:effectExtent l="0" t="0" r="0" b="0"/>
            <wp:docPr id="1198207196" name="Picture 5" descr="A collage of images of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207196" name="Picture 5" descr="A collage of images of different colors&#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596640" cy="8229600"/>
                    </a:xfrm>
                    <a:prstGeom prst="rect">
                      <a:avLst/>
                    </a:prstGeom>
                  </pic:spPr>
                </pic:pic>
              </a:graphicData>
            </a:graphic>
          </wp:inline>
        </w:drawing>
      </w:r>
    </w:p>
    <w:p w14:paraId="18535518" w14:textId="10DE565E" w:rsidR="00E4209B" w:rsidRPr="003D2989" w:rsidRDefault="00C12399" w:rsidP="00C12399">
      <w:pPr>
        <w:pStyle w:val="SMHeading"/>
        <w:jc w:val="both"/>
        <w:rPr>
          <w:sz w:val="22"/>
          <w:szCs w:val="22"/>
        </w:rPr>
      </w:pPr>
      <w:r w:rsidRPr="003D2989">
        <w:rPr>
          <w:sz w:val="22"/>
          <w:szCs w:val="22"/>
        </w:rPr>
        <w:lastRenderedPageBreak/>
        <w:t xml:space="preserve">Supplementary Fig. </w:t>
      </w:r>
      <w:r w:rsidR="00E4209B" w:rsidRPr="003D2989">
        <w:rPr>
          <w:sz w:val="22"/>
          <w:szCs w:val="22"/>
        </w:rPr>
        <w:t>5. Metabolic changes in proximal and distal regions of DMD TA muscles.</w:t>
      </w:r>
    </w:p>
    <w:p w14:paraId="37F6F64A" w14:textId="168A9F1C" w:rsidR="00E4209B" w:rsidRPr="003D2989" w:rsidRDefault="00E4209B" w:rsidP="00C12399">
      <w:pPr>
        <w:pStyle w:val="SMcaption"/>
        <w:jc w:val="both"/>
        <w:rPr>
          <w:sz w:val="22"/>
          <w:szCs w:val="18"/>
        </w:rPr>
      </w:pPr>
      <w:r w:rsidRPr="003D2989">
        <w:rPr>
          <w:sz w:val="22"/>
          <w:szCs w:val="18"/>
        </w:rPr>
        <w:t>Representative images of proximal and distal TA muscle sections from DMD mice showing staining for metabolic enzymes: SDH, COX, IDH2 (oxidative markers), α-GPD, and aldolase (glycolytic markers), alongside fiber type markers MYH1, MYH2, and MYH4. Scale bar, 500 µm.</w:t>
      </w:r>
      <w:r w:rsidRPr="003D2989">
        <w:rPr>
          <w:sz w:val="22"/>
          <w:szCs w:val="18"/>
        </w:rPr>
        <w:br w:type="page"/>
      </w:r>
    </w:p>
    <w:p w14:paraId="6F7B0D17" w14:textId="7318ABE2" w:rsidR="00E4209B" w:rsidRPr="00C12399" w:rsidRDefault="00E4209B" w:rsidP="00C12399">
      <w:pPr>
        <w:pStyle w:val="SMcaption"/>
        <w:jc w:val="both"/>
      </w:pPr>
      <w:r w:rsidRPr="00C12399">
        <w:rPr>
          <w:noProof/>
        </w:rPr>
        <w:lastRenderedPageBreak/>
        <w:drawing>
          <wp:inline distT="0" distB="0" distL="0" distR="0" wp14:anchorId="1487022D" wp14:editId="2C1B07C0">
            <wp:extent cx="5158105" cy="8229600"/>
            <wp:effectExtent l="0" t="0" r="0" b="0"/>
            <wp:docPr id="8529158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915864" name="Picture 85291586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58105" cy="8229600"/>
                    </a:xfrm>
                    <a:prstGeom prst="rect">
                      <a:avLst/>
                    </a:prstGeom>
                  </pic:spPr>
                </pic:pic>
              </a:graphicData>
            </a:graphic>
          </wp:inline>
        </w:drawing>
      </w:r>
    </w:p>
    <w:p w14:paraId="75EF312E" w14:textId="7AE800C0" w:rsidR="00E4209B" w:rsidRPr="003D2989" w:rsidRDefault="00C12399" w:rsidP="00C12399">
      <w:pPr>
        <w:pStyle w:val="SMHeading"/>
        <w:jc w:val="both"/>
        <w:rPr>
          <w:sz w:val="22"/>
          <w:szCs w:val="22"/>
        </w:rPr>
      </w:pPr>
      <w:r w:rsidRPr="003D2989">
        <w:rPr>
          <w:sz w:val="22"/>
          <w:szCs w:val="22"/>
        </w:rPr>
        <w:lastRenderedPageBreak/>
        <w:t xml:space="preserve">Supplementary Fig. </w:t>
      </w:r>
      <w:r w:rsidR="00E4209B" w:rsidRPr="003D2989">
        <w:rPr>
          <w:sz w:val="22"/>
          <w:szCs w:val="22"/>
        </w:rPr>
        <w:t xml:space="preserve">6. </w:t>
      </w:r>
      <w:proofErr w:type="spellStart"/>
      <w:r w:rsidR="00E4209B" w:rsidRPr="003D2989">
        <w:rPr>
          <w:sz w:val="22"/>
          <w:szCs w:val="22"/>
        </w:rPr>
        <w:t>MyHC</w:t>
      </w:r>
      <w:proofErr w:type="spellEnd"/>
      <w:r w:rsidR="00E4209B" w:rsidRPr="003D2989">
        <w:rPr>
          <w:sz w:val="22"/>
          <w:szCs w:val="22"/>
        </w:rPr>
        <w:t xml:space="preserve"> distribution in TA muscles.</w:t>
      </w:r>
    </w:p>
    <w:p w14:paraId="5C9BEEE7" w14:textId="6B04BF18" w:rsidR="00E4209B" w:rsidRPr="003D2989" w:rsidRDefault="00060C64" w:rsidP="00C12399">
      <w:pPr>
        <w:pStyle w:val="SMcaption"/>
        <w:jc w:val="both"/>
        <w:rPr>
          <w:sz w:val="22"/>
          <w:szCs w:val="18"/>
        </w:rPr>
      </w:pPr>
      <w:r w:rsidRPr="003D2989">
        <w:rPr>
          <w:sz w:val="22"/>
          <w:szCs w:val="18"/>
        </w:rPr>
        <w:t xml:space="preserve">Representative images of immunofluorescence staining of fiber types (top) and assigned fiber type based on clustering analysis (bottom) in proximal, central and distal areas of WT, Ctr and DMD TA muscles. Yellow, type 2a myofiber (MYH2); cyan, type 2x myofiber (MYH1); magenta, type 2b myofiber (MYH4); grey, laminin subunit α-1. Scale bar, 1000 </w:t>
      </w:r>
      <w:proofErr w:type="spellStart"/>
      <w:r w:rsidRPr="003D2989">
        <w:rPr>
          <w:sz w:val="22"/>
          <w:szCs w:val="18"/>
        </w:rPr>
        <w:t>μm</w:t>
      </w:r>
      <w:proofErr w:type="spellEnd"/>
      <w:r w:rsidRPr="003D2989">
        <w:rPr>
          <w:sz w:val="22"/>
          <w:szCs w:val="18"/>
        </w:rPr>
        <w:t>. Arrows display lateral-medial and dorsal-ventral orientation of the tissue sections. L, lateral; D, dorsal; M, medial; V, ventral.</w:t>
      </w:r>
      <w:r w:rsidR="00E4209B" w:rsidRPr="003D2989">
        <w:rPr>
          <w:sz w:val="22"/>
          <w:szCs w:val="18"/>
        </w:rPr>
        <w:br w:type="page"/>
      </w:r>
    </w:p>
    <w:p w14:paraId="53388355" w14:textId="566B30FA" w:rsidR="00E4209B" w:rsidRPr="00C12399" w:rsidRDefault="00876F67" w:rsidP="00C12399">
      <w:pPr>
        <w:pStyle w:val="SMcaption"/>
        <w:jc w:val="both"/>
      </w:pPr>
      <w:r w:rsidRPr="00C12399">
        <w:rPr>
          <w:noProof/>
        </w:rPr>
        <w:lastRenderedPageBreak/>
        <w:drawing>
          <wp:inline distT="0" distB="0" distL="0" distR="0" wp14:anchorId="6942DC3B" wp14:editId="1B58BD61">
            <wp:extent cx="5929630" cy="8229600"/>
            <wp:effectExtent l="0" t="0" r="1270" b="0"/>
            <wp:docPr id="2092752011" name="Picture 5" descr="A collage of images of different sha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752011" name="Picture 5" descr="A collage of images of different shapes&#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29630" cy="8229600"/>
                    </a:xfrm>
                    <a:prstGeom prst="rect">
                      <a:avLst/>
                    </a:prstGeom>
                  </pic:spPr>
                </pic:pic>
              </a:graphicData>
            </a:graphic>
          </wp:inline>
        </w:drawing>
      </w:r>
    </w:p>
    <w:p w14:paraId="1283F3AA" w14:textId="7642421C" w:rsidR="00E4209B" w:rsidRPr="003D2989" w:rsidRDefault="00C12399" w:rsidP="00C12399">
      <w:pPr>
        <w:pStyle w:val="SMHeading"/>
        <w:jc w:val="both"/>
        <w:rPr>
          <w:sz w:val="22"/>
          <w:szCs w:val="22"/>
        </w:rPr>
      </w:pPr>
      <w:r w:rsidRPr="003D2989">
        <w:rPr>
          <w:sz w:val="22"/>
          <w:szCs w:val="22"/>
        </w:rPr>
        <w:lastRenderedPageBreak/>
        <w:t xml:space="preserve">Supplementary Fig. </w:t>
      </w:r>
      <w:r w:rsidR="00E4209B" w:rsidRPr="003D2989">
        <w:rPr>
          <w:sz w:val="22"/>
          <w:szCs w:val="22"/>
        </w:rPr>
        <w:t xml:space="preserve">7. </w:t>
      </w:r>
      <w:proofErr w:type="spellStart"/>
      <w:r w:rsidR="00E4209B" w:rsidRPr="003D2989">
        <w:rPr>
          <w:sz w:val="22"/>
          <w:szCs w:val="22"/>
        </w:rPr>
        <w:t>MyHC</w:t>
      </w:r>
      <w:proofErr w:type="spellEnd"/>
      <w:r w:rsidR="00E4209B" w:rsidRPr="003D2989">
        <w:rPr>
          <w:sz w:val="22"/>
          <w:szCs w:val="22"/>
        </w:rPr>
        <w:t xml:space="preserve"> distribution in EDL and SOL muscles.</w:t>
      </w:r>
    </w:p>
    <w:p w14:paraId="764E14FD" w14:textId="53FFE043" w:rsidR="00E4209B" w:rsidRPr="003D2989" w:rsidRDefault="00060C64" w:rsidP="00C12399">
      <w:pPr>
        <w:pStyle w:val="SMcaption"/>
        <w:jc w:val="both"/>
        <w:rPr>
          <w:sz w:val="22"/>
          <w:szCs w:val="18"/>
          <w:lang w:val="en-NL"/>
        </w:rPr>
      </w:pPr>
      <w:r w:rsidRPr="003D2989">
        <w:rPr>
          <w:sz w:val="22"/>
          <w:szCs w:val="18"/>
          <w:lang w:val="en-NL"/>
        </w:rPr>
        <w:t>(</w:t>
      </w:r>
      <w:r w:rsidRPr="003D2989">
        <w:rPr>
          <w:b/>
          <w:bCs/>
          <w:sz w:val="22"/>
          <w:szCs w:val="18"/>
          <w:lang w:val="en-NL"/>
        </w:rPr>
        <w:t>A,B</w:t>
      </w:r>
      <w:r w:rsidRPr="003D2989">
        <w:rPr>
          <w:sz w:val="22"/>
          <w:szCs w:val="18"/>
          <w:lang w:val="en-NL"/>
        </w:rPr>
        <w:t>) Representative images of immunofluorescence staining of fiber types (left) and assigned fiber type based on clustering analysis (right) in proximal, central and distal areas of WT, Ctr and DMD EDL (</w:t>
      </w:r>
      <w:r w:rsidRPr="003D2989">
        <w:rPr>
          <w:b/>
          <w:bCs/>
          <w:sz w:val="22"/>
          <w:szCs w:val="18"/>
          <w:lang w:val="en-NL"/>
        </w:rPr>
        <w:t>A</w:t>
      </w:r>
      <w:r w:rsidRPr="003D2989">
        <w:rPr>
          <w:sz w:val="22"/>
          <w:szCs w:val="18"/>
          <w:lang w:val="en-NL"/>
        </w:rPr>
        <w:t>, top) and SOL (</w:t>
      </w:r>
      <w:r w:rsidRPr="003D2989">
        <w:rPr>
          <w:b/>
          <w:bCs/>
          <w:sz w:val="22"/>
          <w:szCs w:val="18"/>
          <w:lang w:val="en-NL"/>
        </w:rPr>
        <w:t>B</w:t>
      </w:r>
      <w:r w:rsidRPr="003D2989">
        <w:rPr>
          <w:sz w:val="22"/>
          <w:szCs w:val="18"/>
          <w:lang w:val="en-NL"/>
        </w:rPr>
        <w:t>, bottom) muscles. Yellow, type 2a myofiber (MYH2); cyan, type 2x myofiber (MYH1); magenta, type 2b myofiber (MYH4) or type 1 myofibers (MYH7); grey, laminin subunit α-1. Scale bar, 1000 μm. Arrows display lateral-medial and dorsal-ventral orientation of the tissue sections. L, lateral; D, dorsal; M, medial; V, ventral.</w:t>
      </w:r>
      <w:r w:rsidR="00E4209B" w:rsidRPr="003D2989">
        <w:rPr>
          <w:sz w:val="22"/>
          <w:szCs w:val="18"/>
        </w:rPr>
        <w:br w:type="page"/>
      </w:r>
    </w:p>
    <w:p w14:paraId="61173A53" w14:textId="4A48B047" w:rsidR="00E4209B" w:rsidRPr="00C12399" w:rsidRDefault="00E4209B" w:rsidP="00C12399">
      <w:pPr>
        <w:pStyle w:val="SMcaption"/>
        <w:jc w:val="both"/>
      </w:pPr>
    </w:p>
    <w:p w14:paraId="31970CCE" w14:textId="2E309268" w:rsidR="00E4209B" w:rsidRPr="00C12399" w:rsidRDefault="00FA1A6A" w:rsidP="00C12399">
      <w:pPr>
        <w:pStyle w:val="SMcaption"/>
        <w:jc w:val="both"/>
      </w:pPr>
      <w:r w:rsidRPr="00C12399">
        <w:rPr>
          <w:noProof/>
        </w:rPr>
        <w:drawing>
          <wp:inline distT="0" distB="0" distL="0" distR="0" wp14:anchorId="186D6B29" wp14:editId="1A4B3AF7">
            <wp:extent cx="5943600" cy="7865110"/>
            <wp:effectExtent l="0" t="0" r="0" b="0"/>
            <wp:docPr id="643535273" name="Picture 2" descr="A collage of different colored ce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535273" name="Picture 2" descr="A collage of different colored cells&#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865110"/>
                    </a:xfrm>
                    <a:prstGeom prst="rect">
                      <a:avLst/>
                    </a:prstGeom>
                  </pic:spPr>
                </pic:pic>
              </a:graphicData>
            </a:graphic>
          </wp:inline>
        </w:drawing>
      </w:r>
    </w:p>
    <w:p w14:paraId="122D09BA" w14:textId="7ECE6455" w:rsidR="00E4209B" w:rsidRPr="003D2989" w:rsidRDefault="00C12399" w:rsidP="00C12399">
      <w:pPr>
        <w:pStyle w:val="SMHeading"/>
        <w:jc w:val="both"/>
        <w:rPr>
          <w:sz w:val="22"/>
          <w:szCs w:val="22"/>
        </w:rPr>
      </w:pPr>
      <w:r w:rsidRPr="003D2989">
        <w:rPr>
          <w:sz w:val="22"/>
          <w:szCs w:val="22"/>
        </w:rPr>
        <w:lastRenderedPageBreak/>
        <w:t xml:space="preserve">Supplementary Fig. </w:t>
      </w:r>
      <w:r w:rsidR="00E4209B" w:rsidRPr="003D2989">
        <w:rPr>
          <w:sz w:val="22"/>
          <w:szCs w:val="22"/>
        </w:rPr>
        <w:t>8. Metabolic changes in EDL and TA muscles of DMD and controls mouse models.</w:t>
      </w:r>
    </w:p>
    <w:p w14:paraId="6469D7DD" w14:textId="77777777" w:rsidR="00060C64" w:rsidRPr="003D2989" w:rsidRDefault="00060C64" w:rsidP="00C12399">
      <w:pPr>
        <w:pStyle w:val="SMcaption"/>
        <w:jc w:val="both"/>
        <w:rPr>
          <w:sz w:val="22"/>
          <w:szCs w:val="22"/>
          <w:lang w:val="en-NL"/>
        </w:rPr>
      </w:pPr>
      <w:r w:rsidRPr="003D2989">
        <w:rPr>
          <w:sz w:val="22"/>
          <w:szCs w:val="22"/>
          <w:lang w:val="en-NL"/>
        </w:rPr>
        <w:t>(</w:t>
      </w:r>
      <w:r w:rsidRPr="003D2989">
        <w:rPr>
          <w:b/>
          <w:bCs/>
          <w:sz w:val="22"/>
          <w:szCs w:val="22"/>
          <w:lang w:val="en-NL"/>
        </w:rPr>
        <w:t>A,B</w:t>
      </w:r>
      <w:r w:rsidRPr="003D2989">
        <w:rPr>
          <w:sz w:val="22"/>
          <w:szCs w:val="22"/>
          <w:lang w:val="en-NL"/>
        </w:rPr>
        <w:t>) Representative images of EDL (</w:t>
      </w:r>
      <w:r w:rsidRPr="003D2989">
        <w:rPr>
          <w:b/>
          <w:bCs/>
          <w:sz w:val="22"/>
          <w:szCs w:val="22"/>
          <w:lang w:val="en-NL"/>
        </w:rPr>
        <w:t>A</w:t>
      </w:r>
      <w:r w:rsidRPr="003D2989">
        <w:rPr>
          <w:sz w:val="22"/>
          <w:szCs w:val="22"/>
          <w:lang w:val="en-NL"/>
        </w:rPr>
        <w:t>) and SOL (</w:t>
      </w:r>
      <w:r w:rsidRPr="003D2989">
        <w:rPr>
          <w:b/>
          <w:bCs/>
          <w:sz w:val="22"/>
          <w:szCs w:val="22"/>
          <w:lang w:val="en-NL"/>
        </w:rPr>
        <w:t>B</w:t>
      </w:r>
      <w:r w:rsidRPr="003D2989">
        <w:rPr>
          <w:sz w:val="22"/>
          <w:szCs w:val="22"/>
          <w:lang w:val="en-NL"/>
        </w:rPr>
        <w:t>) muscle sections from WT, Ctr and DMD mice showing staining for metabolic enzymes: SDH, COX, IDH2 (oxidative markers), α-GPD, and aldolase (glycolytic markers), alongside fiber type markers MYH1, MYH2, and MYH4. Scale bar, 100 μm.</w:t>
      </w:r>
    </w:p>
    <w:p w14:paraId="6FA11845" w14:textId="103D8E34" w:rsidR="00E4209B" w:rsidRPr="003D2989" w:rsidRDefault="00E4209B" w:rsidP="00C12399">
      <w:pPr>
        <w:pStyle w:val="SMcaption"/>
        <w:jc w:val="both"/>
        <w:rPr>
          <w:sz w:val="22"/>
          <w:szCs w:val="18"/>
        </w:rPr>
      </w:pPr>
    </w:p>
    <w:p w14:paraId="6D39A669" w14:textId="77777777" w:rsidR="00834C3A" w:rsidRPr="00C12399" w:rsidRDefault="00834C3A" w:rsidP="00C12399">
      <w:pPr>
        <w:pStyle w:val="SMcaption"/>
        <w:jc w:val="both"/>
      </w:pPr>
    </w:p>
    <w:sectPr w:rsidR="00834C3A" w:rsidRPr="00C12399" w:rsidSect="00404B2E">
      <w:headerReference w:type="default" r:id="rId19"/>
      <w:footerReference w:type="default" r:id="rId20"/>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05E38D" w14:textId="77777777" w:rsidR="00F953A8" w:rsidRDefault="00F953A8">
      <w:r>
        <w:separator/>
      </w:r>
    </w:p>
  </w:endnote>
  <w:endnote w:type="continuationSeparator" w:id="0">
    <w:p w14:paraId="101CACD0" w14:textId="77777777" w:rsidR="00F953A8" w:rsidRDefault="00F953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Times">
    <w:altName w:val="Times New Roman"/>
    <w:panose1 w:val="020B0604020202020204"/>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8EA3E" w14:textId="32DFF1A6" w:rsidR="00F125EE" w:rsidRDefault="00114193">
    <w:pPr>
      <w:pStyle w:val="Footer"/>
      <w:jc w:val="right"/>
    </w:pPr>
    <w:r>
      <w:fldChar w:fldCharType="begin"/>
    </w:r>
    <w:r>
      <w:instrText xml:space="preserve"> PAGE   \* MERGEFORMAT </w:instrText>
    </w:r>
    <w:r>
      <w:fldChar w:fldCharType="separate"/>
    </w:r>
    <w:r w:rsidR="00C92B22">
      <w:rPr>
        <w:noProof/>
      </w:rPr>
      <w:t>3</w:t>
    </w:r>
    <w:r>
      <w:fldChar w:fldCharType="end"/>
    </w:r>
  </w:p>
  <w:p w14:paraId="211F3547" w14:textId="77777777" w:rsidR="00F125EE" w:rsidRDefault="00F125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587EF1" w14:textId="77777777" w:rsidR="00F953A8" w:rsidRDefault="00F953A8">
      <w:r>
        <w:separator/>
      </w:r>
    </w:p>
  </w:footnote>
  <w:footnote w:type="continuationSeparator" w:id="0">
    <w:p w14:paraId="67CBFCA2" w14:textId="77777777" w:rsidR="00F953A8" w:rsidRDefault="00F953A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01F95" w14:textId="77777777" w:rsidR="003A2FD8" w:rsidRPr="005001AC" w:rsidRDefault="003A2FD8" w:rsidP="005001AC">
    <w:pPr>
      <w:jc w:val="right"/>
      <w:rPr>
        <w:sz w:val="20"/>
      </w:rPr>
    </w:pPr>
  </w:p>
  <w:p w14:paraId="3CD866EE"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num w:numId="1" w16cid:durableId="387843683">
    <w:abstractNumId w:val="9"/>
  </w:num>
  <w:num w:numId="2" w16cid:durableId="485366509">
    <w:abstractNumId w:val="7"/>
  </w:num>
  <w:num w:numId="3" w16cid:durableId="1888255738">
    <w:abstractNumId w:val="6"/>
  </w:num>
  <w:num w:numId="4" w16cid:durableId="681854557">
    <w:abstractNumId w:val="5"/>
  </w:num>
  <w:num w:numId="5" w16cid:durableId="132017859">
    <w:abstractNumId w:val="4"/>
  </w:num>
  <w:num w:numId="6" w16cid:durableId="934366820">
    <w:abstractNumId w:val="8"/>
  </w:num>
  <w:num w:numId="7" w16cid:durableId="1379206068">
    <w:abstractNumId w:val="3"/>
  </w:num>
  <w:num w:numId="8" w16cid:durableId="855268003">
    <w:abstractNumId w:val="2"/>
  </w:num>
  <w:num w:numId="9" w16cid:durableId="1773744170">
    <w:abstractNumId w:val="1"/>
  </w:num>
  <w:num w:numId="10" w16cid:durableId="29710508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1"/>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15F74"/>
    <w:rsid w:val="00060C64"/>
    <w:rsid w:val="00065EBD"/>
    <w:rsid w:val="00066D0C"/>
    <w:rsid w:val="00083B44"/>
    <w:rsid w:val="000850DC"/>
    <w:rsid w:val="000C07BF"/>
    <w:rsid w:val="000C2771"/>
    <w:rsid w:val="000D46F4"/>
    <w:rsid w:val="000F0DCE"/>
    <w:rsid w:val="000F6BE3"/>
    <w:rsid w:val="00112C5B"/>
    <w:rsid w:val="00114193"/>
    <w:rsid w:val="00115A38"/>
    <w:rsid w:val="0011687B"/>
    <w:rsid w:val="00122DEE"/>
    <w:rsid w:val="00124F82"/>
    <w:rsid w:val="0016337A"/>
    <w:rsid w:val="00164269"/>
    <w:rsid w:val="001A1BDE"/>
    <w:rsid w:val="001A54CD"/>
    <w:rsid w:val="001B13CE"/>
    <w:rsid w:val="001F0876"/>
    <w:rsid w:val="001F167C"/>
    <w:rsid w:val="001F5E91"/>
    <w:rsid w:val="002077B9"/>
    <w:rsid w:val="00262D72"/>
    <w:rsid w:val="00294FBB"/>
    <w:rsid w:val="002C030F"/>
    <w:rsid w:val="002E5C65"/>
    <w:rsid w:val="002F0FB6"/>
    <w:rsid w:val="0031671A"/>
    <w:rsid w:val="00331D75"/>
    <w:rsid w:val="00355362"/>
    <w:rsid w:val="00363660"/>
    <w:rsid w:val="00363E44"/>
    <w:rsid w:val="003659A8"/>
    <w:rsid w:val="003669F9"/>
    <w:rsid w:val="00370B80"/>
    <w:rsid w:val="00392402"/>
    <w:rsid w:val="00393BAB"/>
    <w:rsid w:val="00395E86"/>
    <w:rsid w:val="003A2FD8"/>
    <w:rsid w:val="003B40E6"/>
    <w:rsid w:val="003D2989"/>
    <w:rsid w:val="003D4C2E"/>
    <w:rsid w:val="003E74FB"/>
    <w:rsid w:val="003E791B"/>
    <w:rsid w:val="003F5904"/>
    <w:rsid w:val="003F6E14"/>
    <w:rsid w:val="00404B2E"/>
    <w:rsid w:val="00405336"/>
    <w:rsid w:val="00435ABE"/>
    <w:rsid w:val="004571D5"/>
    <w:rsid w:val="00461D81"/>
    <w:rsid w:val="0046356B"/>
    <w:rsid w:val="00477182"/>
    <w:rsid w:val="004779CB"/>
    <w:rsid w:val="004A6F57"/>
    <w:rsid w:val="004B5790"/>
    <w:rsid w:val="004D0135"/>
    <w:rsid w:val="004E42D8"/>
    <w:rsid w:val="004E7BA2"/>
    <w:rsid w:val="004F7EDF"/>
    <w:rsid w:val="005001AC"/>
    <w:rsid w:val="00527D71"/>
    <w:rsid w:val="00531219"/>
    <w:rsid w:val="00533910"/>
    <w:rsid w:val="005520A8"/>
    <w:rsid w:val="005607DD"/>
    <w:rsid w:val="0056272D"/>
    <w:rsid w:val="005A558C"/>
    <w:rsid w:val="005D712F"/>
    <w:rsid w:val="005E28F8"/>
    <w:rsid w:val="005E6513"/>
    <w:rsid w:val="00607E8E"/>
    <w:rsid w:val="00632CA3"/>
    <w:rsid w:val="00651114"/>
    <w:rsid w:val="00664560"/>
    <w:rsid w:val="00670299"/>
    <w:rsid w:val="006810B4"/>
    <w:rsid w:val="006845D2"/>
    <w:rsid w:val="00691985"/>
    <w:rsid w:val="00697611"/>
    <w:rsid w:val="006A1B64"/>
    <w:rsid w:val="007108F5"/>
    <w:rsid w:val="00713E5B"/>
    <w:rsid w:val="007254AB"/>
    <w:rsid w:val="007402FC"/>
    <w:rsid w:val="007411A1"/>
    <w:rsid w:val="007913A4"/>
    <w:rsid w:val="00793072"/>
    <w:rsid w:val="007C45B3"/>
    <w:rsid w:val="007C7770"/>
    <w:rsid w:val="007E2786"/>
    <w:rsid w:val="00807D35"/>
    <w:rsid w:val="008218C4"/>
    <w:rsid w:val="00834C3A"/>
    <w:rsid w:val="00840867"/>
    <w:rsid w:val="00843E1A"/>
    <w:rsid w:val="00851862"/>
    <w:rsid w:val="00867A98"/>
    <w:rsid w:val="00870867"/>
    <w:rsid w:val="00876F67"/>
    <w:rsid w:val="00885C9B"/>
    <w:rsid w:val="008D5D2A"/>
    <w:rsid w:val="00906992"/>
    <w:rsid w:val="00914B63"/>
    <w:rsid w:val="009354F3"/>
    <w:rsid w:val="009434D5"/>
    <w:rsid w:val="009447DC"/>
    <w:rsid w:val="00945471"/>
    <w:rsid w:val="00950234"/>
    <w:rsid w:val="00961BA5"/>
    <w:rsid w:val="00961FF0"/>
    <w:rsid w:val="009703B9"/>
    <w:rsid w:val="009743A9"/>
    <w:rsid w:val="009766AB"/>
    <w:rsid w:val="009A5287"/>
    <w:rsid w:val="009A7C5F"/>
    <w:rsid w:val="009B2AC5"/>
    <w:rsid w:val="009B7984"/>
    <w:rsid w:val="009C0E14"/>
    <w:rsid w:val="009F4BED"/>
    <w:rsid w:val="009F7D93"/>
    <w:rsid w:val="00A02E0C"/>
    <w:rsid w:val="00A1209D"/>
    <w:rsid w:val="00A3403B"/>
    <w:rsid w:val="00A51A12"/>
    <w:rsid w:val="00A53A78"/>
    <w:rsid w:val="00A627D4"/>
    <w:rsid w:val="00A65F02"/>
    <w:rsid w:val="00A74DA2"/>
    <w:rsid w:val="00A77632"/>
    <w:rsid w:val="00AB1818"/>
    <w:rsid w:val="00AB399E"/>
    <w:rsid w:val="00AC59D0"/>
    <w:rsid w:val="00AD16B1"/>
    <w:rsid w:val="00AD499C"/>
    <w:rsid w:val="00AE1DAB"/>
    <w:rsid w:val="00B11A80"/>
    <w:rsid w:val="00B36869"/>
    <w:rsid w:val="00B43B31"/>
    <w:rsid w:val="00B47CFA"/>
    <w:rsid w:val="00B574A3"/>
    <w:rsid w:val="00B57F00"/>
    <w:rsid w:val="00B63245"/>
    <w:rsid w:val="00B73C69"/>
    <w:rsid w:val="00B77B2A"/>
    <w:rsid w:val="00B82C22"/>
    <w:rsid w:val="00B93DBA"/>
    <w:rsid w:val="00B9440A"/>
    <w:rsid w:val="00BB2D2A"/>
    <w:rsid w:val="00BC290E"/>
    <w:rsid w:val="00BC3E04"/>
    <w:rsid w:val="00BC684D"/>
    <w:rsid w:val="00BD58CF"/>
    <w:rsid w:val="00BF0C92"/>
    <w:rsid w:val="00C04CC1"/>
    <w:rsid w:val="00C12399"/>
    <w:rsid w:val="00C4096C"/>
    <w:rsid w:val="00C5073B"/>
    <w:rsid w:val="00C50C6D"/>
    <w:rsid w:val="00C600D9"/>
    <w:rsid w:val="00C92B22"/>
    <w:rsid w:val="00CC1384"/>
    <w:rsid w:val="00CC2F9C"/>
    <w:rsid w:val="00CD3720"/>
    <w:rsid w:val="00CE08F5"/>
    <w:rsid w:val="00CF1848"/>
    <w:rsid w:val="00CF5C2F"/>
    <w:rsid w:val="00D04BCF"/>
    <w:rsid w:val="00D11A56"/>
    <w:rsid w:val="00D143D9"/>
    <w:rsid w:val="00D30C95"/>
    <w:rsid w:val="00D51C15"/>
    <w:rsid w:val="00D5511B"/>
    <w:rsid w:val="00D766F1"/>
    <w:rsid w:val="00DD2E17"/>
    <w:rsid w:val="00DF7D88"/>
    <w:rsid w:val="00E12F80"/>
    <w:rsid w:val="00E257C8"/>
    <w:rsid w:val="00E26E83"/>
    <w:rsid w:val="00E40A10"/>
    <w:rsid w:val="00E41512"/>
    <w:rsid w:val="00E4209B"/>
    <w:rsid w:val="00E4519A"/>
    <w:rsid w:val="00E853D5"/>
    <w:rsid w:val="00E93CA7"/>
    <w:rsid w:val="00E9773B"/>
    <w:rsid w:val="00EA17BE"/>
    <w:rsid w:val="00EA6F42"/>
    <w:rsid w:val="00EC13A3"/>
    <w:rsid w:val="00EC7C85"/>
    <w:rsid w:val="00ED2CBE"/>
    <w:rsid w:val="00F125EE"/>
    <w:rsid w:val="00F12E98"/>
    <w:rsid w:val="00F22029"/>
    <w:rsid w:val="00F515FB"/>
    <w:rsid w:val="00F630EA"/>
    <w:rsid w:val="00F7007E"/>
    <w:rsid w:val="00F73193"/>
    <w:rsid w:val="00F74F95"/>
    <w:rsid w:val="00F80705"/>
    <w:rsid w:val="00F953A8"/>
    <w:rsid w:val="00FA1481"/>
    <w:rsid w:val="00FA1A6A"/>
    <w:rsid w:val="00FF04E3"/>
    <w:rsid w:val="49592D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7622"/>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uiPriority w:val="99"/>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semiHidden/>
    <w:rsid w:val="007402FC"/>
    <w:rPr>
      <w:color w:val="0000FF"/>
      <w:u w:val="single"/>
    </w:rPr>
  </w:style>
  <w:style w:type="character" w:styleId="FollowedHyperlink">
    <w:name w:val="FollowedHyperlink"/>
    <w:semiHidden/>
    <w:unhideWhenUsed/>
    <w:rsid w:val="00793072"/>
    <w:rPr>
      <w:color w:val="800080"/>
      <w:u w:val="single"/>
    </w:rPr>
  </w:style>
  <w:style w:type="character" w:styleId="CommentReference">
    <w:name w:val="annotation reference"/>
    <w:semiHidden/>
    <w:unhideWhenUsed/>
    <w:rsid w:val="00793072"/>
    <w:rPr>
      <w:sz w:val="16"/>
      <w:szCs w:val="16"/>
    </w:rPr>
  </w:style>
  <w:style w:type="character" w:styleId="UnresolvedMention">
    <w:name w:val="Unresolved Mention"/>
    <w:basedOn w:val="DefaultParagraphFont"/>
    <w:uiPriority w:val="99"/>
    <w:semiHidden/>
    <w:unhideWhenUsed/>
    <w:rsid w:val="008218C4"/>
    <w:rPr>
      <w:color w:val="808080"/>
      <w:shd w:val="clear" w:color="auto" w:fill="E6E6E6"/>
    </w:rPr>
  </w:style>
  <w:style w:type="paragraph" w:customStyle="1" w:styleId="PubInfo">
    <w:name w:val="PubInfo"/>
    <w:basedOn w:val="Normal"/>
    <w:qFormat/>
    <w:rsid w:val="00533910"/>
    <w:pPr>
      <w:suppressAutoHyphens/>
      <w:jc w:val="center"/>
    </w:pPr>
    <w:rPr>
      <w:sz w:val="20"/>
      <w:lang w:eastAsia="ar-SA"/>
    </w:rPr>
  </w:style>
  <w:style w:type="paragraph" w:customStyle="1" w:styleId="DoiInfo">
    <w:name w:val="DoiInfo"/>
    <w:basedOn w:val="Normal"/>
    <w:qFormat/>
    <w:rsid w:val="00533910"/>
    <w:pPr>
      <w:suppressAutoHyphens/>
      <w:jc w:val="center"/>
    </w:pPr>
    <w:rPr>
      <w:sz w:val="20"/>
      <w:lang w:eastAsia="ar-SA"/>
    </w:rPr>
  </w:style>
  <w:style w:type="character" w:styleId="Strong">
    <w:name w:val="Strong"/>
    <w:basedOn w:val="DefaultParagraphFont"/>
    <w:uiPriority w:val="22"/>
    <w:qFormat/>
    <w:rsid w:val="007913A4"/>
    <w:rPr>
      <w:b/>
      <w:bCs/>
    </w:rPr>
  </w:style>
  <w:style w:type="character" w:styleId="LineNumber">
    <w:name w:val="line number"/>
    <w:basedOn w:val="DefaultParagraphFont"/>
    <w:semiHidden/>
    <w:unhideWhenUsed/>
    <w:rsid w:val="00404B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5" Type="http://schemas.openxmlformats.org/officeDocument/2006/relationships/styles" Target="styles.xml"/><Relationship Id="rId15" Type="http://schemas.openxmlformats.org/officeDocument/2006/relationships/image" Target="media/image5.png"/><Relationship Id="rId10" Type="http://schemas.openxmlformats.org/officeDocument/2006/relationships/hyperlink" Target="mailto:xxxxx@xxxx.xxx" TargetMode="External"/><Relationship Id="rId19"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C8221A7F0343744B07CC2CED3D6F8EE" ma:contentTypeVersion="12" ma:contentTypeDescription="Create a new document." ma:contentTypeScope="" ma:versionID="4ed130d46c3bc80f8d043bccdf574eeb">
  <xsd:schema xmlns:xsd="http://www.w3.org/2001/XMLSchema" xmlns:xs="http://www.w3.org/2001/XMLSchema" xmlns:p="http://schemas.microsoft.com/office/2006/metadata/properties" xmlns:ns3="96858f5b-69cf-4d49-a520-6ae816db1d8d" xmlns:ns4="1867113f-8995-4870-a940-2b72f688d265" targetNamespace="http://schemas.microsoft.com/office/2006/metadata/properties" ma:root="true" ma:fieldsID="194ceea0314d884e28c6faa81920b7ec" ns3:_="" ns4:_="">
    <xsd:import namespace="96858f5b-69cf-4d49-a520-6ae816db1d8d"/>
    <xsd:import namespace="1867113f-8995-4870-a940-2b72f688d265"/>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858f5b-69cf-4d49-a520-6ae816db1d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867113f-8995-4870-a940-2b72f688d26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06A6A5F-BF35-401C-A3A1-63045C83100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8F523CB-42AC-406D-90D9-CA3AE16CA9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858f5b-69cf-4d49-a520-6ae816db1d8d"/>
    <ds:schemaRef ds:uri="1867113f-8995-4870-a940-2b72f688d26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876C972-A183-49AB-BF18-FB119101A46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16</Pages>
  <Words>962</Words>
  <Characters>5486</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6436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Martinez Mir, Clara (ANA - LUMC)</cp:lastModifiedBy>
  <cp:revision>4</cp:revision>
  <cp:lastPrinted>2025-11-11T10:46:00Z</cp:lastPrinted>
  <dcterms:created xsi:type="dcterms:W3CDTF">2026-01-08T14:17:00Z</dcterms:created>
  <dcterms:modified xsi:type="dcterms:W3CDTF">2026-02-11T12:29:00Z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0x0101000C8221A7F0343744B07CC2CED3D6F8EE</vt:lpwstr>
  </property>
</Properties>
</file>