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Supplemantary Table 1:</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Stemloop RT and Forward Primers of 10 candidate miRNAs were listed.</w:t>
      </w:r>
      <w:r w:rsidDel="00000000" w:rsidR="00000000" w:rsidRPr="00000000">
        <w:rPr>
          <w:rtl w:val="0"/>
        </w:rPr>
      </w:r>
    </w:p>
    <w:tbl>
      <w:tblPr>
        <w:tblStyle w:val="Table1"/>
        <w:tblW w:w="845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3558"/>
        <w:gridCol w:w="2917"/>
        <w:tblGridChange w:id="0">
          <w:tblGrid>
            <w:gridCol w:w="1980"/>
            <w:gridCol w:w="3558"/>
            <w:gridCol w:w="2917"/>
          </w:tblGrid>
        </w:tblGridChange>
      </w:tblGrid>
      <w:tr>
        <w:trPr>
          <w:cantSplit w:val="0"/>
          <w:trHeight w:val="246" w:hRule="atLeast"/>
          <w:tblHeader w:val="0"/>
        </w:trPr>
        <w:tc>
          <w:tcPr>
            <w:shd w:fill="auto" w:val="clear"/>
          </w:tcPr>
          <w:p w:rsidR="00000000" w:rsidDel="00000000" w:rsidP="00000000" w:rsidRDefault="00000000" w:rsidRPr="00000000" w14:paraId="00000002">
            <w:pPr>
              <w:spacing w:after="60" w:before="60" w:line="480"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miRNA</w:t>
            </w:r>
          </w:p>
        </w:tc>
        <w:tc>
          <w:tcPr>
            <w:shd w:fill="auto" w:val="clear"/>
          </w:tcPr>
          <w:p w:rsidR="00000000" w:rsidDel="00000000" w:rsidP="00000000" w:rsidRDefault="00000000" w:rsidRPr="00000000" w14:paraId="00000003">
            <w:pPr>
              <w:spacing w:after="60" w:before="6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Stemloop Reverse Transcriptase Primers 5’-3’</w:t>
            </w:r>
          </w:p>
        </w:tc>
        <w:tc>
          <w:tcPr>
            <w:shd w:fill="auto" w:val="clear"/>
          </w:tcPr>
          <w:p w:rsidR="00000000" w:rsidDel="00000000" w:rsidP="00000000" w:rsidRDefault="00000000" w:rsidRPr="00000000" w14:paraId="00000004">
            <w:pPr>
              <w:spacing w:after="60" w:before="6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Forward Primers 5’-3’</w:t>
            </w:r>
          </w:p>
        </w:tc>
      </w:tr>
      <w:tr>
        <w:trPr>
          <w:cantSplit w:val="0"/>
          <w:trHeight w:val="376" w:hRule="atLeast"/>
          <w:tblHeader w:val="0"/>
        </w:trPr>
        <w:tc>
          <w:tcPr>
            <w:shd w:fill="auto" w:val="clear"/>
          </w:tcPr>
          <w:p w:rsidR="00000000" w:rsidDel="00000000" w:rsidP="00000000" w:rsidRDefault="00000000" w:rsidRPr="00000000" w14:paraId="00000005">
            <w:pPr>
              <w:spacing w:after="60" w:before="60" w:line="480"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miRlet7b-5p</w:t>
            </w:r>
          </w:p>
        </w:tc>
        <w:tc>
          <w:tcPr>
            <w:shd w:fill="auto" w:val="clear"/>
          </w:tcPr>
          <w:p w:rsidR="00000000" w:rsidDel="00000000" w:rsidP="00000000" w:rsidRDefault="00000000" w:rsidRPr="00000000" w14:paraId="00000006">
            <w:pPr>
              <w:spacing w:after="60" w:before="6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GTC GTA TCC AGT GCA GGG TCC GAG GTA TTC GCA CTG GAT ACG ACA ACC AC</w:t>
            </w:r>
          </w:p>
        </w:tc>
        <w:tc>
          <w:tcPr>
            <w:shd w:fill="auto" w:val="clear"/>
          </w:tcPr>
          <w:p w:rsidR="00000000" w:rsidDel="00000000" w:rsidP="00000000" w:rsidRDefault="00000000" w:rsidRPr="00000000" w14:paraId="0000000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TCG CTT GAG GTA GTA GGT TGT</w:t>
            </w:r>
          </w:p>
        </w:tc>
      </w:tr>
      <w:tr>
        <w:trPr>
          <w:cantSplit w:val="0"/>
          <w:trHeight w:val="298" w:hRule="atLeast"/>
          <w:tblHeader w:val="0"/>
        </w:trPr>
        <w:tc>
          <w:tcPr>
            <w:shd w:fill="auto" w:val="clear"/>
          </w:tcPr>
          <w:p w:rsidR="00000000" w:rsidDel="00000000" w:rsidP="00000000" w:rsidRDefault="00000000" w:rsidRPr="00000000" w14:paraId="00000008">
            <w:pPr>
              <w:spacing w:after="60" w:before="60" w:line="480"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miR19a-3p</w:t>
            </w:r>
          </w:p>
        </w:tc>
        <w:tc>
          <w:tcPr>
            <w:shd w:fill="auto" w:val="clear"/>
          </w:tcPr>
          <w:p w:rsidR="00000000" w:rsidDel="00000000" w:rsidP="00000000" w:rsidRDefault="00000000" w:rsidRPr="00000000" w14:paraId="00000009">
            <w:pPr>
              <w:spacing w:after="60" w:before="6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GTC GTA TCC AGT GCA GGG TCC GAG GTA TTC GCA CTG GAT ACG ACT CAG TT</w:t>
            </w:r>
          </w:p>
        </w:tc>
        <w:tc>
          <w:tcPr>
            <w:shd w:fill="auto" w:val="clear"/>
          </w:tcPr>
          <w:p w:rsidR="00000000" w:rsidDel="00000000" w:rsidP="00000000" w:rsidRDefault="00000000" w:rsidRPr="00000000" w14:paraId="0000000A">
            <w:pPr>
              <w:spacing w:after="60" w:before="6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TCG CTT GTG CAA ATC TAT GCA A</w:t>
            </w:r>
          </w:p>
        </w:tc>
      </w:tr>
      <w:tr>
        <w:trPr>
          <w:cantSplit w:val="0"/>
          <w:trHeight w:val="408" w:hRule="atLeast"/>
          <w:tblHeader w:val="0"/>
        </w:trPr>
        <w:tc>
          <w:tcPr>
            <w:shd w:fill="auto" w:val="clear"/>
          </w:tcPr>
          <w:p w:rsidR="00000000" w:rsidDel="00000000" w:rsidP="00000000" w:rsidRDefault="00000000" w:rsidRPr="00000000" w14:paraId="0000000B">
            <w:pPr>
              <w:spacing w:after="60" w:before="60" w:line="480"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miR19b-3p</w:t>
            </w:r>
          </w:p>
        </w:tc>
        <w:tc>
          <w:tcPr>
            <w:shd w:fill="auto" w:val="clear"/>
          </w:tcPr>
          <w:p w:rsidR="00000000" w:rsidDel="00000000" w:rsidP="00000000" w:rsidRDefault="00000000" w:rsidRPr="00000000" w14:paraId="0000000C">
            <w:pPr>
              <w:spacing w:after="60" w:before="6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GTC GTA TCC AGT GCA GGG TCC GAG GTA TTC GCA CTG GAT ACG ACT CAG TT</w:t>
            </w:r>
          </w:p>
        </w:tc>
        <w:tc>
          <w:tcPr>
            <w:shd w:fill="auto" w:val="clear"/>
          </w:tcPr>
          <w:p w:rsidR="00000000" w:rsidDel="00000000" w:rsidP="00000000" w:rsidRDefault="00000000" w:rsidRPr="00000000" w14:paraId="0000000D">
            <w:pPr>
              <w:spacing w:after="60" w:before="6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TCG CTT GTG CAA ATC CAT GCA A</w:t>
            </w:r>
            <w:r w:rsidDel="00000000" w:rsidR="00000000" w:rsidRPr="00000000">
              <w:rPr>
                <w:rtl w:val="0"/>
              </w:rPr>
            </w:r>
          </w:p>
        </w:tc>
      </w:tr>
      <w:tr>
        <w:trPr>
          <w:cantSplit w:val="0"/>
          <w:trHeight w:val="322" w:hRule="atLeast"/>
          <w:tblHeader w:val="0"/>
        </w:trPr>
        <w:tc>
          <w:tcPr>
            <w:shd w:fill="auto" w:val="clear"/>
          </w:tcPr>
          <w:p w:rsidR="00000000" w:rsidDel="00000000" w:rsidP="00000000" w:rsidRDefault="00000000" w:rsidRPr="00000000" w14:paraId="0000000E">
            <w:pPr>
              <w:spacing w:after="60" w:before="60" w:line="480"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miR20a-5p</w:t>
            </w:r>
          </w:p>
        </w:tc>
        <w:tc>
          <w:tcPr>
            <w:shd w:fill="auto" w:val="clear"/>
          </w:tcPr>
          <w:p w:rsidR="00000000" w:rsidDel="00000000" w:rsidP="00000000" w:rsidRDefault="00000000" w:rsidRPr="00000000" w14:paraId="0000000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GTC GTA TCC AGT GCA GGG TCC GAG GTA TTC GCA CTG GAT ACG ACC TAC CT</w:t>
            </w:r>
          </w:p>
        </w:tc>
        <w:tc>
          <w:tcPr>
            <w:shd w:fill="auto" w:val="clear"/>
          </w:tcPr>
          <w:p w:rsidR="00000000" w:rsidDel="00000000" w:rsidP="00000000" w:rsidRDefault="00000000" w:rsidRPr="00000000" w14:paraId="0000001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TCG CTT AAA GTG CTT ATA GTG C</w:t>
            </w:r>
          </w:p>
        </w:tc>
      </w:tr>
      <w:tr>
        <w:trPr>
          <w:cantSplit w:val="0"/>
          <w:trHeight w:val="251" w:hRule="atLeast"/>
          <w:tblHeader w:val="0"/>
        </w:trPr>
        <w:tc>
          <w:tcPr>
            <w:shd w:fill="auto" w:val="clear"/>
          </w:tcPr>
          <w:p w:rsidR="00000000" w:rsidDel="00000000" w:rsidP="00000000" w:rsidRDefault="00000000" w:rsidRPr="00000000" w14:paraId="00000011">
            <w:pPr>
              <w:spacing w:after="60" w:before="60" w:line="480"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miR106a-5p</w:t>
            </w:r>
          </w:p>
        </w:tc>
        <w:tc>
          <w:tcPr>
            <w:shd w:fill="auto" w:val="clear"/>
          </w:tcPr>
          <w:p w:rsidR="00000000" w:rsidDel="00000000" w:rsidP="00000000" w:rsidRDefault="00000000" w:rsidRPr="00000000" w14:paraId="0000001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GTC GTA TCC AGT GCA GGG TCC GAG GTA TTC GCA CTG GAT ACG ACC TAC CT</w:t>
            </w:r>
          </w:p>
        </w:tc>
        <w:tc>
          <w:tcPr>
            <w:shd w:fill="auto" w:val="clear"/>
          </w:tcPr>
          <w:p w:rsidR="00000000" w:rsidDel="00000000" w:rsidP="00000000" w:rsidRDefault="00000000" w:rsidRPr="00000000" w14:paraId="0000001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TCG CTA AAA GTG CTT ACA GTG C</w:t>
            </w:r>
          </w:p>
        </w:tc>
      </w:tr>
      <w:tr>
        <w:trPr>
          <w:cantSplit w:val="0"/>
          <w:trHeight w:val="484" w:hRule="atLeast"/>
          <w:tblHeader w:val="0"/>
        </w:trPr>
        <w:tc>
          <w:tcPr>
            <w:shd w:fill="auto" w:val="clear"/>
          </w:tcPr>
          <w:p w:rsidR="00000000" w:rsidDel="00000000" w:rsidP="00000000" w:rsidRDefault="00000000" w:rsidRPr="00000000" w14:paraId="00000014">
            <w:pPr>
              <w:spacing w:after="60" w:before="60" w:line="480"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miR146a-5p</w:t>
            </w:r>
          </w:p>
        </w:tc>
        <w:tc>
          <w:tcPr>
            <w:shd w:fill="auto" w:val="clear"/>
          </w:tcPr>
          <w:p w:rsidR="00000000" w:rsidDel="00000000" w:rsidP="00000000" w:rsidRDefault="00000000" w:rsidRPr="00000000" w14:paraId="0000001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GTC GTA TCC AGT GCA GGG TCC GAG GTA TTC GCA CTG GAT ACG ACA ACC CA</w:t>
            </w:r>
          </w:p>
        </w:tc>
        <w:tc>
          <w:tcPr>
            <w:shd w:fill="auto" w:val="clear"/>
          </w:tcPr>
          <w:p w:rsidR="00000000" w:rsidDel="00000000" w:rsidP="00000000" w:rsidRDefault="00000000" w:rsidRPr="00000000" w14:paraId="0000001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TCG CTT GAG AAC TGA ATT CCA</w:t>
            </w:r>
          </w:p>
        </w:tc>
      </w:tr>
      <w:tr>
        <w:trPr>
          <w:cantSplit w:val="0"/>
          <w:trHeight w:val="495" w:hRule="atLeast"/>
          <w:tblHeader w:val="0"/>
        </w:trPr>
        <w:tc>
          <w:tcPr>
            <w:shd w:fill="auto" w:val="clear"/>
          </w:tcPr>
          <w:p w:rsidR="00000000" w:rsidDel="00000000" w:rsidP="00000000" w:rsidRDefault="00000000" w:rsidRPr="00000000" w14:paraId="00000017">
            <w:pPr>
              <w:spacing w:after="60" w:before="60" w:line="480"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miR188-5p</w:t>
            </w:r>
          </w:p>
        </w:tc>
        <w:tc>
          <w:tcPr>
            <w:shd w:fill="auto" w:val="clear"/>
          </w:tcPr>
          <w:p w:rsidR="00000000" w:rsidDel="00000000" w:rsidP="00000000" w:rsidRDefault="00000000" w:rsidRPr="00000000" w14:paraId="0000001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GTC GTA TCC AGT GCA GGG TCC GAG GTA TTC GCA CTG GAT ACG ACC CCT CC</w:t>
            </w:r>
          </w:p>
        </w:tc>
        <w:tc>
          <w:tcPr>
            <w:shd w:fill="auto" w:val="clear"/>
          </w:tcPr>
          <w:p w:rsidR="00000000" w:rsidDel="00000000" w:rsidP="00000000" w:rsidRDefault="00000000" w:rsidRPr="00000000" w14:paraId="0000001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TCG CTC ATC CCT TGC ATG GT</w:t>
            </w:r>
          </w:p>
        </w:tc>
      </w:tr>
      <w:tr>
        <w:trPr>
          <w:cantSplit w:val="0"/>
          <w:trHeight w:val="322" w:hRule="atLeast"/>
          <w:tblHeader w:val="0"/>
        </w:trPr>
        <w:tc>
          <w:tcPr>
            <w:shd w:fill="auto" w:val="clear"/>
          </w:tcPr>
          <w:p w:rsidR="00000000" w:rsidDel="00000000" w:rsidP="00000000" w:rsidRDefault="00000000" w:rsidRPr="00000000" w14:paraId="0000001A">
            <w:pPr>
              <w:spacing w:after="60" w:before="60" w:line="480"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miR20b-5p</w:t>
            </w:r>
          </w:p>
        </w:tc>
        <w:tc>
          <w:tcPr>
            <w:shd w:fill="auto" w:val="clear"/>
          </w:tcPr>
          <w:p w:rsidR="00000000" w:rsidDel="00000000" w:rsidP="00000000" w:rsidRDefault="00000000" w:rsidRPr="00000000" w14:paraId="0000001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GTC GTA TCC AGT GCA GGG TCC GAG GTA TTC GCA CTG GAT ACG ACC TAC CT</w:t>
            </w:r>
          </w:p>
        </w:tc>
        <w:tc>
          <w:tcPr>
            <w:shd w:fill="auto" w:val="clear"/>
          </w:tcPr>
          <w:p w:rsidR="00000000" w:rsidDel="00000000" w:rsidP="00000000" w:rsidRDefault="00000000" w:rsidRPr="00000000" w14:paraId="0000001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TCG CTC AAA GTG CTC ATA GTG C</w:t>
            </w:r>
          </w:p>
        </w:tc>
      </w:tr>
      <w:tr>
        <w:trPr>
          <w:cantSplit w:val="0"/>
          <w:trHeight w:val="235" w:hRule="atLeast"/>
          <w:tblHeader w:val="0"/>
        </w:trPr>
        <w:tc>
          <w:tcPr>
            <w:shd w:fill="auto" w:val="clear"/>
          </w:tcPr>
          <w:p w:rsidR="00000000" w:rsidDel="00000000" w:rsidP="00000000" w:rsidRDefault="00000000" w:rsidRPr="00000000" w14:paraId="0000001D">
            <w:pPr>
              <w:spacing w:after="60" w:before="60" w:line="480"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miR4800-5p</w:t>
            </w:r>
          </w:p>
        </w:tc>
        <w:tc>
          <w:tcPr>
            <w:shd w:fill="auto" w:val="clear"/>
          </w:tcPr>
          <w:p w:rsidR="00000000" w:rsidDel="00000000" w:rsidP="00000000" w:rsidRDefault="00000000" w:rsidRPr="00000000" w14:paraId="0000001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GTC GTA TCC AGT GCA GGG TCC GAG GTA TTC GCA CTG GAT ACG ACT CCT TC</w:t>
            </w:r>
          </w:p>
        </w:tc>
        <w:tc>
          <w:tcPr>
            <w:shd w:fill="auto" w:val="clear"/>
          </w:tcPr>
          <w:p w:rsidR="00000000" w:rsidDel="00000000" w:rsidP="00000000" w:rsidRDefault="00000000" w:rsidRPr="00000000" w14:paraId="0000001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TCG CTA GTG GAC CGA GGA AG</w:t>
            </w:r>
          </w:p>
        </w:tc>
      </w:tr>
      <w:tr>
        <w:trPr>
          <w:cantSplit w:val="0"/>
          <w:trHeight w:val="224" w:hRule="atLeast"/>
          <w:tblHeader w:val="0"/>
        </w:trPr>
        <w:tc>
          <w:tcPr>
            <w:shd w:fill="auto" w:val="clear"/>
          </w:tcPr>
          <w:p w:rsidR="00000000" w:rsidDel="00000000" w:rsidP="00000000" w:rsidRDefault="00000000" w:rsidRPr="00000000" w14:paraId="00000020">
            <w:pPr>
              <w:spacing w:after="60" w:before="60" w:line="480"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miR5571-5p</w:t>
            </w:r>
          </w:p>
        </w:tc>
        <w:tc>
          <w:tcPr>
            <w:shd w:fill="auto" w:val="clear"/>
          </w:tcPr>
          <w:p w:rsidR="00000000" w:rsidDel="00000000" w:rsidP="00000000" w:rsidRDefault="00000000" w:rsidRPr="00000000" w14:paraId="0000002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GTC GTA TCC AGT GCA GGG TCC GAG GTA TTC GCA CTG GAT ACG ACG GGA GG</w:t>
            </w:r>
          </w:p>
        </w:tc>
        <w:tc>
          <w:tcPr>
            <w:shd w:fill="auto" w:val="clear"/>
          </w:tcPr>
          <w:p w:rsidR="00000000" w:rsidDel="00000000" w:rsidP="00000000" w:rsidRDefault="00000000" w:rsidRPr="00000000" w14:paraId="0000002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TCG CTC AAT TCT CAA AGG AG</w:t>
            </w:r>
          </w:p>
        </w:tc>
      </w:tr>
    </w:tbl>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Supplementary Table 2</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Universal Reversal Primer was showed.</w:t>
      </w:r>
      <w:r w:rsidDel="00000000" w:rsidR="00000000" w:rsidRPr="00000000">
        <w:rPr>
          <w:rtl w:val="0"/>
        </w:rPr>
      </w:r>
    </w:p>
    <w:tbl>
      <w:tblPr>
        <w:tblStyle w:val="Table2"/>
        <w:tblW w:w="7094.000000000001"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81"/>
        <w:gridCol w:w="3413"/>
        <w:tblGridChange w:id="0">
          <w:tblGrid>
            <w:gridCol w:w="3681"/>
            <w:gridCol w:w="3413"/>
          </w:tblGrid>
        </w:tblGridChange>
      </w:tblGrid>
      <w:tr>
        <w:trPr>
          <w:cantSplit w:val="0"/>
          <w:tblHeader w:val="0"/>
        </w:trPr>
        <w:tc>
          <w:tcPr>
            <w:shd w:fill="auto" w:val="clea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Universal Reversal Primer 3’-5’</w:t>
            </w:r>
          </w:p>
        </w:tc>
        <w:tc>
          <w:tcPr>
            <w:shd w:fill="auto" w:val="clea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GTG CAG GGT CCG AGG T</w:t>
            </w:r>
          </w:p>
        </w:tc>
      </w:tr>
    </w:tbl>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Supplementary Table 3</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U6 Internal Control Gene Forward and Reverse Primers were showed.</w:t>
      </w:r>
      <w:r w:rsidDel="00000000" w:rsidR="00000000" w:rsidRPr="00000000">
        <w:rPr>
          <w:rtl w:val="0"/>
        </w:rPr>
      </w:r>
    </w:p>
    <w:tbl>
      <w:tblPr>
        <w:tblStyle w:val="Table3"/>
        <w:tblW w:w="766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3261"/>
        <w:gridCol w:w="3838"/>
        <w:tblGridChange w:id="0">
          <w:tblGrid>
            <w:gridCol w:w="562"/>
            <w:gridCol w:w="3261"/>
            <w:gridCol w:w="3838"/>
          </w:tblGrid>
        </w:tblGridChange>
      </w:tblGrid>
      <w:tr>
        <w:trPr>
          <w:cantSplit w:val="0"/>
          <w:tblHeader w:val="0"/>
        </w:trPr>
        <w:tc>
          <w:tcPr>
            <w:shd w:fill="auto" w:val="clea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Forward Primer 5’-3’</w:t>
            </w:r>
          </w:p>
        </w:tc>
        <w:tc>
          <w:tcPr>
            <w:shd w:fill="auto" w:val="clea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Reverse Primer 5’-3’</w:t>
            </w:r>
          </w:p>
        </w:tc>
      </w:tr>
      <w:tr>
        <w:trPr>
          <w:cantSplit w:val="0"/>
          <w:tblHeader w:val="0"/>
        </w:trPr>
        <w:tc>
          <w:tcPr>
            <w:shd w:fill="auto" w:val="clea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U6</w:t>
            </w:r>
          </w:p>
        </w:tc>
        <w:tc>
          <w:tcPr>
            <w:shd w:fill="auto" w:val="clea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CTC GCT TCG GCA GCA CA</w:t>
            </w:r>
          </w:p>
        </w:tc>
        <w:tc>
          <w:tcPr>
            <w:shd w:fill="auto" w:val="clea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AAC GCT TCA CGA ATT TGC GT</w:t>
            </w:r>
          </w:p>
        </w:tc>
      </w:tr>
    </w:tbl>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Supplementary Figure 1: </w:t>
      </w:r>
      <w:r w:rsidDel="00000000" w:rsidR="00000000" w:rsidRPr="00000000">
        <w:rPr>
          <w:rFonts w:ascii="Times New Roman" w:cs="Times New Roman" w:eastAsia="Times New Roman" w:hAnsi="Times New Roman"/>
          <w:sz w:val="24"/>
          <w:szCs w:val="24"/>
          <w:rtl w:val="0"/>
        </w:rPr>
        <w:t xml:space="preserve">Spheroid formation capacity and miRNA expression changes in OVCAR-3 parental and drug-resistant cell strains. </w:t>
      </w:r>
      <w:r w:rsidDel="00000000" w:rsidR="00000000" w:rsidRPr="00000000">
        <w:drawing>
          <wp:anchor allowOverlap="1" behindDoc="0" distB="114300" distT="114300" distL="114300" distR="114300" hidden="0" layoutInCell="1" locked="0" relativeHeight="0" simplePos="0">
            <wp:simplePos x="0" y="0"/>
            <wp:positionH relativeFrom="column">
              <wp:posOffset>38101</wp:posOffset>
            </wp:positionH>
            <wp:positionV relativeFrom="paragraph">
              <wp:posOffset>114300</wp:posOffset>
            </wp:positionV>
            <wp:extent cx="5882322" cy="2912041"/>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882322" cy="2912041"/>
                    </a:xfrm>
                    <a:prstGeom prst="rect"/>
                    <a:ln/>
                  </pic:spPr>
                </pic:pic>
              </a:graphicData>
            </a:graphic>
          </wp:anchor>
        </w:drawing>
      </w:r>
    </w:p>
    <w:p w:rsidR="00000000" w:rsidDel="00000000" w:rsidP="00000000" w:rsidRDefault="00000000" w:rsidRPr="00000000" w14:paraId="0000003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OVCAR-3 Parental, Carboplatin-resistant, and Olaparib-resistant cells were cultured under ultra-low attachment conditions to assess 3D spheroid-forming ability. All three cell strains generated compact, multicellular spheroids, representative brightfield images are included in the figure. Relative expressions of miR-188-5p and let-7b-5p quantified in spheroids and corresponding 2D monolayer cultures are shown in bar graphs next to the brightfield microscopy images. Across all conditions, spheroid formation was accompanied by downregulation compared to monolayers, most prominently with miR-188-5p and with the greatest downregulation observed in the Olaparib-resistant strain. Values represent log to fold changes. (p &lt; 0.05 = *, p &lt; 0.01= **, p &lt; 0.001 = ***, p &lt; 0.0001 = ****)</w:t>
      </w: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Supplementary Table 4: </w:t>
      </w:r>
      <w:r w:rsidDel="00000000" w:rsidR="00000000" w:rsidRPr="00000000">
        <w:rPr>
          <w:rFonts w:ascii="Times New Roman" w:cs="Times New Roman" w:eastAsia="Times New Roman" w:hAnsi="Times New Roman"/>
          <w:sz w:val="24"/>
          <w:szCs w:val="24"/>
          <w:rtl w:val="0"/>
        </w:rPr>
        <w:t xml:space="preserve">Predicted target genes and associated pathways of selected miRNAs based on TargetScan, miRDB, and miRNet analysis were listed.</w:t>
      </w:r>
    </w:p>
    <w:tbl>
      <w:tblPr>
        <w:tblStyle w:val="Table4"/>
        <w:tblW w:w="8901.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05"/>
        <w:gridCol w:w="3098"/>
        <w:gridCol w:w="3098"/>
        <w:tblGridChange w:id="0">
          <w:tblGrid>
            <w:gridCol w:w="2705"/>
            <w:gridCol w:w="3098"/>
            <w:gridCol w:w="3098"/>
          </w:tblGrid>
        </w:tblGridChange>
      </w:tblGrid>
      <w:tr>
        <w:trPr>
          <w:cantSplit w:val="0"/>
          <w:tblHeader w:val="0"/>
        </w:trPr>
        <w:tc>
          <w:tcPr>
            <w:vAlign w:val="center"/>
          </w:tcPr>
          <w:p w:rsidR="00000000" w:rsidDel="00000000" w:rsidP="00000000" w:rsidRDefault="00000000" w:rsidRPr="00000000" w14:paraId="0000003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miRNA</w:t>
            </w:r>
          </w:p>
        </w:tc>
        <w:tc>
          <w:tcPr>
            <w:vAlign w:val="center"/>
          </w:tcPr>
          <w:p w:rsidR="00000000" w:rsidDel="00000000" w:rsidP="00000000" w:rsidRDefault="00000000" w:rsidRPr="00000000" w14:paraId="0000003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Predicted Targets</w:t>
            </w:r>
          </w:p>
        </w:tc>
        <w:tc>
          <w:tcPr>
            <w:vAlign w:val="center"/>
          </w:tcPr>
          <w:p w:rsidR="00000000" w:rsidDel="00000000" w:rsidP="00000000" w:rsidRDefault="00000000" w:rsidRPr="00000000" w14:paraId="0000003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Enriched Pathways (GO/KEGG)</w:t>
            </w:r>
          </w:p>
        </w:tc>
      </w:tr>
      <w:tr>
        <w:trPr>
          <w:cantSplit w:val="0"/>
          <w:tblHeader w:val="0"/>
        </w:trPr>
        <w:tc>
          <w:tcPr/>
          <w:p w:rsidR="00000000" w:rsidDel="00000000" w:rsidP="00000000" w:rsidRDefault="00000000" w:rsidRPr="00000000" w14:paraId="0000003C">
            <w:pPr>
              <w:spacing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miR-19a-3p / miR-19b-3p</w:t>
            </w:r>
          </w:p>
        </w:tc>
        <w:tc>
          <w:tcPr/>
          <w:p w:rsidR="00000000" w:rsidDel="00000000" w:rsidP="00000000" w:rsidRDefault="00000000" w:rsidRPr="00000000" w14:paraId="0000003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PTEN, PIK3IP1, PMEPA1, STAT1, TGFBR2</w:t>
            </w:r>
          </w:p>
        </w:tc>
        <w:tc>
          <w:tcPr/>
          <w:p w:rsidR="00000000" w:rsidDel="00000000" w:rsidP="00000000" w:rsidRDefault="00000000" w:rsidRPr="00000000" w14:paraId="0000003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PI3K-Akt signaling, TGF-β/SMAD, EMT regulation</w:t>
            </w:r>
          </w:p>
        </w:tc>
      </w:tr>
      <w:tr>
        <w:trPr>
          <w:cantSplit w:val="0"/>
          <w:tblHeader w:val="0"/>
        </w:trPr>
        <w:tc>
          <w:tcPr/>
          <w:p w:rsidR="00000000" w:rsidDel="00000000" w:rsidP="00000000" w:rsidRDefault="00000000" w:rsidRPr="00000000" w14:paraId="0000003F">
            <w:pPr>
              <w:spacing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miR-20a-5p / miR-20b-5p / miR-106a-5p</w:t>
            </w:r>
          </w:p>
        </w:tc>
        <w:tc>
          <w:tcPr/>
          <w:p w:rsidR="00000000" w:rsidDel="00000000" w:rsidP="00000000" w:rsidRDefault="00000000" w:rsidRPr="00000000" w14:paraId="0000004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STAT1, E2F1, CDKN1A, PI3KIP1</w:t>
            </w:r>
          </w:p>
        </w:tc>
        <w:tc>
          <w:tcPr/>
          <w:p w:rsidR="00000000" w:rsidDel="00000000" w:rsidP="00000000" w:rsidRDefault="00000000" w:rsidRPr="00000000" w14:paraId="0000004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Cell cycle progression, apoptosis, DNA repair</w:t>
            </w:r>
          </w:p>
        </w:tc>
      </w:tr>
      <w:tr>
        <w:trPr>
          <w:cantSplit w:val="0"/>
          <w:tblHeader w:val="0"/>
        </w:trPr>
        <w:tc>
          <w:tcPr/>
          <w:p w:rsidR="00000000" w:rsidDel="00000000" w:rsidP="00000000" w:rsidRDefault="00000000" w:rsidRPr="00000000" w14:paraId="00000042">
            <w:pPr>
              <w:spacing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miR-146a-5p</w:t>
            </w:r>
          </w:p>
        </w:tc>
        <w:tc>
          <w:tcPr/>
          <w:p w:rsidR="00000000" w:rsidDel="00000000" w:rsidP="00000000" w:rsidRDefault="00000000" w:rsidRPr="00000000" w14:paraId="0000004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IRAK1, TRAF6, NFKB1</w:t>
            </w:r>
          </w:p>
        </w:tc>
        <w:tc>
          <w:tcPr/>
          <w:p w:rsidR="00000000" w:rsidDel="00000000" w:rsidP="00000000" w:rsidRDefault="00000000" w:rsidRPr="00000000" w14:paraId="0000004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NF-κB pathway, cytokine signaling, EMT</w:t>
            </w:r>
          </w:p>
        </w:tc>
      </w:tr>
      <w:tr>
        <w:trPr>
          <w:cantSplit w:val="0"/>
          <w:tblHeader w:val="0"/>
        </w:trPr>
        <w:tc>
          <w:tcPr/>
          <w:p w:rsidR="00000000" w:rsidDel="00000000" w:rsidP="00000000" w:rsidRDefault="00000000" w:rsidRPr="00000000" w14:paraId="00000045">
            <w:pPr>
              <w:spacing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miR-188-5p</w:t>
            </w:r>
          </w:p>
        </w:tc>
        <w:tc>
          <w:tcPr/>
          <w:p w:rsidR="00000000" w:rsidDel="00000000" w:rsidP="00000000" w:rsidRDefault="00000000" w:rsidRPr="00000000" w14:paraId="0000004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BUB3, SUMO2, RAD51D, FOXN2, PTEN, PLCG1, FGF5, SOS2, STAT3</w:t>
            </w:r>
          </w:p>
        </w:tc>
        <w:tc>
          <w:tcPr/>
          <w:p w:rsidR="00000000" w:rsidDel="00000000" w:rsidP="00000000" w:rsidRDefault="00000000" w:rsidRPr="00000000" w14:paraId="0000004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Cell cycle control, DNA damage response, homologous recombination</w:t>
            </w:r>
          </w:p>
        </w:tc>
      </w:tr>
    </w:tbl>
    <w:p w:rsidR="00000000" w:rsidDel="00000000" w:rsidP="00000000" w:rsidRDefault="00000000" w:rsidRPr="00000000" w14:paraId="00000048">
      <w:pPr>
        <w:spacing w:line="480" w:lineRule="auto"/>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9">
      <w:pPr>
        <w:spacing w:line="480" w:lineRule="auto"/>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A">
      <w:pPr>
        <w:spacing w:line="480" w:lineRule="auto"/>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B">
      <w:pPr>
        <w:spacing w:line="480" w:lineRule="auto"/>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C">
      <w:pPr>
        <w:spacing w:line="480" w:lineRule="auto"/>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D">
      <w:pPr>
        <w:spacing w:line="480" w:lineRule="auto"/>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E">
      <w:pPr>
        <w:spacing w:line="480" w:lineRule="auto"/>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Supplementary Table 5</w:t>
      </w:r>
      <w:r w:rsidDel="00000000" w:rsidR="00000000" w:rsidRPr="00000000">
        <w:rPr>
          <w:rFonts w:ascii="Times New Roman" w:cs="Times New Roman" w:eastAsia="Times New Roman" w:hAnsi="Times New Roman"/>
          <w:b w:val="1"/>
          <w:sz w:val="24"/>
          <w:szCs w:val="24"/>
          <w:rtl w:val="0"/>
        </w:rPr>
        <w:t xml:space="preserve">: Combination index (CI) analysis of miR-188-5p-transfected OVCAR-3-olaR cells treated with Olaparib.</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OVCAR-3-olaR cells transfected with either negative control (NC) or </w:t>
      </w:r>
      <w:r w:rsidDel="00000000" w:rsidR="00000000" w:rsidRPr="00000000">
        <w:rPr>
          <w:rFonts w:ascii="Times New Roman" w:cs="Times New Roman" w:eastAsia="Times New Roman" w:hAnsi="Times New Roman"/>
          <w:i w:val="1"/>
          <w:sz w:val="24"/>
          <w:szCs w:val="24"/>
          <w:rtl w:val="0"/>
        </w:rPr>
        <w:t xml:space="preserve">miR-188-5p</w:t>
      </w:r>
      <w:r w:rsidDel="00000000" w:rsidR="00000000" w:rsidRPr="00000000">
        <w:rPr>
          <w:rFonts w:ascii="Times New Roman" w:cs="Times New Roman" w:eastAsia="Times New Roman" w:hAnsi="Times New Roman"/>
          <w:sz w:val="24"/>
          <w:szCs w:val="24"/>
          <w:rtl w:val="0"/>
        </w:rPr>
        <w:t xml:space="preserve"> mimic were treated with Olaparib at concentrations of 10 µM, 20 µM, and 40 µM, or left untreated, for 5 days. CI values were calculated to assess the synergistic effect between </w:t>
      </w:r>
      <w:r w:rsidDel="00000000" w:rsidR="00000000" w:rsidRPr="00000000">
        <w:rPr>
          <w:rFonts w:ascii="Times New Roman" w:cs="Times New Roman" w:eastAsia="Times New Roman" w:hAnsi="Times New Roman"/>
          <w:i w:val="1"/>
          <w:sz w:val="24"/>
          <w:szCs w:val="24"/>
          <w:rtl w:val="0"/>
        </w:rPr>
        <w:t xml:space="preserve">miR-188-5p</w:t>
      </w:r>
      <w:r w:rsidDel="00000000" w:rsidR="00000000" w:rsidRPr="00000000">
        <w:rPr>
          <w:rFonts w:ascii="Times New Roman" w:cs="Times New Roman" w:eastAsia="Times New Roman" w:hAnsi="Times New Roman"/>
          <w:sz w:val="24"/>
          <w:szCs w:val="24"/>
          <w:rtl w:val="0"/>
        </w:rPr>
        <w:t xml:space="preserve"> and Olaparib. CI values were calculated using the Chou–Talalay method; CI &lt; 1 indicates synergy, CI = 1 additive effect, and CI &gt; 1 antagonism.</w:t>
      </w:r>
    </w:p>
    <w:tbl>
      <w:tblPr>
        <w:tblStyle w:val="Table5"/>
        <w:tblW w:w="5100.000000000001" w:type="dxa"/>
        <w:jc w:val="center"/>
        <w:tblLayout w:type="fixed"/>
        <w:tblLook w:val="0600"/>
      </w:tblPr>
      <w:tblGrid>
        <w:gridCol w:w="1538"/>
        <w:gridCol w:w="497"/>
        <w:gridCol w:w="776"/>
        <w:gridCol w:w="796"/>
        <w:gridCol w:w="836"/>
        <w:gridCol w:w="657"/>
        <w:tblGridChange w:id="0">
          <w:tblGrid>
            <w:gridCol w:w="1538"/>
            <w:gridCol w:w="497"/>
            <w:gridCol w:w="776"/>
            <w:gridCol w:w="796"/>
            <w:gridCol w:w="836"/>
            <w:gridCol w:w="657"/>
          </w:tblGrid>
        </w:tblGridChange>
      </w:tblGrid>
      <w:tr>
        <w:trPr>
          <w:cantSplit w:val="0"/>
          <w:trHeight w:val="752" w:hRule="atLeast"/>
          <w:tblHeader w:val="0"/>
        </w:trPr>
        <w:tc>
          <w:tcPr>
            <w:gridSpan w:val="2"/>
            <w:tcBorders>
              <w:top w:color="000000" w:space="0" w:sz="8" w:val="single"/>
              <w:left w:color="000000" w:space="0" w:sz="8" w:val="single"/>
              <w:bottom w:color="000000" w:space="0" w:sz="0" w:val="nil"/>
              <w:right w:color="000000" w:space="0" w:sz="0" w:val="nil"/>
            </w:tcBorders>
            <w:shd w:fill="auto" w:val="clear"/>
            <w:tcMar>
              <w:top w:w="7.0" w:type="dxa"/>
              <w:left w:w="7.0" w:type="dxa"/>
              <w:bottom w:w="0.0" w:type="dxa"/>
              <w:right w:w="7.0" w:type="dxa"/>
            </w:tcMar>
            <w:vAlign w:val="center"/>
          </w:tcPr>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OVCAR-3-olaR</w:t>
            </w: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shd w:fill="auto" w:val="clear"/>
            <w:tcMar>
              <w:top w:w="7.0" w:type="dxa"/>
              <w:left w:w="7.0" w:type="dxa"/>
              <w:bottom w:w="0.0" w:type="dxa"/>
              <w:right w:w="7.0" w:type="dxa"/>
            </w:tcMar>
            <w:vAlign w:val="center"/>
          </w:tcPr>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188-5p</w:t>
            </w: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shd w:fill="auto" w:val="clear"/>
            <w:tcMar>
              <w:top w:w="7.0" w:type="dxa"/>
              <w:left w:w="7.0" w:type="dxa"/>
              <w:bottom w:w="0.0" w:type="dxa"/>
              <w:right w:w="7.0" w:type="dxa"/>
            </w:tcMar>
            <w:vAlign w:val="center"/>
          </w:tcPr>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188-5p</w:t>
            </w: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shd w:fill="auto" w:val="clear"/>
            <w:tcMar>
              <w:top w:w="7.0" w:type="dxa"/>
              <w:left w:w="7.0" w:type="dxa"/>
              <w:bottom w:w="0.0" w:type="dxa"/>
              <w:right w:w="7.0" w:type="dxa"/>
            </w:tcMar>
            <w:vAlign w:val="center"/>
          </w:tcPr>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188-5p</w:t>
            </w: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7.0" w:type="dxa"/>
              <w:left w:w="7.0" w:type="dxa"/>
              <w:bottom w:w="0.0" w:type="dxa"/>
              <w:right w:w="7.0" w:type="dxa"/>
            </w:tcMar>
            <w:vAlign w:val="center"/>
          </w:tcPr>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NC</w:t>
            </w:r>
            <w:r w:rsidDel="00000000" w:rsidR="00000000" w:rsidRPr="00000000">
              <w:rPr>
                <w:rtl w:val="0"/>
              </w:rPr>
            </w:r>
          </w:p>
        </w:tc>
      </w:tr>
      <w:tr>
        <w:trPr>
          <w:cantSplit w:val="0"/>
          <w:trHeight w:val="327" w:hRule="atLeast"/>
          <w:tblHeader w:val="0"/>
        </w:trPr>
        <w:tc>
          <w:tcPr>
            <w:vMerge w:val="restart"/>
            <w:tcBorders>
              <w:top w:color="000000" w:space="0" w:sz="0" w:val="nil"/>
              <w:left w:color="000000" w:space="0" w:sz="8" w:val="single"/>
              <w:bottom w:color="000000" w:space="0" w:sz="8" w:val="single"/>
              <w:right w:color="000000" w:space="0" w:sz="0" w:val="nil"/>
            </w:tcBorders>
            <w:shd w:fill="auto" w:val="clear"/>
            <w:tcMar>
              <w:top w:w="7.0" w:type="dxa"/>
              <w:left w:w="7.0" w:type="dxa"/>
              <w:bottom w:w="0.0" w:type="dxa"/>
              <w:right w:w="7.0" w:type="dxa"/>
            </w:tcMar>
            <w:vAlign w:val="center"/>
          </w:tcPr>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OLAPARIB</w:t>
            </w: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(µM)</w:t>
            </w: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7.0" w:type="dxa"/>
              <w:left w:w="7.0" w:type="dxa"/>
              <w:bottom w:w="0.0" w:type="dxa"/>
              <w:right w:w="7.0" w:type="dxa"/>
            </w:tcMar>
            <w:vAlign w:val="bottom"/>
          </w:tcPr>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7.0" w:type="dxa"/>
              <w:left w:w="7.0" w:type="dxa"/>
              <w:bottom w:w="0.0" w:type="dxa"/>
              <w:right w:w="7.0" w:type="dxa"/>
            </w:tcMar>
            <w:vAlign w:val="bottom"/>
          </w:tcPr>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0.35</w:t>
            </w:r>
          </w:p>
        </w:tc>
        <w:tc>
          <w:tcPr>
            <w:tcBorders>
              <w:top w:color="000000" w:space="0" w:sz="0" w:val="nil"/>
              <w:left w:color="000000" w:space="0" w:sz="0" w:val="nil"/>
              <w:bottom w:color="000000" w:space="0" w:sz="0" w:val="nil"/>
              <w:right w:color="000000" w:space="0" w:sz="0" w:val="nil"/>
            </w:tcBorders>
            <w:shd w:fill="auto" w:val="clear"/>
            <w:tcMar>
              <w:top w:w="7.0" w:type="dxa"/>
              <w:left w:w="7.0" w:type="dxa"/>
              <w:bottom w:w="0.0" w:type="dxa"/>
              <w:right w:w="7.0" w:type="dxa"/>
            </w:tcMar>
            <w:vAlign w:val="bottom"/>
          </w:tcPr>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7.0" w:type="dxa"/>
              <w:left w:w="7.0" w:type="dxa"/>
              <w:bottom w:w="0.0" w:type="dxa"/>
              <w:right w:w="7.0" w:type="dxa"/>
            </w:tcMar>
            <w:vAlign w:val="bottom"/>
          </w:tcPr>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8" w:val="single"/>
            </w:tcBorders>
            <w:shd w:fill="auto" w:val="clear"/>
            <w:tcMar>
              <w:top w:w="7.0" w:type="dxa"/>
              <w:left w:w="7.0" w:type="dxa"/>
              <w:bottom w:w="0.0" w:type="dxa"/>
              <w:right w:w="7.0" w:type="dxa"/>
            </w:tcMar>
            <w:vAlign w:val="bottom"/>
          </w:tcPr>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327" w:hRule="atLeast"/>
          <w:tblHeader w:val="0"/>
        </w:trPr>
        <w:tc>
          <w:tcPr>
            <w:vMerge w:val="continue"/>
            <w:tcBorders>
              <w:top w:color="000000" w:space="0" w:sz="0" w:val="nil"/>
              <w:left w:color="000000" w:space="0" w:sz="8" w:val="single"/>
              <w:bottom w:color="000000" w:space="0" w:sz="8" w:val="single"/>
              <w:right w:color="000000" w:space="0" w:sz="0" w:val="nil"/>
            </w:tcBorders>
            <w:shd w:fill="auto" w:val="clear"/>
            <w:tcMar>
              <w:top w:w="7.0" w:type="dxa"/>
              <w:left w:w="7.0" w:type="dxa"/>
              <w:bottom w:w="0.0" w:type="dxa"/>
              <w:right w:w="7.0" w:type="dxa"/>
            </w:tcMar>
            <w:vAlign w:val="cente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7.0" w:type="dxa"/>
              <w:left w:w="7.0" w:type="dxa"/>
              <w:bottom w:w="0.0" w:type="dxa"/>
              <w:right w:w="7.0" w:type="dxa"/>
            </w:tcMar>
            <w:vAlign w:val="bottom"/>
          </w:tcPr>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7.0" w:type="dxa"/>
              <w:left w:w="7.0" w:type="dxa"/>
              <w:bottom w:w="0.0" w:type="dxa"/>
              <w:right w:w="7.0" w:type="dxa"/>
            </w:tcMar>
            <w:vAlign w:val="bottom"/>
          </w:tcPr>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7.0" w:type="dxa"/>
              <w:left w:w="7.0" w:type="dxa"/>
              <w:bottom w:w="0.0" w:type="dxa"/>
              <w:right w:w="7.0" w:type="dxa"/>
            </w:tcMar>
            <w:vAlign w:val="bottom"/>
          </w:tcPr>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0.07</w:t>
            </w:r>
          </w:p>
        </w:tc>
        <w:tc>
          <w:tcPr>
            <w:tcBorders>
              <w:top w:color="000000" w:space="0" w:sz="0" w:val="nil"/>
              <w:left w:color="000000" w:space="0" w:sz="0" w:val="nil"/>
              <w:bottom w:color="000000" w:space="0" w:sz="0" w:val="nil"/>
              <w:right w:color="000000" w:space="0" w:sz="0" w:val="nil"/>
            </w:tcBorders>
            <w:shd w:fill="auto" w:val="clear"/>
            <w:tcMar>
              <w:top w:w="7.0" w:type="dxa"/>
              <w:left w:w="7.0" w:type="dxa"/>
              <w:bottom w:w="0.0" w:type="dxa"/>
              <w:right w:w="7.0" w:type="dxa"/>
            </w:tcMar>
            <w:vAlign w:val="bottom"/>
          </w:tcPr>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8" w:val="single"/>
            </w:tcBorders>
            <w:shd w:fill="auto" w:val="clear"/>
            <w:tcMar>
              <w:top w:w="7.0" w:type="dxa"/>
              <w:left w:w="7.0" w:type="dxa"/>
              <w:bottom w:w="0.0" w:type="dxa"/>
              <w:right w:w="7.0" w:type="dxa"/>
            </w:tcMar>
            <w:vAlign w:val="bottom"/>
          </w:tcPr>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327" w:hRule="atLeast"/>
          <w:tblHeader w:val="0"/>
        </w:trPr>
        <w:tc>
          <w:tcPr>
            <w:vMerge w:val="continue"/>
            <w:tcBorders>
              <w:top w:color="000000" w:space="0" w:sz="0" w:val="nil"/>
              <w:left w:color="000000" w:space="0" w:sz="8" w:val="single"/>
              <w:bottom w:color="000000" w:space="0" w:sz="8" w:val="single"/>
              <w:right w:color="000000" w:space="0" w:sz="0" w:val="nil"/>
            </w:tcBorders>
            <w:shd w:fill="auto" w:val="clear"/>
            <w:tcMar>
              <w:top w:w="7.0" w:type="dxa"/>
              <w:left w:w="7.0" w:type="dxa"/>
              <w:bottom w:w="0.0" w:type="dxa"/>
              <w:right w:w="7.0" w:type="dxa"/>
            </w:tcMar>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7.0" w:type="dxa"/>
              <w:left w:w="7.0" w:type="dxa"/>
              <w:bottom w:w="0.0" w:type="dxa"/>
              <w:right w:w="7.0" w:type="dxa"/>
            </w:tcMar>
            <w:vAlign w:val="bottom"/>
          </w:tcPr>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7.0" w:type="dxa"/>
              <w:left w:w="7.0" w:type="dxa"/>
              <w:bottom w:w="0.0" w:type="dxa"/>
              <w:right w:w="7.0" w:type="dxa"/>
            </w:tcMar>
            <w:vAlign w:val="bottom"/>
          </w:tcPr>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7.0" w:type="dxa"/>
              <w:left w:w="7.0" w:type="dxa"/>
              <w:bottom w:w="0.0" w:type="dxa"/>
              <w:right w:w="7.0" w:type="dxa"/>
            </w:tcMar>
            <w:vAlign w:val="bottom"/>
          </w:tcPr>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7.0" w:type="dxa"/>
              <w:left w:w="7.0" w:type="dxa"/>
              <w:bottom w:w="0.0" w:type="dxa"/>
              <w:right w:w="7.0" w:type="dxa"/>
            </w:tcMar>
            <w:vAlign w:val="bottom"/>
          </w:tcPr>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0.02</w:t>
            </w: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shd w:fill="auto" w:val="clear"/>
            <w:tcMar>
              <w:top w:w="7.0" w:type="dxa"/>
              <w:left w:w="7.0" w:type="dxa"/>
              <w:bottom w:w="0.0" w:type="dxa"/>
              <w:right w:w="7.0" w:type="dxa"/>
            </w:tcMar>
            <w:vAlign w:val="bottom"/>
          </w:tcPr>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327" w:hRule="atLeast"/>
          <w:tblHeader w:val="0"/>
        </w:trPr>
        <w:tc>
          <w:tcPr>
            <w:vMerge w:val="continue"/>
            <w:tcBorders>
              <w:top w:color="000000" w:space="0" w:sz="0" w:val="nil"/>
              <w:left w:color="000000" w:space="0" w:sz="8" w:val="single"/>
              <w:bottom w:color="000000" w:space="0" w:sz="8" w:val="single"/>
              <w:right w:color="000000" w:space="0" w:sz="0" w:val="nil"/>
            </w:tcBorders>
            <w:shd w:fill="auto" w:val="clear"/>
            <w:tcMar>
              <w:top w:w="7.0" w:type="dxa"/>
              <w:left w:w="7.0" w:type="dxa"/>
              <w:bottom w:w="0.0" w:type="dxa"/>
              <w:right w:w="7.0" w:type="dxa"/>
            </w:tcMar>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7.0" w:type="dxa"/>
              <w:left w:w="7.0" w:type="dxa"/>
              <w:bottom w:w="0.0" w:type="dxa"/>
              <w:right w:w="7.0" w:type="dxa"/>
            </w:tcMar>
            <w:vAlign w:val="bottom"/>
          </w:tcPr>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0</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7.0" w:type="dxa"/>
              <w:left w:w="7.0" w:type="dxa"/>
              <w:bottom w:w="0.0" w:type="dxa"/>
              <w:right w:w="7.0" w:type="dxa"/>
            </w:tcMar>
            <w:vAlign w:val="bottom"/>
          </w:tcPr>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0" w:val="nil"/>
              <w:left w:color="000000" w:space="0" w:sz="0" w:val="nil"/>
              <w:bottom w:color="000000" w:space="0" w:sz="8" w:val="single"/>
              <w:right w:color="000000" w:space="0" w:sz="0" w:val="nil"/>
            </w:tcBorders>
            <w:shd w:fill="auto" w:val="clear"/>
            <w:tcMar>
              <w:top w:w="7.0" w:type="dxa"/>
              <w:left w:w="7.0" w:type="dxa"/>
              <w:bottom w:w="0.0" w:type="dxa"/>
              <w:right w:w="7.0" w:type="dxa"/>
            </w:tcMar>
            <w:vAlign w:val="bottom"/>
          </w:tcPr>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0" w:val="nil"/>
              <w:left w:color="000000" w:space="0" w:sz="0" w:val="nil"/>
              <w:bottom w:color="000000" w:space="0" w:sz="8" w:val="single"/>
              <w:right w:color="000000" w:space="0" w:sz="0" w:val="nil"/>
            </w:tcBorders>
            <w:shd w:fill="auto" w:val="clear"/>
            <w:tcMar>
              <w:top w:w="7.0" w:type="dxa"/>
              <w:left w:w="7.0" w:type="dxa"/>
              <w:bottom w:w="0.0" w:type="dxa"/>
              <w:right w:w="7.0" w:type="dxa"/>
            </w:tcMar>
            <w:vAlign w:val="bottom"/>
          </w:tcPr>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0" w:val="nil"/>
              <w:left w:color="000000" w:space="0" w:sz="0" w:val="nil"/>
              <w:bottom w:color="000000" w:space="0" w:sz="8" w:val="single"/>
              <w:right w:color="000000" w:space="0" w:sz="8" w:val="single"/>
            </w:tcBorders>
            <w:shd w:fill="auto" w:val="clear"/>
            <w:tcMar>
              <w:top w:w="7.0" w:type="dxa"/>
              <w:left w:w="7.0" w:type="dxa"/>
              <w:bottom w:w="0.0" w:type="dxa"/>
              <w:right w:w="7.0" w:type="dxa"/>
            </w:tcMar>
            <w:vAlign w:val="bottom"/>
          </w:tcPr>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rtl w:val="0"/>
        </w:rPr>
      </w:r>
    </w:p>
    <w:sectPr>
      <w:pgSz w:h="16837" w:w="11899" w:orient="portrait"/>
      <w:pgMar w:bottom="1411" w:top="1699" w:left="1411" w:right="141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t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184A32"/>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184A32"/>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184A32"/>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184A32"/>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184A32"/>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184A32"/>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184A32"/>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184A32"/>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184A32"/>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184A32"/>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184A32"/>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184A32"/>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184A32"/>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184A32"/>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184A32"/>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184A32"/>
    <w:rPr>
      <w:i w:val="1"/>
      <w:iCs w:val="1"/>
      <w:color w:val="404040" w:themeColor="text1" w:themeTint="0000BF"/>
    </w:rPr>
  </w:style>
  <w:style w:type="paragraph" w:styleId="ListParagraph">
    <w:name w:val="List Paragraph"/>
    <w:basedOn w:val="Normal"/>
    <w:uiPriority w:val="34"/>
    <w:qFormat w:val="1"/>
    <w:rsid w:val="00184A32"/>
    <w:pPr>
      <w:ind w:left="720"/>
      <w:contextualSpacing w:val="1"/>
    </w:pPr>
  </w:style>
  <w:style w:type="character" w:styleId="IntenseEmphasis">
    <w:name w:val="Intense Emphasis"/>
    <w:basedOn w:val="DefaultParagraphFont"/>
    <w:uiPriority w:val="21"/>
    <w:qFormat w:val="1"/>
    <w:rsid w:val="00184A32"/>
    <w:rPr>
      <w:i w:val="1"/>
      <w:iCs w:val="1"/>
      <w:color w:val="0f4761" w:themeColor="accent1" w:themeShade="0000BF"/>
    </w:rPr>
  </w:style>
  <w:style w:type="paragraph" w:styleId="IntenseQuote">
    <w:name w:val="Intense Quote"/>
    <w:basedOn w:val="Normal"/>
    <w:next w:val="Normal"/>
    <w:link w:val="IntenseQuoteChar"/>
    <w:uiPriority w:val="30"/>
    <w:qFormat w:val="1"/>
    <w:rsid w:val="00184A32"/>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184A32"/>
    <w:rPr>
      <w:i w:val="1"/>
      <w:iCs w:val="1"/>
      <w:color w:val="0f4761" w:themeColor="accent1" w:themeShade="0000BF"/>
    </w:rPr>
  </w:style>
  <w:style w:type="character" w:styleId="IntenseReference">
    <w:name w:val="Intense Reference"/>
    <w:basedOn w:val="DefaultParagraphFont"/>
    <w:uiPriority w:val="32"/>
    <w:qFormat w:val="1"/>
    <w:rsid w:val="00184A32"/>
    <w:rPr>
      <w:b w:val="1"/>
      <w:bCs w:val="1"/>
      <w:smallCaps w:val="1"/>
      <w:color w:val="0f4761" w:themeColor="accent1" w:themeShade="0000BF"/>
      <w:spacing w:val="5"/>
    </w:rPr>
  </w:style>
  <w:style w:type="paragraph" w:styleId="NormalWeb">
    <w:name w:val="Normal (Web)"/>
    <w:basedOn w:val="Normal"/>
    <w:uiPriority w:val="99"/>
    <w:unhideWhenUsed w:val="1"/>
    <w:rsid w:val="00184A32"/>
    <w:pPr>
      <w:spacing w:after="100" w:afterAutospacing="1" w:before="100" w:beforeAutospacing="1" w:line="240" w:lineRule="auto"/>
    </w:pPr>
    <w:rPr>
      <w:rFonts w:ascii="Times New Roman" w:cs="Times New Roman" w:eastAsia="Times New Roman" w:hAnsi="Times New Roman"/>
      <w:kern w:val="0"/>
      <w:sz w:val="24"/>
      <w:szCs w:val="24"/>
    </w:rPr>
  </w:style>
  <w:style w:type="table" w:styleId="TableGrid">
    <w:name w:val="Table Grid"/>
    <w:basedOn w:val="TableNormal"/>
    <w:uiPriority w:val="39"/>
    <w:rsid w:val="0027020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VsR9SFFAUQmhIzw/jmp3SQwlBQ==">CgMxLjA4AHIhMXJQeXdoZWFodG43dTFma0tpMFFRdWJLTnVZN0FLZXpZ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2025-07-29T20:23:00Z</dcterms:created>
  <dc:creator>Merve Aydın</dc:creator>
</cp:coreProperties>
</file>