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AD225" w14:textId="77777777" w:rsidR="00DE52AC" w:rsidRPr="004E31A7" w:rsidRDefault="00DE52AC" w:rsidP="00DE52AC">
      <w:pPr>
        <w:spacing w:line="480" w:lineRule="auto"/>
        <w:jc w:val="both"/>
      </w:pPr>
      <w:r w:rsidRPr="004E31A7">
        <w:rPr>
          <w:noProof/>
        </w:rPr>
        <w:drawing>
          <wp:inline distT="0" distB="0" distL="0" distR="0" wp14:anchorId="29B77611" wp14:editId="7E39219F">
            <wp:extent cx="5756910" cy="1141730"/>
            <wp:effectExtent l="0" t="0" r="0" b="0"/>
            <wp:docPr id="268301147"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301147" name=""/>
                    <pic:cNvPicPr/>
                  </pic:nvPicPr>
                  <pic:blipFill>
                    <a:blip r:embed="rId4"/>
                    <a:stretch>
                      <a:fillRect/>
                    </a:stretch>
                  </pic:blipFill>
                  <pic:spPr>
                    <a:xfrm>
                      <a:off x="0" y="0"/>
                      <a:ext cx="5789856" cy="1148264"/>
                    </a:xfrm>
                    <a:prstGeom prst="rect">
                      <a:avLst/>
                    </a:prstGeom>
                  </pic:spPr>
                </pic:pic>
              </a:graphicData>
            </a:graphic>
          </wp:inline>
        </w:drawing>
      </w:r>
    </w:p>
    <w:p w14:paraId="703C7E5A" w14:textId="77777777" w:rsidR="00DE52AC" w:rsidRPr="004E31A7" w:rsidRDefault="00DE52AC" w:rsidP="00DE52AC">
      <w:pPr>
        <w:spacing w:line="480" w:lineRule="auto"/>
        <w:jc w:val="both"/>
      </w:pPr>
      <w:r w:rsidRPr="004E31A7">
        <w:t>Table 1. Quantitative model parameters for the four generated analyses.</w:t>
      </w:r>
    </w:p>
    <w:p w14:paraId="5BC82EC7" w14:textId="77777777" w:rsidR="00DE52AC" w:rsidRPr="004E31A7" w:rsidRDefault="00DE52AC" w:rsidP="00DE52AC">
      <w:pPr>
        <w:spacing w:line="480" w:lineRule="auto"/>
        <w:jc w:val="both"/>
      </w:pPr>
      <w:r w:rsidRPr="004E31A7">
        <w:t>T: Subperiosteal implant thickness; SD: Screw diameter.</w:t>
      </w:r>
    </w:p>
    <w:tbl>
      <w:tblPr>
        <w:tblW w:w="10338" w:type="dxa"/>
        <w:tblCellMar>
          <w:left w:w="0" w:type="dxa"/>
          <w:right w:w="0" w:type="dxa"/>
        </w:tblCellMar>
        <w:tblLook w:val="04A0" w:firstRow="1" w:lastRow="0" w:firstColumn="1" w:lastColumn="0" w:noHBand="0" w:noVBand="1"/>
      </w:tblPr>
      <w:tblGrid>
        <w:gridCol w:w="2258"/>
        <w:gridCol w:w="2410"/>
        <w:gridCol w:w="2818"/>
        <w:gridCol w:w="1806"/>
        <w:gridCol w:w="1046"/>
      </w:tblGrid>
      <w:tr w:rsidR="00DE52AC" w:rsidRPr="004E31A7" w14:paraId="3EDC72F3" w14:textId="77777777" w:rsidTr="00C74A1E">
        <w:trPr>
          <w:trHeight w:val="423"/>
        </w:trPr>
        <w:tc>
          <w:tcPr>
            <w:tcW w:w="2258" w:type="dxa"/>
            <w:tcBorders>
              <w:top w:val="single" w:sz="8" w:space="0" w:color="BFBFBF"/>
              <w:left w:val="single" w:sz="8" w:space="0" w:color="BFBFBF"/>
              <w:bottom w:val="single" w:sz="8" w:space="0" w:color="BFBFBF"/>
              <w:right w:val="single" w:sz="8" w:space="0" w:color="BFBFBF"/>
            </w:tcBorders>
            <w:tcMar>
              <w:top w:w="15" w:type="dxa"/>
              <w:left w:w="108" w:type="dxa"/>
              <w:bottom w:w="0" w:type="dxa"/>
              <w:right w:w="108" w:type="dxa"/>
            </w:tcMar>
            <w:hideMark/>
          </w:tcPr>
          <w:p w14:paraId="2AD79BAC" w14:textId="77777777" w:rsidR="00DE52AC" w:rsidRPr="004E31A7" w:rsidRDefault="00DE52AC" w:rsidP="00C74A1E">
            <w:pPr>
              <w:spacing w:before="100" w:beforeAutospacing="1" w:after="100" w:afterAutospacing="1" w:line="360" w:lineRule="auto"/>
              <w:jc w:val="both"/>
            </w:pPr>
            <w:r w:rsidRPr="004E31A7">
              <w:rPr>
                <w:b/>
                <w:bCs/>
              </w:rPr>
              <w:t>Component</w:t>
            </w:r>
          </w:p>
        </w:tc>
        <w:tc>
          <w:tcPr>
            <w:tcW w:w="2410" w:type="dxa"/>
            <w:tcBorders>
              <w:top w:val="single" w:sz="8" w:space="0" w:color="BFBFBF"/>
              <w:left w:val="single" w:sz="8" w:space="0" w:color="BFBFBF"/>
              <w:bottom w:val="single" w:sz="8" w:space="0" w:color="BFBFBF"/>
              <w:right w:val="single" w:sz="8" w:space="0" w:color="BFBFBF"/>
            </w:tcBorders>
            <w:tcMar>
              <w:top w:w="15" w:type="dxa"/>
              <w:left w:w="108" w:type="dxa"/>
              <w:bottom w:w="0" w:type="dxa"/>
              <w:right w:w="108" w:type="dxa"/>
            </w:tcMar>
            <w:hideMark/>
          </w:tcPr>
          <w:p w14:paraId="2C7BDCBE" w14:textId="77777777" w:rsidR="00DE52AC" w:rsidRPr="004E31A7" w:rsidRDefault="00DE52AC" w:rsidP="00C74A1E">
            <w:pPr>
              <w:spacing w:before="100" w:beforeAutospacing="1" w:after="100" w:afterAutospacing="1" w:line="360" w:lineRule="auto"/>
              <w:jc w:val="both"/>
            </w:pPr>
            <w:r w:rsidRPr="004E31A7">
              <w:rPr>
                <w:b/>
                <w:bCs/>
              </w:rPr>
              <w:t>Materials</w:t>
            </w:r>
          </w:p>
        </w:tc>
        <w:tc>
          <w:tcPr>
            <w:tcW w:w="2818" w:type="dxa"/>
            <w:tcBorders>
              <w:top w:val="single" w:sz="8" w:space="0" w:color="BFBFBF"/>
              <w:left w:val="single" w:sz="8" w:space="0" w:color="BFBFBF"/>
              <w:bottom w:val="single" w:sz="8" w:space="0" w:color="BFBFBF"/>
              <w:right w:val="single" w:sz="8" w:space="0" w:color="BFBFBF"/>
            </w:tcBorders>
            <w:tcMar>
              <w:top w:w="15" w:type="dxa"/>
              <w:left w:w="108" w:type="dxa"/>
              <w:bottom w:w="0" w:type="dxa"/>
              <w:right w:w="108" w:type="dxa"/>
            </w:tcMar>
            <w:hideMark/>
          </w:tcPr>
          <w:p w14:paraId="26D034E6" w14:textId="77777777" w:rsidR="00DE52AC" w:rsidRPr="004E31A7" w:rsidRDefault="00DE52AC" w:rsidP="00C74A1E">
            <w:pPr>
              <w:spacing w:before="100" w:beforeAutospacing="1" w:after="100" w:afterAutospacing="1" w:line="360" w:lineRule="auto"/>
              <w:jc w:val="both"/>
            </w:pPr>
            <w:r w:rsidRPr="004E31A7">
              <w:rPr>
                <w:b/>
                <w:bCs/>
              </w:rPr>
              <w:t>Elastic Modulus (MPa)</w:t>
            </w:r>
          </w:p>
        </w:tc>
        <w:tc>
          <w:tcPr>
            <w:tcW w:w="1806" w:type="dxa"/>
            <w:tcBorders>
              <w:top w:val="single" w:sz="8" w:space="0" w:color="BFBFBF"/>
              <w:left w:val="single" w:sz="8" w:space="0" w:color="BFBFBF"/>
              <w:bottom w:val="single" w:sz="8" w:space="0" w:color="BFBFBF"/>
              <w:right w:val="single" w:sz="8" w:space="0" w:color="BFBFBF"/>
            </w:tcBorders>
            <w:tcMar>
              <w:top w:w="15" w:type="dxa"/>
              <w:left w:w="108" w:type="dxa"/>
              <w:bottom w:w="0" w:type="dxa"/>
              <w:right w:w="108" w:type="dxa"/>
            </w:tcMar>
            <w:hideMark/>
          </w:tcPr>
          <w:p w14:paraId="1C8A2729" w14:textId="77777777" w:rsidR="00DE52AC" w:rsidRPr="004E31A7" w:rsidRDefault="00DE52AC" w:rsidP="00C74A1E">
            <w:pPr>
              <w:spacing w:before="100" w:beforeAutospacing="1" w:after="100" w:afterAutospacing="1" w:line="360" w:lineRule="auto"/>
              <w:jc w:val="both"/>
            </w:pPr>
            <w:r w:rsidRPr="004E31A7">
              <w:rPr>
                <w:b/>
                <w:bCs/>
              </w:rPr>
              <w:t>Poisson’s Ratio</w:t>
            </w:r>
          </w:p>
        </w:tc>
        <w:tc>
          <w:tcPr>
            <w:tcW w:w="1046" w:type="dxa"/>
            <w:tcBorders>
              <w:top w:val="single" w:sz="8" w:space="0" w:color="BFBFBF"/>
              <w:left w:val="single" w:sz="8" w:space="0" w:color="BFBFBF"/>
              <w:bottom w:val="single" w:sz="8" w:space="0" w:color="BFBFBF"/>
              <w:right w:val="single" w:sz="8" w:space="0" w:color="BFBFBF"/>
            </w:tcBorders>
          </w:tcPr>
          <w:p w14:paraId="7B0D0DEF" w14:textId="77777777" w:rsidR="00DE52AC" w:rsidRPr="004E31A7" w:rsidRDefault="00DE52AC" w:rsidP="00C74A1E">
            <w:pPr>
              <w:spacing w:before="100" w:beforeAutospacing="1" w:after="100" w:afterAutospacing="1" w:line="360" w:lineRule="auto"/>
              <w:jc w:val="both"/>
              <w:rPr>
                <w:b/>
                <w:bCs/>
              </w:rPr>
            </w:pPr>
            <w:r w:rsidRPr="004E31A7">
              <w:rPr>
                <w:b/>
                <w:bCs/>
              </w:rPr>
              <w:t>Reference</w:t>
            </w:r>
          </w:p>
        </w:tc>
      </w:tr>
      <w:tr w:rsidR="00DE52AC" w:rsidRPr="004E31A7" w14:paraId="6ADAB027" w14:textId="77777777" w:rsidTr="00C74A1E">
        <w:trPr>
          <w:trHeight w:val="453"/>
        </w:trPr>
        <w:tc>
          <w:tcPr>
            <w:tcW w:w="2258" w:type="dxa"/>
            <w:tcBorders>
              <w:top w:val="single" w:sz="8" w:space="0" w:color="BFBFBF"/>
              <w:left w:val="single" w:sz="8" w:space="0" w:color="BFBFBF"/>
              <w:bottom w:val="single" w:sz="8" w:space="0" w:color="BFBFBF"/>
              <w:right w:val="single" w:sz="8" w:space="0" w:color="BFBFBF"/>
            </w:tcBorders>
            <w:tcMar>
              <w:top w:w="15" w:type="dxa"/>
              <w:left w:w="108" w:type="dxa"/>
              <w:bottom w:w="0" w:type="dxa"/>
              <w:right w:w="108" w:type="dxa"/>
            </w:tcMar>
            <w:hideMark/>
          </w:tcPr>
          <w:p w14:paraId="2A32A820" w14:textId="77777777" w:rsidR="00DE52AC" w:rsidRPr="004E31A7" w:rsidRDefault="00DE52AC" w:rsidP="00C74A1E">
            <w:pPr>
              <w:spacing w:before="100" w:beforeAutospacing="1" w:after="100" w:afterAutospacing="1" w:line="360" w:lineRule="auto"/>
              <w:jc w:val="both"/>
            </w:pPr>
            <w:r w:rsidRPr="004E31A7">
              <w:t>Bone</w:t>
            </w:r>
          </w:p>
        </w:tc>
        <w:tc>
          <w:tcPr>
            <w:tcW w:w="2410" w:type="dxa"/>
            <w:tcBorders>
              <w:top w:val="single" w:sz="8" w:space="0" w:color="BFBFBF"/>
              <w:left w:val="single" w:sz="8" w:space="0" w:color="BFBFBF"/>
              <w:bottom w:val="single" w:sz="8" w:space="0" w:color="BFBFBF"/>
              <w:right w:val="single" w:sz="8" w:space="0" w:color="BFBFBF"/>
            </w:tcBorders>
            <w:tcMar>
              <w:top w:w="15" w:type="dxa"/>
              <w:left w:w="108" w:type="dxa"/>
              <w:bottom w:w="0" w:type="dxa"/>
              <w:right w:w="108" w:type="dxa"/>
            </w:tcMar>
            <w:hideMark/>
          </w:tcPr>
          <w:p w14:paraId="746890EA" w14:textId="77777777" w:rsidR="00DE52AC" w:rsidRPr="004E31A7" w:rsidRDefault="00DE52AC" w:rsidP="00C74A1E">
            <w:pPr>
              <w:spacing w:before="100" w:beforeAutospacing="1" w:after="100" w:afterAutospacing="1" w:line="360" w:lineRule="auto"/>
              <w:jc w:val="both"/>
            </w:pPr>
            <w:r w:rsidRPr="004E31A7">
              <w:t>Cortical + Cancellous</w:t>
            </w:r>
          </w:p>
        </w:tc>
        <w:tc>
          <w:tcPr>
            <w:tcW w:w="2818" w:type="dxa"/>
            <w:tcBorders>
              <w:top w:val="single" w:sz="8" w:space="0" w:color="BFBFBF"/>
              <w:left w:val="single" w:sz="8" w:space="0" w:color="BFBFBF"/>
              <w:bottom w:val="single" w:sz="8" w:space="0" w:color="BFBFBF"/>
              <w:right w:val="single" w:sz="8" w:space="0" w:color="BFBFBF"/>
            </w:tcBorders>
            <w:tcMar>
              <w:top w:w="15" w:type="dxa"/>
              <w:left w:w="108" w:type="dxa"/>
              <w:bottom w:w="0" w:type="dxa"/>
              <w:right w:w="108" w:type="dxa"/>
            </w:tcMar>
            <w:hideMark/>
          </w:tcPr>
          <w:p w14:paraId="6A8C512C" w14:textId="77777777" w:rsidR="00DE52AC" w:rsidRPr="004E31A7" w:rsidRDefault="00DE52AC" w:rsidP="00C74A1E">
            <w:pPr>
              <w:spacing w:before="100" w:beforeAutospacing="1" w:after="100" w:afterAutospacing="1" w:line="360" w:lineRule="auto"/>
              <w:jc w:val="both"/>
            </w:pPr>
            <w:r w:rsidRPr="004E31A7">
              <w:t>10,000</w:t>
            </w:r>
          </w:p>
        </w:tc>
        <w:tc>
          <w:tcPr>
            <w:tcW w:w="1806" w:type="dxa"/>
            <w:tcBorders>
              <w:top w:val="single" w:sz="8" w:space="0" w:color="BFBFBF"/>
              <w:left w:val="single" w:sz="8" w:space="0" w:color="BFBFBF"/>
              <w:bottom w:val="single" w:sz="8" w:space="0" w:color="BFBFBF"/>
              <w:right w:val="single" w:sz="8" w:space="0" w:color="BFBFBF"/>
            </w:tcBorders>
            <w:tcMar>
              <w:top w:w="15" w:type="dxa"/>
              <w:left w:w="108" w:type="dxa"/>
              <w:bottom w:w="0" w:type="dxa"/>
              <w:right w:w="108" w:type="dxa"/>
            </w:tcMar>
            <w:hideMark/>
          </w:tcPr>
          <w:p w14:paraId="2413020B" w14:textId="77777777" w:rsidR="00DE52AC" w:rsidRPr="004E31A7" w:rsidRDefault="00DE52AC" w:rsidP="00C74A1E">
            <w:pPr>
              <w:spacing w:before="100" w:beforeAutospacing="1" w:after="100" w:afterAutospacing="1" w:line="360" w:lineRule="auto"/>
              <w:jc w:val="both"/>
            </w:pPr>
            <w:r w:rsidRPr="004E31A7">
              <w:t>0.30</w:t>
            </w:r>
          </w:p>
        </w:tc>
        <w:tc>
          <w:tcPr>
            <w:tcW w:w="1046" w:type="dxa"/>
            <w:tcBorders>
              <w:top w:val="single" w:sz="8" w:space="0" w:color="BFBFBF"/>
              <w:left w:val="single" w:sz="8" w:space="0" w:color="BFBFBF"/>
              <w:bottom w:val="single" w:sz="8" w:space="0" w:color="BFBFBF"/>
              <w:right w:val="single" w:sz="8" w:space="0" w:color="BFBFBF"/>
            </w:tcBorders>
          </w:tcPr>
          <w:p w14:paraId="0842198B" w14:textId="77777777" w:rsidR="00DE52AC" w:rsidRPr="004E31A7" w:rsidRDefault="00DE52AC" w:rsidP="00C74A1E">
            <w:pPr>
              <w:spacing w:before="100" w:beforeAutospacing="1" w:after="100" w:afterAutospacing="1" w:line="360" w:lineRule="auto"/>
              <w:jc w:val="both"/>
            </w:pPr>
            <w:r w:rsidRPr="004E31A7">
              <w:t>[21]</w:t>
            </w:r>
          </w:p>
        </w:tc>
      </w:tr>
      <w:tr w:rsidR="00DE52AC" w:rsidRPr="004E31A7" w14:paraId="561582D7" w14:textId="77777777" w:rsidTr="00C74A1E">
        <w:trPr>
          <w:trHeight w:val="423"/>
        </w:trPr>
        <w:tc>
          <w:tcPr>
            <w:tcW w:w="2258" w:type="dxa"/>
            <w:tcBorders>
              <w:top w:val="single" w:sz="8" w:space="0" w:color="BFBFBF"/>
              <w:left w:val="single" w:sz="8" w:space="0" w:color="BFBFBF"/>
              <w:bottom w:val="single" w:sz="8" w:space="0" w:color="BFBFBF"/>
              <w:right w:val="single" w:sz="8" w:space="0" w:color="BFBFBF"/>
            </w:tcBorders>
            <w:tcMar>
              <w:top w:w="15" w:type="dxa"/>
              <w:left w:w="108" w:type="dxa"/>
              <w:bottom w:w="0" w:type="dxa"/>
              <w:right w:w="108" w:type="dxa"/>
            </w:tcMar>
            <w:hideMark/>
          </w:tcPr>
          <w:p w14:paraId="62A4AD05" w14:textId="77777777" w:rsidR="00DE52AC" w:rsidRPr="004E31A7" w:rsidRDefault="00DE52AC" w:rsidP="00C74A1E">
            <w:pPr>
              <w:spacing w:before="100" w:beforeAutospacing="1" w:after="100" w:afterAutospacing="1" w:line="360" w:lineRule="auto"/>
              <w:jc w:val="both"/>
            </w:pPr>
            <w:r w:rsidRPr="004E31A7">
              <w:t>Subperiostal Implant</w:t>
            </w:r>
          </w:p>
        </w:tc>
        <w:tc>
          <w:tcPr>
            <w:tcW w:w="2410" w:type="dxa"/>
            <w:tcBorders>
              <w:top w:val="single" w:sz="8" w:space="0" w:color="BFBFBF"/>
              <w:left w:val="single" w:sz="8" w:space="0" w:color="BFBFBF"/>
              <w:bottom w:val="single" w:sz="8" w:space="0" w:color="BFBFBF"/>
              <w:right w:val="single" w:sz="8" w:space="0" w:color="BFBFBF"/>
            </w:tcBorders>
            <w:tcMar>
              <w:top w:w="15" w:type="dxa"/>
              <w:left w:w="108" w:type="dxa"/>
              <w:bottom w:w="0" w:type="dxa"/>
              <w:right w:w="108" w:type="dxa"/>
            </w:tcMar>
            <w:hideMark/>
          </w:tcPr>
          <w:p w14:paraId="628E8589" w14:textId="77777777" w:rsidR="00DE52AC" w:rsidRPr="004E31A7" w:rsidRDefault="00DE52AC" w:rsidP="00C74A1E">
            <w:pPr>
              <w:spacing w:before="100" w:beforeAutospacing="1" w:after="100" w:afterAutospacing="1" w:line="360" w:lineRule="auto"/>
              <w:jc w:val="both"/>
            </w:pPr>
            <w:r w:rsidRPr="004E31A7">
              <w:t>%60 CFR-PEEK</w:t>
            </w:r>
          </w:p>
        </w:tc>
        <w:tc>
          <w:tcPr>
            <w:tcW w:w="2818" w:type="dxa"/>
            <w:tcBorders>
              <w:top w:val="single" w:sz="8" w:space="0" w:color="BFBFBF"/>
              <w:left w:val="single" w:sz="8" w:space="0" w:color="BFBFBF"/>
              <w:bottom w:val="single" w:sz="8" w:space="0" w:color="BFBFBF"/>
              <w:right w:val="single" w:sz="8" w:space="0" w:color="BFBFBF"/>
            </w:tcBorders>
            <w:tcMar>
              <w:top w:w="15" w:type="dxa"/>
              <w:left w:w="108" w:type="dxa"/>
              <w:bottom w:w="0" w:type="dxa"/>
              <w:right w:w="108" w:type="dxa"/>
            </w:tcMar>
            <w:hideMark/>
          </w:tcPr>
          <w:p w14:paraId="10A5C81E" w14:textId="77777777" w:rsidR="00DE52AC" w:rsidRPr="004E31A7" w:rsidRDefault="00DE52AC" w:rsidP="00C74A1E">
            <w:pPr>
              <w:spacing w:before="100" w:beforeAutospacing="1" w:after="100" w:afterAutospacing="1" w:line="360" w:lineRule="auto"/>
              <w:jc w:val="both"/>
            </w:pPr>
            <w:r w:rsidRPr="004E31A7">
              <w:t>150,000</w:t>
            </w:r>
          </w:p>
        </w:tc>
        <w:tc>
          <w:tcPr>
            <w:tcW w:w="1806" w:type="dxa"/>
            <w:tcBorders>
              <w:top w:val="single" w:sz="8" w:space="0" w:color="BFBFBF"/>
              <w:left w:val="single" w:sz="8" w:space="0" w:color="BFBFBF"/>
              <w:bottom w:val="single" w:sz="8" w:space="0" w:color="BFBFBF"/>
              <w:right w:val="single" w:sz="8" w:space="0" w:color="BFBFBF"/>
            </w:tcBorders>
            <w:tcMar>
              <w:top w:w="15" w:type="dxa"/>
              <w:left w:w="108" w:type="dxa"/>
              <w:bottom w:w="0" w:type="dxa"/>
              <w:right w:w="108" w:type="dxa"/>
            </w:tcMar>
            <w:hideMark/>
          </w:tcPr>
          <w:p w14:paraId="42FAD73A" w14:textId="77777777" w:rsidR="00DE52AC" w:rsidRPr="004E31A7" w:rsidRDefault="00DE52AC" w:rsidP="00C74A1E">
            <w:pPr>
              <w:spacing w:before="100" w:beforeAutospacing="1" w:after="100" w:afterAutospacing="1" w:line="360" w:lineRule="auto"/>
              <w:jc w:val="both"/>
            </w:pPr>
            <w:r w:rsidRPr="004E31A7">
              <w:t>0.356</w:t>
            </w:r>
          </w:p>
        </w:tc>
        <w:tc>
          <w:tcPr>
            <w:tcW w:w="1046" w:type="dxa"/>
            <w:tcBorders>
              <w:top w:val="single" w:sz="8" w:space="0" w:color="BFBFBF"/>
              <w:left w:val="single" w:sz="8" w:space="0" w:color="BFBFBF"/>
              <w:bottom w:val="single" w:sz="8" w:space="0" w:color="BFBFBF"/>
              <w:right w:val="single" w:sz="8" w:space="0" w:color="BFBFBF"/>
            </w:tcBorders>
          </w:tcPr>
          <w:p w14:paraId="2C1FABFB" w14:textId="77777777" w:rsidR="00DE52AC" w:rsidRPr="004E31A7" w:rsidRDefault="00DE52AC" w:rsidP="00C74A1E">
            <w:pPr>
              <w:spacing w:before="100" w:beforeAutospacing="1" w:after="100" w:afterAutospacing="1" w:line="360" w:lineRule="auto"/>
              <w:jc w:val="both"/>
            </w:pPr>
            <w:r w:rsidRPr="004E31A7">
              <w:t>[22]</w:t>
            </w:r>
          </w:p>
        </w:tc>
      </w:tr>
      <w:tr w:rsidR="00DE52AC" w:rsidRPr="004E31A7" w14:paraId="4231674A" w14:textId="77777777" w:rsidTr="00C74A1E">
        <w:trPr>
          <w:trHeight w:val="423"/>
        </w:trPr>
        <w:tc>
          <w:tcPr>
            <w:tcW w:w="2258" w:type="dxa"/>
            <w:tcBorders>
              <w:top w:val="single" w:sz="8" w:space="0" w:color="BFBFBF"/>
              <w:left w:val="single" w:sz="8" w:space="0" w:color="BFBFBF"/>
              <w:bottom w:val="single" w:sz="8" w:space="0" w:color="BFBFBF"/>
              <w:right w:val="single" w:sz="8" w:space="0" w:color="BFBFBF"/>
            </w:tcBorders>
            <w:tcMar>
              <w:top w:w="15" w:type="dxa"/>
              <w:left w:w="108" w:type="dxa"/>
              <w:bottom w:w="0" w:type="dxa"/>
              <w:right w:w="108" w:type="dxa"/>
            </w:tcMar>
            <w:hideMark/>
          </w:tcPr>
          <w:p w14:paraId="124956F6" w14:textId="77777777" w:rsidR="00DE52AC" w:rsidRPr="004E31A7" w:rsidRDefault="00DE52AC" w:rsidP="00C74A1E">
            <w:pPr>
              <w:spacing w:before="100" w:beforeAutospacing="1" w:after="100" w:afterAutospacing="1" w:line="360" w:lineRule="auto"/>
              <w:jc w:val="both"/>
            </w:pPr>
            <w:r w:rsidRPr="004E31A7">
              <w:t>Prosthetic Superstructure</w:t>
            </w:r>
          </w:p>
        </w:tc>
        <w:tc>
          <w:tcPr>
            <w:tcW w:w="2410" w:type="dxa"/>
            <w:tcBorders>
              <w:top w:val="single" w:sz="8" w:space="0" w:color="BFBFBF"/>
              <w:left w:val="single" w:sz="8" w:space="0" w:color="BFBFBF"/>
              <w:bottom w:val="single" w:sz="8" w:space="0" w:color="BFBFBF"/>
              <w:right w:val="single" w:sz="8" w:space="0" w:color="BFBFBF"/>
            </w:tcBorders>
            <w:tcMar>
              <w:top w:w="15" w:type="dxa"/>
              <w:left w:w="108" w:type="dxa"/>
              <w:bottom w:w="0" w:type="dxa"/>
              <w:right w:w="108" w:type="dxa"/>
            </w:tcMar>
            <w:hideMark/>
          </w:tcPr>
          <w:p w14:paraId="2299E194" w14:textId="77777777" w:rsidR="00DE52AC" w:rsidRPr="004E31A7" w:rsidRDefault="00DE52AC" w:rsidP="00C74A1E">
            <w:pPr>
              <w:spacing w:before="100" w:beforeAutospacing="1" w:after="100" w:afterAutospacing="1" w:line="360" w:lineRule="auto"/>
              <w:jc w:val="both"/>
            </w:pPr>
            <w:r w:rsidRPr="004E31A7">
              <w:t>Polymethyl methacrylate (PMMA)</w:t>
            </w:r>
          </w:p>
        </w:tc>
        <w:tc>
          <w:tcPr>
            <w:tcW w:w="2818" w:type="dxa"/>
            <w:tcBorders>
              <w:top w:val="single" w:sz="8" w:space="0" w:color="BFBFBF"/>
              <w:left w:val="single" w:sz="8" w:space="0" w:color="BFBFBF"/>
              <w:bottom w:val="single" w:sz="8" w:space="0" w:color="BFBFBF"/>
              <w:right w:val="single" w:sz="8" w:space="0" w:color="BFBFBF"/>
            </w:tcBorders>
            <w:tcMar>
              <w:top w:w="15" w:type="dxa"/>
              <w:left w:w="108" w:type="dxa"/>
              <w:bottom w:w="0" w:type="dxa"/>
              <w:right w:w="108" w:type="dxa"/>
            </w:tcMar>
            <w:hideMark/>
          </w:tcPr>
          <w:p w14:paraId="046FA5D0" w14:textId="77777777" w:rsidR="00DE52AC" w:rsidRPr="004E31A7" w:rsidRDefault="00DE52AC" w:rsidP="00C74A1E">
            <w:pPr>
              <w:spacing w:before="100" w:beforeAutospacing="1" w:after="100" w:afterAutospacing="1" w:line="360" w:lineRule="auto"/>
              <w:jc w:val="both"/>
            </w:pPr>
            <w:r w:rsidRPr="004E31A7">
              <w:t>3,000</w:t>
            </w:r>
          </w:p>
        </w:tc>
        <w:tc>
          <w:tcPr>
            <w:tcW w:w="1806" w:type="dxa"/>
            <w:tcBorders>
              <w:top w:val="single" w:sz="8" w:space="0" w:color="BFBFBF"/>
              <w:left w:val="single" w:sz="8" w:space="0" w:color="BFBFBF"/>
              <w:bottom w:val="single" w:sz="8" w:space="0" w:color="BFBFBF"/>
              <w:right w:val="single" w:sz="8" w:space="0" w:color="BFBFBF"/>
            </w:tcBorders>
            <w:tcMar>
              <w:top w:w="15" w:type="dxa"/>
              <w:left w:w="108" w:type="dxa"/>
              <w:bottom w:w="0" w:type="dxa"/>
              <w:right w:w="108" w:type="dxa"/>
            </w:tcMar>
            <w:hideMark/>
          </w:tcPr>
          <w:p w14:paraId="4A38D522" w14:textId="77777777" w:rsidR="00DE52AC" w:rsidRPr="004E31A7" w:rsidRDefault="00DE52AC" w:rsidP="00C74A1E">
            <w:pPr>
              <w:spacing w:before="100" w:beforeAutospacing="1" w:after="100" w:afterAutospacing="1" w:line="360" w:lineRule="auto"/>
              <w:jc w:val="both"/>
            </w:pPr>
            <w:r w:rsidRPr="004E31A7">
              <w:t>0.34</w:t>
            </w:r>
          </w:p>
        </w:tc>
        <w:tc>
          <w:tcPr>
            <w:tcW w:w="1046" w:type="dxa"/>
            <w:tcBorders>
              <w:top w:val="single" w:sz="8" w:space="0" w:color="BFBFBF"/>
              <w:left w:val="single" w:sz="8" w:space="0" w:color="BFBFBF"/>
              <w:bottom w:val="single" w:sz="8" w:space="0" w:color="BFBFBF"/>
              <w:right w:val="single" w:sz="8" w:space="0" w:color="BFBFBF"/>
            </w:tcBorders>
          </w:tcPr>
          <w:p w14:paraId="01555884" w14:textId="77777777" w:rsidR="00DE52AC" w:rsidRPr="004E31A7" w:rsidRDefault="00DE52AC" w:rsidP="00C74A1E">
            <w:pPr>
              <w:spacing w:before="100" w:beforeAutospacing="1" w:after="100" w:afterAutospacing="1" w:line="360" w:lineRule="auto"/>
              <w:jc w:val="both"/>
            </w:pPr>
            <w:r w:rsidRPr="004E31A7">
              <w:t>[23]</w:t>
            </w:r>
          </w:p>
        </w:tc>
      </w:tr>
    </w:tbl>
    <w:p w14:paraId="7C546995" w14:textId="77777777" w:rsidR="00DE52AC" w:rsidRPr="004E31A7" w:rsidRDefault="00DE52AC" w:rsidP="00DE52AC">
      <w:pPr>
        <w:spacing w:line="480" w:lineRule="auto"/>
        <w:jc w:val="both"/>
      </w:pPr>
    </w:p>
    <w:p w14:paraId="4D636D6B" w14:textId="77777777" w:rsidR="00DE52AC" w:rsidRPr="004E31A7" w:rsidRDefault="00DE52AC" w:rsidP="00DE52AC">
      <w:pPr>
        <w:spacing w:line="480" w:lineRule="auto"/>
        <w:jc w:val="both"/>
      </w:pPr>
      <w:r w:rsidRPr="004E31A7">
        <w:t>Table 2. Material properties used in the FEA.</w:t>
      </w:r>
    </w:p>
    <w:p w14:paraId="2F8CD837" w14:textId="77777777" w:rsidR="00DE52AC" w:rsidRPr="004E31A7" w:rsidRDefault="00DE52AC" w:rsidP="00DE52AC">
      <w:pPr>
        <w:spacing w:line="480" w:lineRule="auto"/>
        <w:jc w:val="both"/>
        <w:rPr>
          <w:b/>
          <w:bCs/>
        </w:rPr>
      </w:pPr>
      <w:r w:rsidRPr="004E31A7">
        <w:rPr>
          <w:bCs/>
          <w:noProof/>
        </w:rPr>
        <w:drawing>
          <wp:inline distT="0" distB="0" distL="0" distR="0" wp14:anchorId="0D1953C8" wp14:editId="1FAFE0FF">
            <wp:extent cx="5756910" cy="3837940"/>
            <wp:effectExtent l="0" t="0" r="8890" b="10160"/>
            <wp:docPr id="1424871487" name="Grafik 1">
              <a:extLst xmlns:a="http://schemas.openxmlformats.org/drawingml/2006/main">
                <a:ext uri="{FF2B5EF4-FFF2-40B4-BE49-F238E27FC236}">
                  <a16:creationId xmlns:a16="http://schemas.microsoft.com/office/drawing/2014/main" id="{1C10181B-B514-A758-9743-465D8F09757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494F9524" w14:textId="77777777" w:rsidR="00DE52AC" w:rsidRPr="004E31A7" w:rsidRDefault="00DE52AC" w:rsidP="00DE52AC">
      <w:pPr>
        <w:spacing w:line="480" w:lineRule="auto"/>
        <w:jc w:val="both"/>
      </w:pPr>
      <w:r w:rsidRPr="004E31A7">
        <w:lastRenderedPageBreak/>
        <w:t>Table 3. Finite element analysis results of the maximum total displacement distributions of the subperiosteal implant system under different implant thickness (T) and screw diameter (SD) configurations. The results obtained for three loading protocols (F1: posterior vertical loading, F2: posterior oblique loading, F3: anterior vertical loading) are presented comparatively.)</w:t>
      </w:r>
    </w:p>
    <w:p w14:paraId="7421603A" w14:textId="77777777" w:rsidR="00DE52AC" w:rsidRPr="004E31A7" w:rsidRDefault="00DE52AC" w:rsidP="00DE52AC">
      <w:pPr>
        <w:spacing w:line="480" w:lineRule="auto"/>
        <w:jc w:val="both"/>
      </w:pPr>
      <w:r w:rsidRPr="004E31A7">
        <w:rPr>
          <w:noProof/>
        </w:rPr>
        <w:lastRenderedPageBreak/>
        <w:drawing>
          <wp:inline distT="0" distB="0" distL="0" distR="0" wp14:anchorId="191FC11D" wp14:editId="724027BC">
            <wp:extent cx="4909848" cy="8542132"/>
            <wp:effectExtent l="0" t="0" r="0" b="0"/>
            <wp:docPr id="50" name="Resim 49">
              <a:extLst xmlns:a="http://schemas.openxmlformats.org/drawingml/2006/main">
                <a:ext uri="{FF2B5EF4-FFF2-40B4-BE49-F238E27FC236}">
                  <a16:creationId xmlns:a16="http://schemas.microsoft.com/office/drawing/2014/main" id="{E445256E-E959-936A-814C-227A1BB55A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Resim 49">
                      <a:extLst>
                        <a:ext uri="{FF2B5EF4-FFF2-40B4-BE49-F238E27FC236}">
                          <a16:creationId xmlns:a16="http://schemas.microsoft.com/office/drawing/2014/main" id="{E445256E-E959-936A-814C-227A1BB55A90}"/>
                        </a:ext>
                      </a:extLst>
                    </pic:cNvPr>
                    <pic:cNvPicPr>
                      <a:picLocks noChangeAspect="1"/>
                    </pic:cNvPicPr>
                  </pic:nvPicPr>
                  <pic:blipFill>
                    <a:blip r:embed="rId6"/>
                    <a:stretch>
                      <a:fillRect/>
                    </a:stretch>
                  </pic:blipFill>
                  <pic:spPr>
                    <a:xfrm>
                      <a:off x="0" y="0"/>
                      <a:ext cx="4950088" cy="8612142"/>
                    </a:xfrm>
                    <a:prstGeom prst="rect">
                      <a:avLst/>
                    </a:prstGeom>
                  </pic:spPr>
                </pic:pic>
              </a:graphicData>
            </a:graphic>
          </wp:inline>
        </w:drawing>
      </w:r>
    </w:p>
    <w:p w14:paraId="3F757BEB" w14:textId="77777777" w:rsidR="00DE52AC" w:rsidRPr="004E31A7" w:rsidRDefault="00DE52AC" w:rsidP="00DE52AC">
      <w:pPr>
        <w:spacing w:line="480" w:lineRule="auto"/>
        <w:jc w:val="both"/>
        <w:rPr>
          <w:b/>
          <w:bCs/>
        </w:rPr>
      </w:pPr>
      <w:r w:rsidRPr="004E31A7">
        <w:lastRenderedPageBreak/>
        <w:t>Table 4. presents the maximum and minimum principal stress values observed in the bone tissue under different loading conditions: (A) F1 loading condition, (B) F2 loading condition, and (C) F3 loading condition. Anatomical reference regions used for stress and displacement evaluations in the finite element analysis were defined as R1 (posterior alveolar crest), R2 (premolar alveolar crest), and R3 (periphery of the piriform aperture and adjacent nasal floor).</w:t>
      </w:r>
    </w:p>
    <w:p w14:paraId="68FF35B6"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2AC"/>
    <w:rsid w:val="00195413"/>
    <w:rsid w:val="003D0186"/>
    <w:rsid w:val="006B4889"/>
    <w:rsid w:val="007278E4"/>
    <w:rsid w:val="00A3738C"/>
    <w:rsid w:val="00BC6C35"/>
    <w:rsid w:val="00CB270D"/>
    <w:rsid w:val="00CF7583"/>
    <w:rsid w:val="00DE52AC"/>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FA32B"/>
  <w15:chartTrackingRefBased/>
  <w15:docId w15:val="{84746B39-29A1-4B5C-97F6-9CC3843CA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2AC"/>
    <w:pPr>
      <w:spacing w:after="0" w:line="240" w:lineRule="auto"/>
    </w:pPr>
    <w:rPr>
      <w:rFonts w:ascii="Times New Roman" w:eastAsia="Times New Roman" w:hAnsi="Times New Roman" w:cs="Times New Roman"/>
      <w:kern w:val="0"/>
      <w:lang w:val="tr-TR" w:eastAsia="tr-TR"/>
      <w14:ligatures w14:val="none"/>
    </w:rPr>
  </w:style>
  <w:style w:type="paragraph" w:styleId="Heading1">
    <w:name w:val="heading 1"/>
    <w:basedOn w:val="Normal"/>
    <w:next w:val="Normal"/>
    <w:link w:val="Heading1Char"/>
    <w:uiPriority w:val="9"/>
    <w:qFormat/>
    <w:rsid w:val="00DE52A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DE52A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DE52A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DE52AC"/>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DE52AC"/>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DE52AC"/>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DE52AC"/>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DE52AC"/>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DE52AC"/>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52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52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52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52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52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52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52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52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52AC"/>
    <w:rPr>
      <w:rFonts w:eastAsiaTheme="majorEastAsia" w:cstheme="majorBidi"/>
      <w:color w:val="272727" w:themeColor="text1" w:themeTint="D8"/>
    </w:rPr>
  </w:style>
  <w:style w:type="paragraph" w:styleId="Title">
    <w:name w:val="Title"/>
    <w:basedOn w:val="Normal"/>
    <w:next w:val="Normal"/>
    <w:link w:val="TitleChar"/>
    <w:uiPriority w:val="10"/>
    <w:qFormat/>
    <w:rsid w:val="00DE52AC"/>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DE52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52AC"/>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DE52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52AC"/>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DE52AC"/>
    <w:rPr>
      <w:i/>
      <w:iCs/>
      <w:color w:val="404040" w:themeColor="text1" w:themeTint="BF"/>
    </w:rPr>
  </w:style>
  <w:style w:type="paragraph" w:styleId="ListParagraph">
    <w:name w:val="List Paragraph"/>
    <w:basedOn w:val="Normal"/>
    <w:uiPriority w:val="34"/>
    <w:qFormat/>
    <w:rsid w:val="00DE52AC"/>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DE52AC"/>
    <w:rPr>
      <w:i/>
      <w:iCs/>
      <w:color w:val="0F4761" w:themeColor="accent1" w:themeShade="BF"/>
    </w:rPr>
  </w:style>
  <w:style w:type="paragraph" w:styleId="IntenseQuote">
    <w:name w:val="Intense Quote"/>
    <w:basedOn w:val="Normal"/>
    <w:next w:val="Normal"/>
    <w:link w:val="IntenseQuoteChar"/>
    <w:uiPriority w:val="30"/>
    <w:qFormat/>
    <w:rsid w:val="00DE52A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DE52AC"/>
    <w:rPr>
      <w:i/>
      <w:iCs/>
      <w:color w:val="0F4761" w:themeColor="accent1" w:themeShade="BF"/>
    </w:rPr>
  </w:style>
  <w:style w:type="character" w:styleId="IntenseReference">
    <w:name w:val="Intense Reference"/>
    <w:basedOn w:val="DefaultParagraphFont"/>
    <w:uiPriority w:val="32"/>
    <w:qFormat/>
    <w:rsid w:val="00DE52A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chart" Target="charts/chart1.xml"/><Relationship Id="rId4" Type="http://schemas.openxmlformats.org/officeDocument/2006/relationships/image" Target="media/image1.emf"/></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40" b="1" i="0" u="none" strike="noStrike" kern="1200" spc="0" baseline="0">
                <a:solidFill>
                  <a:schemeClr val="dk1"/>
                </a:solidFill>
                <a:latin typeface="Times New Roman" panose="02020603050405020304" pitchFamily="18" charset="0"/>
                <a:ea typeface="+mn-ea"/>
                <a:cs typeface="Times New Roman" panose="02020603050405020304" pitchFamily="18" charset="0"/>
              </a:defRPr>
            </a:pPr>
            <a:r>
              <a:rPr lang="tr-TR"/>
              <a:t>Total Displacement Values (mm)</a:t>
            </a:r>
          </a:p>
        </c:rich>
      </c:tx>
      <c:overlay val="0"/>
      <c:spPr>
        <a:noFill/>
        <a:ln>
          <a:noFill/>
        </a:ln>
        <a:effectLst/>
      </c:spPr>
      <c:txPr>
        <a:bodyPr rot="0" spcFirstLastPara="1" vertOverflow="ellipsis" vert="horz" wrap="square" anchor="ctr" anchorCtr="1"/>
        <a:lstStyle/>
        <a:p>
          <a:pPr>
            <a:defRPr sz="1440" b="1" i="0" u="none" strike="noStrike" kern="1200" spc="0" baseline="0">
              <a:solidFill>
                <a:schemeClr val="dk1"/>
              </a:solidFill>
              <a:latin typeface="Times New Roman" panose="02020603050405020304" pitchFamily="18" charset="0"/>
              <a:ea typeface="+mn-ea"/>
              <a:cs typeface="Times New Roman" panose="02020603050405020304" pitchFamily="18" charset="0"/>
            </a:defRPr>
          </a:pPr>
          <a:endParaRPr lang="tr-TR"/>
        </a:p>
      </c:txPr>
    </c:title>
    <c:autoTitleDeleted val="0"/>
    <c:plotArea>
      <c:layout/>
      <c:barChart>
        <c:barDir val="col"/>
        <c:grouping val="clustered"/>
        <c:varyColors val="0"/>
        <c:ser>
          <c:idx val="0"/>
          <c:order val="0"/>
          <c:tx>
            <c:strRef>
              <c:f>Sayfa1!$B$1</c:f>
              <c:strCache>
                <c:ptCount val="1"/>
                <c:pt idx="0">
                  <c:v>F1</c:v>
                </c:pt>
              </c:strCache>
            </c:strRef>
          </c:tx>
          <c:spPr>
            <a:solidFill>
              <a:schemeClr val="accent1"/>
            </a:solidFill>
            <a:ln>
              <a:noFill/>
            </a:ln>
            <a:effectLst/>
          </c:spPr>
          <c:invertIfNegative val="0"/>
          <c:cat>
            <c:strRef>
              <c:f>Sayfa1!$A$2:$A$4</c:f>
              <c:strCache>
                <c:ptCount val="3"/>
                <c:pt idx="0">
                  <c:v>T:1 mm – SD:1.5 mm</c:v>
                </c:pt>
                <c:pt idx="1">
                  <c:v>T:1 mm – SD:2.0 mm</c:v>
                </c:pt>
                <c:pt idx="2">
                  <c:v>T:1.5 mm – SD:1.5 mm</c:v>
                </c:pt>
              </c:strCache>
            </c:strRef>
          </c:cat>
          <c:val>
            <c:numRef>
              <c:f>Sayfa1!$B$2:$B$5</c:f>
              <c:numCache>
                <c:formatCode>0.00E+00</c:formatCode>
                <c:ptCount val="4"/>
                <c:pt idx="0">
                  <c:v>38.07</c:v>
                </c:pt>
                <c:pt idx="1">
                  <c:v>37.86</c:v>
                </c:pt>
                <c:pt idx="2">
                  <c:v>31.97</c:v>
                </c:pt>
                <c:pt idx="3">
                  <c:v>31.83</c:v>
                </c:pt>
              </c:numCache>
            </c:numRef>
          </c:val>
          <c:extLst>
            <c:ext xmlns:c16="http://schemas.microsoft.com/office/drawing/2014/chart" uri="{C3380CC4-5D6E-409C-BE32-E72D297353CC}">
              <c16:uniqueId val="{00000000-540D-4D79-85AC-B824FE6585F9}"/>
            </c:ext>
          </c:extLst>
        </c:ser>
        <c:ser>
          <c:idx val="1"/>
          <c:order val="1"/>
          <c:tx>
            <c:strRef>
              <c:f>Sayfa1!$C$1</c:f>
              <c:strCache>
                <c:ptCount val="1"/>
                <c:pt idx="0">
                  <c:v>F2</c:v>
                </c:pt>
              </c:strCache>
            </c:strRef>
          </c:tx>
          <c:spPr>
            <a:solidFill>
              <a:schemeClr val="accent2"/>
            </a:solidFill>
            <a:ln>
              <a:noFill/>
            </a:ln>
            <a:effectLst/>
          </c:spPr>
          <c:invertIfNegative val="0"/>
          <c:dPt>
            <c:idx val="3"/>
            <c:invertIfNegative val="0"/>
            <c:bubble3D val="0"/>
            <c:spPr>
              <a:solidFill>
                <a:schemeClr val="accent2"/>
              </a:solidFill>
              <a:ln>
                <a:solidFill>
                  <a:schemeClr val="tx1"/>
                </a:solidFill>
              </a:ln>
              <a:effectLst/>
            </c:spPr>
            <c:extLst>
              <c:ext xmlns:c16="http://schemas.microsoft.com/office/drawing/2014/chart" uri="{C3380CC4-5D6E-409C-BE32-E72D297353CC}">
                <c16:uniqueId val="{00000002-540D-4D79-85AC-B824FE6585F9}"/>
              </c:ext>
            </c:extLst>
          </c:dPt>
          <c:cat>
            <c:strRef>
              <c:f>Sayfa1!$A$2:$A$4</c:f>
              <c:strCache>
                <c:ptCount val="3"/>
                <c:pt idx="0">
                  <c:v>T:1 mm – SD:1.5 mm</c:v>
                </c:pt>
                <c:pt idx="1">
                  <c:v>T:1 mm – SD:2.0 mm</c:v>
                </c:pt>
                <c:pt idx="2">
                  <c:v>T:1.5 mm – SD:1.5 mm</c:v>
                </c:pt>
              </c:strCache>
            </c:strRef>
          </c:cat>
          <c:val>
            <c:numRef>
              <c:f>Sayfa1!$C$2:$C$5</c:f>
              <c:numCache>
                <c:formatCode>0.00E+00</c:formatCode>
                <c:ptCount val="4"/>
                <c:pt idx="0">
                  <c:v>37.06</c:v>
                </c:pt>
                <c:pt idx="1">
                  <c:v>36.92</c:v>
                </c:pt>
                <c:pt idx="2">
                  <c:v>30.67</c:v>
                </c:pt>
                <c:pt idx="3">
                  <c:v>30.55</c:v>
                </c:pt>
              </c:numCache>
            </c:numRef>
          </c:val>
          <c:extLst>
            <c:ext xmlns:c16="http://schemas.microsoft.com/office/drawing/2014/chart" uri="{C3380CC4-5D6E-409C-BE32-E72D297353CC}">
              <c16:uniqueId val="{00000003-540D-4D79-85AC-B824FE6585F9}"/>
            </c:ext>
          </c:extLst>
        </c:ser>
        <c:ser>
          <c:idx val="2"/>
          <c:order val="2"/>
          <c:tx>
            <c:strRef>
              <c:f>Sayfa1!$D$1</c:f>
              <c:strCache>
                <c:ptCount val="1"/>
                <c:pt idx="0">
                  <c:v>F3</c:v>
                </c:pt>
              </c:strCache>
            </c:strRef>
          </c:tx>
          <c:spPr>
            <a:solidFill>
              <a:schemeClr val="accent3"/>
            </a:solidFill>
            <a:ln>
              <a:noFill/>
            </a:ln>
            <a:effectLst/>
          </c:spPr>
          <c:invertIfNegative val="0"/>
          <c:cat>
            <c:strRef>
              <c:f>Sayfa1!$A$2:$A$4</c:f>
              <c:strCache>
                <c:ptCount val="3"/>
                <c:pt idx="0">
                  <c:v>T:1 mm – SD:1.5 mm</c:v>
                </c:pt>
                <c:pt idx="1">
                  <c:v>T:1 mm – SD:2.0 mm</c:v>
                </c:pt>
                <c:pt idx="2">
                  <c:v>T:1.5 mm – SD:1.5 mm</c:v>
                </c:pt>
              </c:strCache>
            </c:strRef>
          </c:cat>
          <c:val>
            <c:numRef>
              <c:f>Sayfa1!$D$2:$D$5</c:f>
              <c:numCache>
                <c:formatCode>0.00E+00</c:formatCode>
                <c:ptCount val="4"/>
                <c:pt idx="0">
                  <c:v>25.71</c:v>
                </c:pt>
                <c:pt idx="1">
                  <c:v>25.55</c:v>
                </c:pt>
                <c:pt idx="2">
                  <c:v>23.23</c:v>
                </c:pt>
                <c:pt idx="3">
                  <c:v>23.04</c:v>
                </c:pt>
              </c:numCache>
            </c:numRef>
          </c:val>
          <c:extLst>
            <c:ext xmlns:c16="http://schemas.microsoft.com/office/drawing/2014/chart" uri="{C3380CC4-5D6E-409C-BE32-E72D297353CC}">
              <c16:uniqueId val="{00000004-540D-4D79-85AC-B824FE6585F9}"/>
            </c:ext>
          </c:extLst>
        </c:ser>
        <c:dLbls>
          <c:showLegendKey val="0"/>
          <c:showVal val="0"/>
          <c:showCatName val="0"/>
          <c:showSerName val="0"/>
          <c:showPercent val="0"/>
          <c:showBubbleSize val="0"/>
        </c:dLbls>
        <c:gapWidth val="219"/>
        <c:overlap val="-27"/>
        <c:axId val="974055856"/>
        <c:axId val="974057584"/>
      </c:barChart>
      <c:catAx>
        <c:axId val="9740558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tr-TR"/>
          </a:p>
        </c:txPr>
        <c:crossAx val="974057584"/>
        <c:crosses val="autoZero"/>
        <c:auto val="1"/>
        <c:lblAlgn val="ctr"/>
        <c:lblOffset val="100"/>
        <c:noMultiLvlLbl val="0"/>
      </c:catAx>
      <c:valAx>
        <c:axId val="974057584"/>
        <c:scaling>
          <c:orientation val="minMax"/>
        </c:scaling>
        <c:delete val="0"/>
        <c:axPos val="l"/>
        <c:majorGridlines>
          <c:spPr>
            <a:ln w="9525" cap="flat" cmpd="sng" algn="ctr">
              <a:solidFill>
                <a:schemeClr val="tx1">
                  <a:lumMod val="15000"/>
                  <a:lumOff val="85000"/>
                </a:schemeClr>
              </a:solidFill>
              <a:round/>
            </a:ln>
            <a:effectLst/>
          </c:spPr>
        </c:majorGridlines>
        <c:numFmt formatCode="0.00E+00"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tr-TR"/>
          </a:p>
        </c:txPr>
        <c:crossAx val="9740558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1"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tr-T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lt1"/>
    </a:solidFill>
    <a:ln w="12700" cap="flat" cmpd="sng" algn="ctr">
      <a:solidFill>
        <a:schemeClr val="dk1"/>
      </a:solidFill>
      <a:prstDash val="solid"/>
      <a:miter lim="800000"/>
    </a:ln>
    <a:effectLst/>
  </c:spPr>
  <c:txPr>
    <a:bodyPr/>
    <a:lstStyle/>
    <a:p>
      <a:pPr>
        <a:defRPr sz="1200" b="1">
          <a:solidFill>
            <a:schemeClr val="dk1"/>
          </a:solidFill>
          <a:latin typeface="Times New Roman" panose="02020603050405020304" pitchFamily="18" charset="0"/>
          <a:ea typeface="+mn-ea"/>
          <a:cs typeface="Times New Roman" panose="02020603050405020304" pitchFamily="18" charset="0"/>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176</Words>
  <Characters>1089</Characters>
  <Application>Microsoft Office Word</Application>
  <DocSecurity>0</DocSecurity>
  <Lines>18</Lines>
  <Paragraphs>4</Paragraphs>
  <ScaleCrop>false</ScaleCrop>
  <Company>Springer Nature</Company>
  <LinksUpToDate>false</LinksUpToDate>
  <CharactersWithSpaces>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2026-02-24T18:15:00Z</dcterms:created>
  <dcterms:modified xsi:type="dcterms:W3CDTF">2026-02-24T18:16:00Z</dcterms:modified>
</cp:coreProperties>
</file>