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07068">
      <w:pPr>
        <w:rPr>
          <w:rFonts w:hint="default" w:ascii="Arial" w:hAnsi="Arial" w:cs="Arial"/>
        </w:rPr>
      </w:pPr>
      <w:r>
        <w:rPr>
          <w:rFonts w:hint="default" w:ascii="Arial" w:hAnsi="Arial" w:cs="Arial"/>
        </w:rPr>
        <w:t>Key Messages</w:t>
      </w:r>
    </w:p>
    <w:p w14:paraId="4EB84969">
      <w:pPr>
        <w:rPr>
          <w:rFonts w:hint="default" w:ascii="Arial" w:hAnsi="Arial" w:cs="Arial"/>
        </w:rPr>
      </w:pPr>
    </w:p>
    <w:p w14:paraId="4995EAEB">
      <w:pPr>
        <w:numPr>
          <w:ilvl w:val="0"/>
          <w:numId w:val="1"/>
        </w:numPr>
        <w:ind w:left="420" w:leftChars="0" w:hanging="420" w:firstLineChars="0"/>
        <w:rPr>
          <w:rFonts w:hint="default" w:ascii="Arial" w:hAnsi="Arial" w:cs="Arial"/>
        </w:rPr>
      </w:pPr>
      <w:r>
        <w:rPr>
          <w:rFonts w:hint="default" w:ascii="Arial" w:hAnsi="Arial" w:cs="Arial"/>
        </w:rPr>
        <w:t>Copper overload suppresses the PPARα–FABP1 metabolic axis in Wilson disease, as revealed by integrated transcriptomic and proteomic analyses, leading to impaired hepatic lipid homeostasis.</w:t>
      </w:r>
    </w:p>
    <w:p w14:paraId="6974008E">
      <w:pPr>
        <w:rPr>
          <w:rFonts w:hint="default" w:ascii="Arial" w:hAnsi="Arial" w:cs="Arial"/>
        </w:rPr>
      </w:pPr>
    </w:p>
    <w:p w14:paraId="463E5D47">
      <w:pPr>
        <w:numPr>
          <w:ilvl w:val="0"/>
          <w:numId w:val="1"/>
        </w:numPr>
        <w:ind w:left="420" w:leftChars="0" w:hanging="420" w:firstLineChars="0"/>
        <w:rPr>
          <w:rFonts w:hint="default" w:ascii="Arial" w:hAnsi="Arial" w:cs="Arial"/>
        </w:rPr>
      </w:pPr>
      <w:r>
        <w:rPr>
          <w:rFonts w:hint="default" w:ascii="Arial" w:hAnsi="Arial" w:cs="Arial"/>
        </w:rPr>
        <w:t>Disruption of the PPARα–FABP1 axis lowers the ferroptotic threshold in hepatocytes, rendering cells highly susceptible to lipid peroxidation–driven, GPX4-dependent ferroptotic cell death.</w:t>
      </w:r>
    </w:p>
    <w:p w14:paraId="208236EA">
      <w:pPr>
        <w:rPr>
          <w:rFonts w:hint="default" w:ascii="Arial" w:hAnsi="Arial" w:cs="Arial"/>
        </w:rPr>
      </w:pPr>
    </w:p>
    <w:p w14:paraId="1D67EFD7">
      <w:pPr>
        <w:numPr>
          <w:ilvl w:val="0"/>
          <w:numId w:val="1"/>
        </w:numPr>
        <w:ind w:left="420" w:leftChars="0" w:hanging="420" w:firstLineChars="0"/>
        <w:rPr>
          <w:rFonts w:hint="default" w:ascii="Arial" w:hAnsi="Arial" w:cs="Arial"/>
        </w:rPr>
      </w:pPr>
      <w:r>
        <w:rPr>
          <w:rFonts w:hint="default" w:ascii="Arial" w:hAnsi="Arial" w:cs="Arial"/>
        </w:rPr>
        <w:t>Copper directly promotes ferroptosis by repressing PPARα and FABP1 expression, an effect phenocopied by genetic silencing of either component and partially reversed by ferroptosis inhibition or FABP1 restoration.</w:t>
      </w:r>
    </w:p>
    <w:p w14:paraId="133BDA64">
      <w:pPr>
        <w:rPr>
          <w:rFonts w:hint="default" w:ascii="Arial" w:hAnsi="Arial" w:cs="Arial"/>
        </w:rPr>
      </w:pPr>
    </w:p>
    <w:p w14:paraId="5515918B">
      <w:pPr>
        <w:numPr>
          <w:ilvl w:val="0"/>
          <w:numId w:val="1"/>
        </w:numPr>
        <w:ind w:left="420" w:leftChars="0" w:hanging="420" w:firstLineChars="0"/>
        <w:rPr>
          <w:rFonts w:hint="default" w:ascii="Arial" w:hAnsi="Arial" w:cs="Arial"/>
        </w:rPr>
      </w:pPr>
      <w:r>
        <w:rPr>
          <w:rFonts w:hint="default" w:ascii="Arial" w:hAnsi="Arial" w:cs="Arial"/>
        </w:rPr>
        <w:t>Accumulation of oxidized polyunsaturated fatty acids provides a mechanistic link between FABP1 loss and ferroptosis vulnerability, positioning FABP1 as a functional buffer against lipid peroxidation.</w:t>
      </w:r>
    </w:p>
    <w:p w14:paraId="4E398E13">
      <w:pPr>
        <w:rPr>
          <w:rFonts w:hint="default" w:ascii="Arial" w:hAnsi="Arial" w:cs="Arial"/>
        </w:rPr>
      </w:pPr>
    </w:p>
    <w:p w14:paraId="31E22AF2">
      <w:pPr>
        <w:numPr>
          <w:ilvl w:val="0"/>
          <w:numId w:val="1"/>
        </w:numPr>
        <w:ind w:left="420" w:leftChars="0" w:hanging="420" w:firstLineChars="0"/>
        <w:rPr>
          <w:rFonts w:hint="default" w:ascii="Arial" w:hAnsi="Arial" w:cs="Arial"/>
        </w:rPr>
      </w:pPr>
      <w:bookmarkStart w:id="0" w:name="_GoBack"/>
      <w:bookmarkEnd w:id="0"/>
      <w:r>
        <w:rPr>
          <w:rFonts w:hint="default" w:ascii="Arial" w:hAnsi="Arial" w:cs="Arial"/>
        </w:rPr>
        <w:t>This study defines a copper–PPARα–FABP1–ferroptosis axis, establishing a molecular framework that connects metal-induced metabolic dysregulation to regulated cell death in Wilson disease.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046D4"/>
    <w:multiLevelType w:val="singleLevel"/>
    <w:tmpl w:val="C22046D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3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2026-02-11T04:49:06Z</dcterms:created>
  <dc:creator>dell</dc:creator>
  <cp:lastModifiedBy>Yingjie Li</cp:lastModifiedBy>
  <dcterms:modified xsi:type="dcterms:W3CDTF">2026-02-11T04:49:46Z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eyJoZGlkIjoiMDY3YjhmNmJlYzVkZDJlODU4YWU5YTc2ZTRmNmVhYmEiLCJ1c2VySWQiOiIzMTUwNjc4MDYifQ==</vt:lpwstr>
  </property>
  <property fmtid="{D5CDD505-2E9C-101B-9397-08002B2CF9AE}" pid="4" name="ICV">
    <vt:lpwstr>3E25D6EFFBDC43AE87E3D84B221409BA_12</vt:lpwstr>
  </property>
</Properties>
</file>